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line="238" w:lineRule="auto"/>
        <w:rPr>
          <w:sz w:val="20"/>
          <w:szCs w:val="20"/>
          <w:color w:val="auto"/>
        </w:rPr>
      </w:pPr>
      <w:r>
        <w:rPr>
          <w:rFonts w:ascii="Times New Roman" w:cs="Times New Roman" w:eastAsia="Times New Roman" w:hAnsi="Times New Roman"/>
          <w:sz w:val="26"/>
          <w:szCs w:val="2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QUARTERLY REPORT PURSUANT TO SECTION 13 OR 15(d)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quarterly period ended July 31, 2022</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No. 1-12597</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CULP,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NORTH CAROLINA</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b w:val="1"/>
                <w:bCs w:val="1"/>
                <w:color w:val="auto"/>
              </w:rPr>
              <w:t>56-1001967</w:t>
            </w:r>
          </w:p>
        </w:tc>
      </w:tr>
      <w:tr>
        <w:trPr>
          <w:trHeight w:val="207"/>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43"/>
        </w:trPr>
        <w:tc>
          <w:tcPr>
            <w:tcW w:w="4920" w:type="dxa"/>
            <w:vAlign w:val="bottom"/>
            <w:gridSpan w:val="3"/>
          </w:tcPr>
          <w:p>
            <w:pPr>
              <w:jc w:val="center"/>
              <w:ind w:left="614"/>
              <w:spacing w:after="0"/>
              <w:rPr>
                <w:sz w:val="20"/>
                <w:szCs w:val="20"/>
                <w:color w:val="auto"/>
              </w:rPr>
            </w:pPr>
            <w:r>
              <w:rPr>
                <w:rFonts w:ascii="Times New Roman" w:cs="Times New Roman" w:eastAsia="Times New Roman" w:hAnsi="Times New Roman"/>
                <w:sz w:val="18"/>
                <w:szCs w:val="18"/>
                <w:color w:val="auto"/>
                <w:w w:val="99"/>
              </w:rPr>
              <w:t>incorporation or other organization)</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35"/>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1823 Eastchester Drive</w:t>
            </w: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04"/>
        </w:trPr>
        <w:tc>
          <w:tcPr>
            <w:tcW w:w="4920" w:type="dxa"/>
            <w:vAlign w:val="bottom"/>
            <w:gridSpan w:val="3"/>
          </w:tcPr>
          <w:p>
            <w:pPr>
              <w:jc w:val="center"/>
              <w:ind w:left="614"/>
              <w:spacing w:after="0"/>
              <w:rPr>
                <w:sz w:val="20"/>
                <w:szCs w:val="20"/>
                <w:color w:val="auto"/>
              </w:rPr>
            </w:pPr>
            <w:r>
              <w:rPr>
                <w:rFonts w:ascii="Times New Roman" w:cs="Times New Roman" w:eastAsia="Times New Roman" w:hAnsi="Times New Roman"/>
                <w:sz w:val="16"/>
                <w:szCs w:val="16"/>
                <w:b w:val="1"/>
                <w:bCs w:val="1"/>
                <w:color w:val="auto"/>
              </w:rPr>
              <w:t>High Point, North Carolina</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b w:val="1"/>
                <w:bCs w:val="1"/>
                <w:color w:val="auto"/>
              </w:rPr>
              <w:t>27265-1402</w:t>
            </w:r>
          </w:p>
        </w:tc>
      </w:tr>
      <w:tr>
        <w:trPr>
          <w:trHeight w:val="210"/>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(zip code)</w:t>
            </w:r>
          </w:p>
        </w:tc>
      </w:tr>
      <w:tr>
        <w:trPr>
          <w:trHeight w:val="361"/>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60" w:type="dxa"/>
            <w:vAlign w:val="bottom"/>
          </w:tcPr>
          <w:p>
            <w:pPr>
              <w:jc w:val="center"/>
              <w:ind w:right="1073"/>
              <w:spacing w:after="0"/>
              <w:rPr>
                <w:sz w:val="20"/>
                <w:szCs w:val="20"/>
                <w:color w:val="auto"/>
              </w:rPr>
            </w:pPr>
            <w:r>
              <w:rPr>
                <w:rFonts w:ascii="Times New Roman" w:cs="Times New Roman" w:eastAsia="Times New Roman" w:hAnsi="Times New Roman"/>
                <w:sz w:val="20"/>
                <w:szCs w:val="20"/>
                <w:b w:val="1"/>
                <w:bCs w:val="1"/>
                <w:color w:val="auto"/>
                <w:w w:val="99"/>
              </w:rPr>
              <w:t>(336) 889-5161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58"/>
        </w:trPr>
        <w:tc>
          <w:tcPr>
            <w:tcW w:w="7760" w:type="dxa"/>
            <w:vAlign w:val="bottom"/>
            <w:gridSpan w:val="6"/>
          </w:tcPr>
          <w:p>
            <w:pPr>
              <w:jc w:val="center"/>
              <w:ind w:left="3394"/>
              <w:spacing w:after="0"/>
              <w:rPr>
                <w:sz w:val="20"/>
                <w:szCs w:val="20"/>
                <w:color w:val="auto"/>
              </w:rPr>
            </w:pPr>
            <w:r>
              <w:rPr>
                <w:rFonts w:ascii="Times New Roman" w:cs="Times New Roman" w:eastAsia="Times New Roman" w:hAnsi="Times New Roman"/>
                <w:sz w:val="20"/>
                <w:szCs w:val="20"/>
                <w:color w:val="auto"/>
                <w:w w:val="98"/>
              </w:rPr>
              <w:t>(Registrant's telephone number, including area code)</w:t>
            </w:r>
          </w:p>
        </w:tc>
        <w:tc>
          <w:tcPr>
            <w:tcW w:w="3480" w:type="dxa"/>
            <w:vAlign w:val="bottom"/>
          </w:tcPr>
          <w:p>
            <w:pPr>
              <w:spacing w:after="0"/>
              <w:rPr>
                <w:sz w:val="22"/>
                <w:szCs w:val="22"/>
                <w:color w:val="auto"/>
              </w:rPr>
            </w:pPr>
          </w:p>
        </w:tc>
      </w:tr>
      <w:tr>
        <w:trPr>
          <w:trHeight w:val="378"/>
        </w:trPr>
        <w:tc>
          <w:tcPr>
            <w:tcW w:w="49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43"/>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12"/>
        </w:trPr>
        <w:tc>
          <w:tcPr>
            <w:tcW w:w="4920" w:type="dxa"/>
            <w:vAlign w:val="bottom"/>
            <w:gridSpan w:val="3"/>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40" w:type="dxa"/>
            <w:vAlign w:val="bottom"/>
            <w:gridSpan w:val="3"/>
          </w:tcPr>
          <w:p>
            <w:pPr>
              <w:jc w:val="center"/>
              <w:ind w:right="144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4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12"/>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$.05/ Share</w:t>
            </w: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jc w:val="center"/>
              <w:ind w:right="1073"/>
              <w:spacing w:after="0"/>
              <w:rPr>
                <w:sz w:val="20"/>
                <w:szCs w:val="20"/>
                <w:color w:val="auto"/>
              </w:rPr>
            </w:pPr>
            <w:r>
              <w:rPr>
                <w:rFonts w:ascii="Times New Roman" w:cs="Times New Roman" w:eastAsia="Times New Roman" w:hAnsi="Times New Roman"/>
                <w:sz w:val="16"/>
                <w:szCs w:val="16"/>
                <w:b w:val="1"/>
                <w:bCs w:val="1"/>
                <w:color w:val="auto"/>
              </w:rPr>
              <w:t>CULP</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12" w:lineRule="exact"/>
        <w:rPr>
          <w:sz w:val="24"/>
          <w:szCs w:val="24"/>
          <w:color w:val="auto"/>
        </w:rPr>
      </w:pPr>
    </w:p>
    <w:p>
      <w:pPr>
        <w:jc w:val="both"/>
        <w:spacing w:after="0" w:line="252"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97" w:lineRule="exact"/>
        <w:rPr>
          <w:sz w:val="24"/>
          <w:szCs w:val="24"/>
          <w:color w:val="auto"/>
        </w:rPr>
      </w:pPr>
    </w:p>
    <w:p>
      <w:pPr>
        <w:jc w:val="both"/>
        <w:spacing w:after="0" w:line="252"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after the registrant was required to submit such files).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84"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2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Large accelerated filer</w:t>
            </w:r>
          </w:p>
        </w:tc>
        <w:tc>
          <w:tcPr>
            <w:tcW w:w="2900" w:type="dxa"/>
            <w:vAlign w:val="bottom"/>
          </w:tcPr>
          <w:p>
            <w:pPr>
              <w:ind w:left="44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60"/>
              <w:spacing w:after="0"/>
              <w:rPr>
                <w:sz w:val="20"/>
                <w:szCs w:val="20"/>
                <w:color w:val="auto"/>
              </w:rPr>
            </w:pPr>
            <w:r>
              <w:rPr>
                <w:rFonts w:ascii="Times New Roman" w:cs="Times New Roman" w:eastAsia="Times New Roman" w:hAnsi="Times New Roman"/>
                <w:sz w:val="20"/>
                <w:szCs w:val="20"/>
                <w:b w:val="1"/>
                <w:bCs w:val="1"/>
                <w:color w:val="auto"/>
              </w:rPr>
              <w:t>Accelerated filer</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45"/>
        </w:trPr>
        <w:tc>
          <w:tcPr>
            <w:tcW w:w="2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Non-accelerated filer</w:t>
            </w:r>
          </w:p>
        </w:tc>
        <w:tc>
          <w:tcPr>
            <w:tcW w:w="2900" w:type="dxa"/>
            <w:vAlign w:val="bottom"/>
          </w:tcPr>
          <w:p>
            <w:pPr>
              <w:ind w:left="44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60"/>
              <w:spacing w:after="0"/>
              <w:rPr>
                <w:sz w:val="20"/>
                <w:szCs w:val="20"/>
                <w:color w:val="auto"/>
              </w:rPr>
            </w:pPr>
            <w:r>
              <w:rPr>
                <w:rFonts w:ascii="Times New Roman" w:cs="Times New Roman" w:eastAsia="Times New Roman" w:hAnsi="Times New Roman"/>
                <w:sz w:val="20"/>
                <w:szCs w:val="20"/>
                <w:b w:val="1"/>
                <w:bCs w:val="1"/>
                <w:color w:val="auto"/>
              </w:rPr>
              <w:t>Smaller Reporting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45"/>
        </w:trPr>
        <w:tc>
          <w:tcPr>
            <w:tcW w:w="2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20" w:type="dxa"/>
            <w:vAlign w:val="bottom"/>
          </w:tcPr>
          <w:p>
            <w:pPr>
              <w:ind w:left="2260"/>
              <w:spacing w:after="0"/>
              <w:rPr>
                <w:sz w:val="20"/>
                <w:szCs w:val="20"/>
                <w:color w:val="auto"/>
              </w:rPr>
            </w:pPr>
            <w:r>
              <w:rPr>
                <w:rFonts w:ascii="Times New Roman" w:cs="Times New Roman" w:eastAsia="Times New Roman" w:hAnsi="Times New Roman"/>
                <w:sz w:val="20"/>
                <w:szCs w:val="20"/>
                <w:b w:val="1"/>
                <w:bCs w:val="1"/>
                <w:color w:val="auto"/>
              </w:rPr>
              <w:t>Emerging Growth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bl>
    <w:p>
      <w:pPr>
        <w:spacing w:after="0" w:line="96" w:lineRule="exact"/>
        <w:rPr>
          <w:sz w:val="24"/>
          <w:szCs w:val="24"/>
          <w:color w:val="auto"/>
        </w:rPr>
      </w:pPr>
    </w:p>
    <w:p>
      <w:pPr>
        <w:spacing w:after="0" w:line="263" w:lineRule="exact"/>
        <w:rPr>
          <w:sz w:val="20"/>
          <w:szCs w:val="20"/>
          <w:color w:val="auto"/>
        </w:rPr>
      </w:pPr>
      <w:r>
        <w:rPr>
          <w:rFonts w:ascii="Times New Roman" w:cs="Times New Roman" w:eastAsia="Times New Roman" w:hAnsi="Times New Roman"/>
          <w:sz w:val="20"/>
          <w:szCs w:val="20"/>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highlight w:val="black"/>
        </w:rPr>
        <w:t>☐</w:t>
      </w:r>
    </w:p>
    <w:p>
      <w:pPr>
        <w:spacing w:after="0" w:line="82"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is a shell company (as defined in Rule 12b-2 of the Exchange Act).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Indicate the number of shares outstanding of each of the issuer’s classes of common stock, as of the latest practicable date:</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shares outstanding as of September 7, 2022: 12,274,786</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INDEX TO FORM 10-Q</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period ended July 31,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20" w:type="dxa"/>
            <w:vAlign w:val="bottom"/>
            <w:gridSpan w:val="14"/>
          </w:tcPr>
          <w:p>
            <w:pPr>
              <w:jc w:val="center"/>
              <w:ind w:right="3580"/>
              <w:spacing w:after="0"/>
              <w:rPr>
                <w:sz w:val="20"/>
                <w:szCs w:val="20"/>
                <w:color w:val="auto"/>
              </w:rPr>
            </w:pPr>
            <w:r>
              <w:rPr>
                <w:rFonts w:ascii="Times New Roman" w:cs="Times New Roman" w:eastAsia="Times New Roman" w:hAnsi="Times New Roman"/>
                <w:sz w:val="20"/>
                <w:szCs w:val="20"/>
                <w:b w:val="1"/>
                <w:bCs w:val="1"/>
                <w:color w:val="auto"/>
                <w:w w:val="98"/>
              </w:rPr>
              <w:t>Part I -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w:t>
            </w: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1.</w:t>
            </w:r>
          </w:p>
        </w:tc>
        <w:tc>
          <w:tcPr>
            <w:tcW w:w="3580" w:type="dxa"/>
            <w:vAlign w:val="bottom"/>
            <w:gridSpan w:val="7"/>
          </w:tcPr>
          <w:p>
            <w:pPr>
              <w:spacing w:after="0"/>
              <w:rPr>
                <w:sz w:val="20"/>
                <w:szCs w:val="20"/>
                <w:color w:val="auto"/>
              </w:rPr>
            </w:pPr>
            <w:r>
              <w:rPr>
                <w:rFonts w:ascii="Times New Roman" w:cs="Times New Roman" w:eastAsia="Times New Roman" w:hAnsi="Times New Roman"/>
                <w:sz w:val="20"/>
                <w:szCs w:val="20"/>
                <w:color w:val="0000EE"/>
              </w:rPr>
              <w:t>Financial Statements: (Unaudited)</w:t>
            </w:r>
          </w:p>
        </w:tc>
        <w:tc>
          <w:tcPr>
            <w:tcW w:w="2440" w:type="dxa"/>
            <w:vAlign w:val="bottom"/>
            <w:tcBorders>
              <w:top w:val="single" w:sz="8" w:color="auto"/>
            </w:tcBorders>
            <w:gridSpan w:val="6"/>
          </w:tcPr>
          <w:p>
            <w:pPr>
              <w:spacing w:after="0"/>
              <w:rPr>
                <w:sz w:val="24"/>
                <w:szCs w:val="24"/>
                <w:color w:val="auto"/>
              </w:rPr>
            </w:pPr>
          </w:p>
        </w:tc>
        <w:tc>
          <w:tcPr>
            <w:tcW w:w="358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I-1</w:t>
            </w: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20"/>
                <w:szCs w:val="20"/>
                <w:color w:val="0000EE"/>
                <w:w w:val="98"/>
              </w:rPr>
              <w:t>Consolidated Statements of Net (Loss) Income — Three Months Ended July 31, 2022, and August 1, 2021</w:t>
            </w:r>
          </w:p>
        </w:tc>
        <w:tc>
          <w:tcPr>
            <w:tcW w:w="116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I-1</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20"/>
                <w:szCs w:val="20"/>
                <w:color w:val="0000EE"/>
                <w:w w:val="98"/>
              </w:rPr>
              <w:t>Consolidated Statements of Comprehensive (Loss) Income – Three Months Ended July 31, 2022, and August 1, 2021</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I-2</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20"/>
                <w:szCs w:val="20"/>
                <w:color w:val="0000EE"/>
                <w:w w:val="98"/>
              </w:rPr>
              <w:t>Consolidated Balance Sheets — July 31, 2022, August 1, 2021, and May 1, 2022</w:t>
            </w:r>
          </w:p>
        </w:tc>
        <w:tc>
          <w:tcPr>
            <w:tcW w:w="318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0" w:type="dxa"/>
            <w:vAlign w:val="bottom"/>
            <w:gridSpan w:val="21"/>
          </w:tcPr>
          <w:p>
            <w:pPr>
              <w:spacing w:after="0"/>
              <w:rPr>
                <w:sz w:val="20"/>
                <w:szCs w:val="20"/>
                <w:color w:val="auto"/>
              </w:rPr>
            </w:pPr>
            <w:r>
              <w:rPr>
                <w:rFonts w:ascii="Times New Roman" w:cs="Times New Roman" w:eastAsia="Times New Roman" w:hAnsi="Times New Roman"/>
                <w:sz w:val="20"/>
                <w:szCs w:val="20"/>
                <w:color w:val="0000EE"/>
              </w:rPr>
              <w:t>Consolidated Statements of Cash Flows — Three Months Ended July 31, 2022, and August 1, 2021</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20"/>
                <w:szCs w:val="20"/>
                <w:color w:val="0000EE"/>
              </w:rPr>
              <w:t>Consolidated Statements of Shareholders’ Equity – Three Months Ended July 31, 2022</w:t>
            </w:r>
          </w:p>
        </w:tc>
        <w:tc>
          <w:tcPr>
            <w:tcW w:w="172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I-5</w:t>
            </w: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0" w:type="dxa"/>
            <w:vAlign w:val="bottom"/>
            <w:gridSpan w:val="21"/>
          </w:tcPr>
          <w:p>
            <w:pPr>
              <w:spacing w:after="0"/>
              <w:rPr>
                <w:sz w:val="20"/>
                <w:szCs w:val="20"/>
                <w:color w:val="auto"/>
              </w:rPr>
            </w:pPr>
            <w:r>
              <w:rPr>
                <w:rFonts w:ascii="Times New Roman" w:cs="Times New Roman" w:eastAsia="Times New Roman" w:hAnsi="Times New Roman"/>
                <w:sz w:val="20"/>
                <w:szCs w:val="20"/>
                <w:color w:val="0000EE"/>
              </w:rPr>
              <w:t>Consolidated Statements of Shareholders’ Equity – Three Months Ended August 1, 2021</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I-6</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20"/>
                <w:szCs w:val="20"/>
                <w:color w:val="0000EE"/>
                <w:w w:val="98"/>
              </w:rPr>
              <w:t>Notes to Consolidated Financial Statements</w:t>
            </w:r>
          </w:p>
        </w:tc>
        <w:tc>
          <w:tcPr>
            <w:tcW w:w="3560" w:type="dxa"/>
            <w:vAlign w:val="bottom"/>
            <w:tcBorders>
              <w:top w:val="single" w:sz="8" w:color="0000EE"/>
            </w:tcBorders>
            <w:gridSpan w:val="10"/>
          </w:tcPr>
          <w:p>
            <w:pPr>
              <w:spacing w:after="0"/>
              <w:rPr>
                <w:sz w:val="24"/>
                <w:szCs w:val="24"/>
                <w:color w:val="auto"/>
              </w:rPr>
            </w:pPr>
          </w:p>
        </w:tc>
        <w:tc>
          <w:tcPr>
            <w:tcW w:w="258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I-7</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20"/>
                <w:szCs w:val="20"/>
                <w:color w:val="0000EE"/>
                <w:w w:val="98"/>
              </w:rPr>
              <w:t>Cautionary Statement Concerning Forward-Looking Information</w:t>
            </w:r>
          </w:p>
        </w:tc>
        <w:tc>
          <w:tcPr>
            <w:tcW w:w="446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I-24</w:t>
            </w: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2.</w:t>
            </w:r>
          </w:p>
        </w:tc>
        <w:tc>
          <w:tcPr>
            <w:tcW w:w="70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20"/>
                <w:szCs w:val="20"/>
                <w:color w:val="0000EE"/>
                <w:w w:val="98"/>
              </w:rPr>
              <w:t>Management's Discussion and Analysis of Financial Condition and Results of Operations</w:t>
            </w:r>
          </w:p>
        </w:tc>
        <w:tc>
          <w:tcPr>
            <w:tcW w:w="252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I-25</w:t>
            </w: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3.</w:t>
            </w:r>
          </w:p>
        </w:tc>
        <w:tc>
          <w:tcPr>
            <w:tcW w:w="48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20"/>
                <w:szCs w:val="20"/>
                <w:color w:val="0000EE"/>
                <w:w w:val="98"/>
              </w:rPr>
              <w:t>Quantitative and Qualitative Disclosures About Market Risk</w:t>
            </w:r>
          </w:p>
        </w:tc>
        <w:tc>
          <w:tcPr>
            <w:tcW w:w="480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I-37</w:t>
            </w: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4.</w:t>
            </w:r>
          </w:p>
        </w:tc>
        <w:tc>
          <w:tcPr>
            <w:tcW w:w="9600" w:type="dxa"/>
            <w:vAlign w:val="bottom"/>
            <w:gridSpan w:val="21"/>
          </w:tcPr>
          <w:p>
            <w:pPr>
              <w:spacing w:after="0"/>
              <w:rPr>
                <w:sz w:val="20"/>
                <w:szCs w:val="20"/>
                <w:color w:val="auto"/>
              </w:rPr>
            </w:pPr>
            <w:r>
              <w:rPr>
                <w:rFonts w:ascii="Times New Roman" w:cs="Times New Roman" w:eastAsia="Times New Roman" w:hAnsi="Times New Roman"/>
                <w:sz w:val="20"/>
                <w:szCs w:val="20"/>
                <w:color w:val="0000EE"/>
              </w:rPr>
              <w:t>Controls and Procedures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I-37</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Part II - Other Information</w:t>
            </w:r>
          </w:p>
        </w:tc>
        <w:tc>
          <w:tcPr>
            <w:tcW w:w="3620" w:type="dxa"/>
            <w:vAlign w:val="bottom"/>
            <w:gridSpan w:val="9"/>
          </w:tcPr>
          <w:p>
            <w:pPr>
              <w:spacing w:after="0"/>
              <w:rPr>
                <w:sz w:val="24"/>
                <w:szCs w:val="24"/>
                <w:color w:val="auto"/>
              </w:rPr>
            </w:pPr>
          </w:p>
        </w:tc>
        <w:tc>
          <w:tcPr>
            <w:tcW w:w="680" w:type="dxa"/>
            <w:vAlign w:val="bottom"/>
          </w:tcPr>
          <w:p>
            <w:pPr>
              <w:spacing w:after="0"/>
              <w:rPr>
                <w:sz w:val="24"/>
                <w:szCs w:val="24"/>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1.</w:t>
            </w:r>
          </w:p>
        </w:tc>
        <w:tc>
          <w:tcPr>
            <w:tcW w:w="14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w w:val="97"/>
              </w:rPr>
              <w:t>Legal Proceedings</w:t>
            </w:r>
          </w:p>
        </w:tc>
        <w:tc>
          <w:tcPr>
            <w:tcW w:w="8140" w:type="dxa"/>
            <w:vAlign w:val="bottom"/>
            <w:gridSpan w:val="18"/>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1A.</w:t>
            </w:r>
          </w:p>
        </w:tc>
        <w:tc>
          <w:tcPr>
            <w:tcW w:w="9600" w:type="dxa"/>
            <w:vAlign w:val="bottom"/>
            <w:gridSpan w:val="21"/>
          </w:tcPr>
          <w:p>
            <w:pPr>
              <w:spacing w:after="0"/>
              <w:rPr>
                <w:sz w:val="20"/>
                <w:szCs w:val="20"/>
                <w:color w:val="auto"/>
              </w:rPr>
            </w:pPr>
            <w:r>
              <w:rPr>
                <w:rFonts w:ascii="Times New Roman" w:cs="Times New Roman" w:eastAsia="Times New Roman" w:hAnsi="Times New Roman"/>
                <w:sz w:val="20"/>
                <w:szCs w:val="20"/>
                <w:color w:val="0000EE"/>
              </w:rPr>
              <w:t>Risk Factors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c>
          <w:tcPr>
            <w:tcW w:w="4820" w:type="dxa"/>
            <w:vAlign w:val="bottom"/>
            <w:gridSpan w:val="1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2.</w:t>
            </w:r>
          </w:p>
        </w:tc>
        <w:tc>
          <w:tcPr>
            <w:tcW w:w="47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20"/>
                <w:szCs w:val="20"/>
                <w:color w:val="0000EE"/>
                <w:w w:val="98"/>
              </w:rPr>
              <w:t>Unregistered Sales of Equity Securities and Use of Proceeds</w:t>
            </w:r>
          </w:p>
        </w:tc>
        <w:tc>
          <w:tcPr>
            <w:tcW w:w="482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6.</w:t>
            </w:r>
          </w:p>
        </w:tc>
        <w:tc>
          <w:tcPr>
            <w:tcW w:w="9600" w:type="dxa"/>
            <w:vAlign w:val="bottom"/>
            <w:gridSpan w:val="21"/>
          </w:tcPr>
          <w:p>
            <w:pPr>
              <w:spacing w:after="0"/>
              <w:rPr>
                <w:sz w:val="20"/>
                <w:szCs w:val="20"/>
                <w:color w:val="auto"/>
              </w:rPr>
            </w:pPr>
            <w:r>
              <w:rPr>
                <w:rFonts w:ascii="Times New Roman" w:cs="Times New Roman" w:eastAsia="Times New Roman" w:hAnsi="Times New Roman"/>
                <w:sz w:val="20"/>
                <w:szCs w:val="20"/>
                <w:color w:val="0000EE"/>
              </w:rPr>
              <w:t>Exhibits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II-2</w:t>
            </w: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0000EE"/>
              </w:rPr>
              <w:t>Signatures</w:t>
            </w:r>
          </w:p>
        </w:tc>
        <w:tc>
          <w:tcPr>
            <w:tcW w:w="6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II-3</w:t>
            </w:r>
          </w:p>
        </w:tc>
      </w:tr>
      <w:tr>
        <w:trPr>
          <w:trHeight w:val="797"/>
        </w:trPr>
        <w:tc>
          <w:tcPr>
            <w:tcW w:w="84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 Financial Statements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NET (LOSS) INCOME</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MONTHS ENDED JULY 31, 2022, AND AUGUST 1, 2021</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for Per Share Data)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92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Borders>
              <w:bottom w:val="single" w:sz="8" w:color="auto"/>
            </w:tcBorders>
          </w:tcPr>
          <w:p>
            <w:pPr>
              <w:spacing w:after="0"/>
              <w:rPr>
                <w:sz w:val="15"/>
                <w:szCs w:val="15"/>
                <w:color w:val="auto"/>
              </w:rPr>
            </w:pPr>
          </w:p>
        </w:tc>
      </w:tr>
      <w:tr>
        <w:trPr>
          <w:trHeight w:val="144"/>
        </w:trPr>
        <w:tc>
          <w:tcPr>
            <w:tcW w:w="7720" w:type="dxa"/>
            <w:vAlign w:val="bottom"/>
          </w:tcPr>
          <w:p>
            <w:pPr>
              <w:spacing w:after="0"/>
              <w:rPr>
                <w:sz w:val="12"/>
                <w:szCs w:val="12"/>
                <w:color w:val="auto"/>
              </w:rPr>
            </w:pPr>
          </w:p>
        </w:tc>
        <w:tc>
          <w:tcPr>
            <w:tcW w:w="10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July 31,</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August 1,</w:t>
            </w:r>
          </w:p>
        </w:tc>
        <w:tc>
          <w:tcPr>
            <w:tcW w:w="600" w:type="dxa"/>
            <w:vAlign w:val="bottom"/>
          </w:tcPr>
          <w:p>
            <w:pPr>
              <w:spacing w:after="0"/>
              <w:rPr>
                <w:sz w:val="12"/>
                <w:szCs w:val="12"/>
                <w:color w:val="auto"/>
              </w:rPr>
            </w:pPr>
          </w:p>
        </w:tc>
      </w:tr>
      <w:tr>
        <w:trPr>
          <w:trHeight w:val="173"/>
        </w:trPr>
        <w:tc>
          <w:tcPr>
            <w:tcW w:w="772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2021</w:t>
            </w:r>
          </w:p>
        </w:tc>
        <w:tc>
          <w:tcPr>
            <w:tcW w:w="600" w:type="dxa"/>
            <w:vAlign w:val="bottom"/>
            <w:tcBorders>
              <w:bottom w:val="single" w:sz="8" w:color="auto"/>
            </w:tcBorders>
          </w:tcPr>
          <w:p>
            <w:pPr>
              <w:spacing w:after="0"/>
              <w:rPr>
                <w:sz w:val="15"/>
                <w:szCs w:val="15"/>
                <w:color w:val="auto"/>
              </w:rPr>
            </w:pPr>
          </w:p>
        </w:tc>
      </w:tr>
      <w:tr>
        <w:trPr>
          <w:trHeight w:val="156"/>
        </w:trPr>
        <w:tc>
          <w:tcPr>
            <w:tcW w:w="77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sales</w:t>
            </w:r>
          </w:p>
        </w:tc>
        <w:tc>
          <w:tcPr>
            <w:tcW w:w="1060" w:type="dxa"/>
            <w:vAlign w:val="bottom"/>
            <w:shd w:val="clear" w:color="auto" w:fill="CFF0FC"/>
          </w:tcPr>
          <w:p>
            <w:pPr>
              <w:jc w:val="right"/>
              <w:ind w:right="90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62,604</w:t>
            </w: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9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83,047</w:t>
            </w:r>
          </w:p>
        </w:tc>
      </w:tr>
      <w:tr>
        <w:trPr>
          <w:trHeight w:val="162"/>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(58,476)</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(70,548)</w:t>
            </w:r>
          </w:p>
        </w:tc>
      </w:tr>
      <w:tr>
        <w:trPr>
          <w:trHeight w:val="156"/>
        </w:trPr>
        <w:tc>
          <w:tcPr>
            <w:tcW w:w="7720" w:type="dxa"/>
            <w:vAlign w:val="bottom"/>
            <w:shd w:val="clear" w:color="auto" w:fill="CFF0FC"/>
          </w:tcPr>
          <w:p>
            <w:pPr>
              <w:ind w:left="500"/>
              <w:spacing w:after="0" w:line="155" w:lineRule="exact"/>
              <w:rPr>
                <w:sz w:val="20"/>
                <w:szCs w:val="20"/>
                <w:color w:val="auto"/>
              </w:rPr>
            </w:pPr>
            <w:r>
              <w:rPr>
                <w:rFonts w:ascii="Times New Roman" w:cs="Times New Roman" w:eastAsia="Times New Roman" w:hAnsi="Times New Roman"/>
                <w:sz w:val="14"/>
                <w:szCs w:val="14"/>
                <w:color w:val="auto"/>
              </w:rPr>
              <w:t>Gross profit</w:t>
            </w:r>
          </w:p>
        </w:tc>
        <w:tc>
          <w:tcPr>
            <w:tcW w:w="10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4,128</w:t>
            </w: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12,499</w:t>
            </w:r>
          </w:p>
        </w:tc>
      </w:tr>
      <w:tr>
        <w:trPr>
          <w:trHeight w:val="162"/>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(8,866)</w:t>
            </w:r>
          </w:p>
        </w:tc>
        <w:tc>
          <w:tcPr>
            <w:tcW w:w="1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(9,181)</w:t>
            </w:r>
          </w:p>
        </w:tc>
      </w:tr>
      <w:tr>
        <w:trPr>
          <w:trHeight w:val="156"/>
        </w:trPr>
        <w:tc>
          <w:tcPr>
            <w:tcW w:w="7720" w:type="dxa"/>
            <w:vAlign w:val="bottom"/>
            <w:shd w:val="clear" w:color="auto" w:fill="CFF0FC"/>
          </w:tcPr>
          <w:p>
            <w:pPr>
              <w:ind w:left="500"/>
              <w:spacing w:after="0" w:line="155" w:lineRule="exact"/>
              <w:rPr>
                <w:sz w:val="20"/>
                <w:szCs w:val="20"/>
                <w:color w:val="auto"/>
              </w:rPr>
            </w:pPr>
            <w:r>
              <w:rPr>
                <w:rFonts w:ascii="Times New Roman" w:cs="Times New Roman" w:eastAsia="Times New Roman" w:hAnsi="Times New Roman"/>
                <w:sz w:val="14"/>
                <w:szCs w:val="14"/>
                <w:color w:val="auto"/>
              </w:rPr>
              <w:t>(Loss) income from operations</w:t>
            </w:r>
          </w:p>
        </w:tc>
        <w:tc>
          <w:tcPr>
            <w:tcW w:w="10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(4,738)</w:t>
            </w: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3,318</w:t>
            </w:r>
          </w:p>
        </w:tc>
      </w:tr>
      <w:tr>
        <w:trPr>
          <w:trHeight w:val="16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0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17</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74</w:t>
            </w:r>
          </w:p>
        </w:tc>
      </w:tr>
      <w:tr>
        <w:trPr>
          <w:trHeight w:val="162"/>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expense</w:t>
            </w:r>
          </w:p>
        </w:tc>
        <w:tc>
          <w:tcPr>
            <w:tcW w:w="10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(82)</w:t>
            </w:r>
          </w:p>
        </w:tc>
        <w:tc>
          <w:tcPr>
            <w:tcW w:w="1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(237)</w:t>
            </w:r>
          </w:p>
        </w:tc>
      </w:tr>
      <w:tr>
        <w:trPr>
          <w:trHeight w:val="155"/>
        </w:trPr>
        <w:tc>
          <w:tcPr>
            <w:tcW w:w="7720" w:type="dxa"/>
            <w:vAlign w:val="bottom"/>
          </w:tcPr>
          <w:p>
            <w:pPr>
              <w:ind w:left="500"/>
              <w:spacing w:after="0" w:line="155" w:lineRule="exact"/>
              <w:rPr>
                <w:sz w:val="20"/>
                <w:szCs w:val="20"/>
                <w:color w:val="auto"/>
              </w:rPr>
            </w:pPr>
            <w:r>
              <w:rPr>
                <w:rFonts w:ascii="Times New Roman" w:cs="Times New Roman" w:eastAsia="Times New Roman" w:hAnsi="Times New Roman"/>
                <w:sz w:val="14"/>
                <w:szCs w:val="14"/>
                <w:color w:val="auto"/>
              </w:rPr>
              <w:t>(Loss) income before income taxes</w:t>
            </w:r>
          </w:p>
        </w:tc>
        <w:tc>
          <w:tcPr>
            <w:tcW w:w="10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(4,803)</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3,155</w:t>
            </w:r>
          </w:p>
        </w:tc>
      </w:tr>
      <w:tr>
        <w:trPr>
          <w:trHeight w:val="162"/>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0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(896)</w:t>
            </w:r>
          </w:p>
        </w:tc>
        <w:tc>
          <w:tcPr>
            <w:tcW w:w="160" w:type="dxa"/>
            <w:vAlign w:val="bottom"/>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(905)</w:t>
            </w:r>
          </w:p>
        </w:tc>
      </w:tr>
      <w:tr>
        <w:trPr>
          <w:trHeight w:val="195"/>
        </w:trPr>
        <w:tc>
          <w:tcPr>
            <w:tcW w:w="77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(loss) income</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(5,699)</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2,250</w:t>
            </w:r>
          </w:p>
        </w:tc>
      </w:tr>
      <w:tr>
        <w:trPr>
          <w:trHeight w:val="143"/>
        </w:trPr>
        <w:tc>
          <w:tcPr>
            <w:tcW w:w="7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62"/>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income per share - basic</w:t>
            </w:r>
          </w:p>
        </w:tc>
        <w:tc>
          <w:tcPr>
            <w:tcW w:w="1060" w:type="dxa"/>
            <w:vAlign w:val="bottom"/>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(0.47)</w:t>
            </w: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0.18</w:t>
            </w:r>
          </w:p>
        </w:tc>
      </w:tr>
      <w:tr>
        <w:trPr>
          <w:trHeight w:val="16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 per share - diluted</w:t>
            </w:r>
          </w:p>
        </w:tc>
        <w:tc>
          <w:tcPr>
            <w:tcW w:w="1060" w:type="dxa"/>
            <w:vAlign w:val="bottom"/>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(0.47)</w:t>
            </w:r>
          </w:p>
        </w:tc>
        <w:tc>
          <w:tcPr>
            <w:tcW w:w="160" w:type="dxa"/>
            <w:vAlign w:val="bottom"/>
          </w:tcPr>
          <w:p>
            <w:pPr>
              <w:spacing w:after="0"/>
              <w:rPr>
                <w:sz w:val="14"/>
                <w:szCs w:val="14"/>
                <w:color w:val="auto"/>
              </w:rPr>
            </w:pPr>
          </w:p>
        </w:tc>
        <w:tc>
          <w:tcPr>
            <w:tcW w:w="108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0.18</w:t>
            </w:r>
          </w:p>
        </w:tc>
      </w:tr>
      <w:tr>
        <w:trPr>
          <w:trHeight w:val="162"/>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Average shares outstanding, basic</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12,238</w:t>
            </w: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12,313</w:t>
            </w:r>
          </w:p>
        </w:tc>
      </w:tr>
      <w:tr>
        <w:trPr>
          <w:trHeight w:val="190"/>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Average shares outstanding, diluted</w:t>
            </w:r>
          </w:p>
        </w:tc>
        <w:tc>
          <w:tcPr>
            <w:tcW w:w="106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12,238</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12,415</w:t>
            </w:r>
          </w:p>
        </w:tc>
      </w:tr>
    </w:tbl>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 INCOME</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MONTHS ENDED JULY 31, 2022, AND AUGUST 1, 2021</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r>
      <w:tr>
        <w:trPr>
          <w:trHeight w:val="209"/>
        </w:trPr>
        <w:tc>
          <w:tcPr>
            <w:tcW w:w="5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July 31,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w:t>
            </w:r>
          </w:p>
        </w:tc>
        <w:tc>
          <w:tcPr>
            <w:tcW w:w="540" w:type="dxa"/>
            <w:vAlign w:val="bottom"/>
          </w:tcPr>
          <w:p>
            <w:pPr>
              <w:spacing w:after="0"/>
              <w:rPr>
                <w:sz w:val="18"/>
                <w:szCs w:val="18"/>
                <w:color w:val="auto"/>
              </w:rPr>
            </w:pPr>
          </w:p>
        </w:tc>
      </w:tr>
      <w:tr>
        <w:trPr>
          <w:trHeight w:val="217"/>
        </w:trPr>
        <w:tc>
          <w:tcPr>
            <w:tcW w:w="5720" w:type="dxa"/>
            <w:vAlign w:val="bottom"/>
          </w:tcPr>
          <w:p>
            <w:pPr>
              <w:spacing w:after="0"/>
              <w:rPr>
                <w:sz w:val="18"/>
                <w:szCs w:val="18"/>
                <w:color w:val="auto"/>
              </w:rPr>
            </w:pPr>
          </w:p>
        </w:tc>
        <w:tc>
          <w:tcPr>
            <w:tcW w:w="3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Pr>
          <w:p>
            <w:pPr>
              <w:spacing w:after="0"/>
              <w:rPr>
                <w:sz w:val="18"/>
                <w:szCs w:val="18"/>
                <w:color w:val="auto"/>
              </w:rPr>
            </w:pPr>
          </w:p>
        </w:tc>
        <w:tc>
          <w:tcPr>
            <w:tcW w:w="13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2021</w:t>
            </w:r>
          </w:p>
        </w:tc>
        <w:tc>
          <w:tcPr>
            <w:tcW w:w="540" w:type="dxa"/>
            <w:vAlign w:val="bottom"/>
          </w:tcPr>
          <w:p>
            <w:pPr>
              <w:spacing w:after="0"/>
              <w:rPr>
                <w:sz w:val="18"/>
                <w:szCs w:val="18"/>
                <w:color w:val="auto"/>
              </w:rPr>
            </w:pPr>
          </w:p>
        </w:tc>
      </w:tr>
      <w:tr>
        <w:trPr>
          <w:trHeight w:val="213"/>
        </w:trPr>
        <w:tc>
          <w:tcPr>
            <w:tcW w:w="5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0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(5,699)</w:t>
            </w:r>
          </w:p>
        </w:tc>
        <w:tc>
          <w:tcPr>
            <w:tcW w:w="1300" w:type="dxa"/>
            <w:vAlign w:val="bottom"/>
            <w:tcBorders>
              <w:top w:val="single" w:sz="8" w:color="auto"/>
            </w:tcBorders>
            <w:gridSpan w:val="2"/>
            <w:shd w:val="clear" w:color="auto" w:fill="CFF0FC"/>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2,250</w:t>
            </w:r>
          </w:p>
        </w:tc>
      </w:tr>
      <w:tr>
        <w:trPr>
          <w:trHeight w:val="214"/>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Unrealized holding (loss) gain on investments, net of tax</w:t>
            </w:r>
          </w:p>
        </w:tc>
        <w:tc>
          <w:tcPr>
            <w:tcW w:w="206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8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148</w:t>
            </w:r>
          </w:p>
        </w:tc>
      </w:tr>
      <w:tr>
        <w:trPr>
          <w:trHeight w:val="210"/>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(loss) income</w:t>
            </w:r>
          </w:p>
        </w:tc>
        <w:tc>
          <w:tcPr>
            <w:tcW w:w="20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(5,706)</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95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2,398</w:t>
            </w:r>
          </w:p>
        </w:tc>
      </w:tr>
      <w:tr>
        <w:trPr>
          <w:trHeight w:val="20"/>
        </w:trPr>
        <w:tc>
          <w:tcPr>
            <w:tcW w:w="5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JULY 31, 2022, AUGUST 1, 2021, AND MAY 1, 2022</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July 31,</w:t>
            </w: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August 1,</w:t>
            </w:r>
          </w:p>
        </w:tc>
        <w:tc>
          <w:tcPr>
            <w:tcW w:w="144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 May 1,</w:t>
            </w:r>
          </w:p>
        </w:tc>
        <w:tc>
          <w:tcPr>
            <w:tcW w:w="0" w:type="dxa"/>
            <w:vAlign w:val="bottom"/>
          </w:tcPr>
          <w:p>
            <w:pPr>
              <w:spacing w:after="0"/>
              <w:rPr>
                <w:sz w:val="1"/>
                <w:szCs w:val="1"/>
                <w:color w:val="auto"/>
              </w:rPr>
            </w:pPr>
          </w:p>
        </w:tc>
      </w:tr>
      <w:tr>
        <w:trPr>
          <w:trHeight w:val="219"/>
        </w:trPr>
        <w:tc>
          <w:tcPr>
            <w:tcW w:w="578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2021</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12"/>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18,874</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26,061</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14,550</w:t>
            </w:r>
          </w:p>
        </w:tc>
        <w:tc>
          <w:tcPr>
            <w:tcW w:w="0" w:type="dxa"/>
            <w:vAlign w:val="bottom"/>
          </w:tcPr>
          <w:p>
            <w:pPr>
              <w:spacing w:after="0"/>
              <w:rPr>
                <w:sz w:val="1"/>
                <w:szCs w:val="1"/>
                <w:color w:val="auto"/>
              </w:rPr>
            </w:pPr>
          </w:p>
        </w:tc>
      </w:tr>
      <w:tr>
        <w:trPr>
          <w:trHeight w:val="218"/>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Short-term investments - held-to-maturity</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1,661</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Short-term investments - available for sale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9,698</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receivable, net</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24,812</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35,008</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22,226</w:t>
            </w:r>
          </w:p>
        </w:tc>
        <w:tc>
          <w:tcPr>
            <w:tcW w:w="0" w:type="dxa"/>
            <w:vAlign w:val="bottom"/>
          </w:tcPr>
          <w:p>
            <w:pPr>
              <w:spacing w:after="0"/>
              <w:rPr>
                <w:sz w:val="1"/>
                <w:szCs w:val="1"/>
                <w:color w:val="auto"/>
              </w:rPr>
            </w:pPr>
          </w:p>
        </w:tc>
      </w:tr>
      <w:tr>
        <w:trPr>
          <w:trHeight w:val="214"/>
        </w:trPr>
        <w:tc>
          <w:tcPr>
            <w:tcW w:w="5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63,749</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58,613</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66,557</w:t>
            </w:r>
          </w:p>
        </w:tc>
        <w:tc>
          <w:tcPr>
            <w:tcW w:w="0" w:type="dxa"/>
            <w:vAlign w:val="bottom"/>
          </w:tcPr>
          <w:p>
            <w:pPr>
              <w:spacing w:after="0"/>
              <w:rPr>
                <w:sz w:val="1"/>
                <w:szCs w:val="1"/>
                <w:color w:val="auto"/>
              </w:rPr>
            </w:pPr>
          </w:p>
        </w:tc>
      </w:tr>
      <w:tr>
        <w:trPr>
          <w:trHeight w:val="218"/>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798</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524</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214"/>
        </w:trPr>
        <w:tc>
          <w:tcPr>
            <w:tcW w:w="5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Other current assets</w:t>
            </w:r>
          </w:p>
        </w:tc>
        <w:tc>
          <w:tcPr>
            <w:tcW w:w="8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3,840</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3,889</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2,986</w:t>
            </w:r>
          </w:p>
        </w:tc>
        <w:tc>
          <w:tcPr>
            <w:tcW w:w="0" w:type="dxa"/>
            <w:vAlign w:val="bottom"/>
          </w:tcPr>
          <w:p>
            <w:pPr>
              <w:spacing w:after="0"/>
              <w:rPr>
                <w:sz w:val="1"/>
                <w:szCs w:val="1"/>
                <w:color w:val="auto"/>
              </w:rPr>
            </w:pPr>
          </w:p>
        </w:tc>
      </w:tr>
      <w:tr>
        <w:trPr>
          <w:trHeight w:val="211"/>
        </w:trPr>
        <w:tc>
          <w:tcPr>
            <w:tcW w:w="5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current assets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112,073</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135,454</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107,176</w:t>
            </w:r>
          </w:p>
        </w:tc>
        <w:tc>
          <w:tcPr>
            <w:tcW w:w="0" w:type="dxa"/>
            <w:vAlign w:val="bottom"/>
          </w:tcPr>
          <w:p>
            <w:pPr>
              <w:spacing w:after="0"/>
              <w:rPr>
                <w:sz w:val="1"/>
                <w:szCs w:val="1"/>
                <w:color w:val="auto"/>
              </w:rPr>
            </w:pP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40,490</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43,930</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41,702</w:t>
            </w:r>
          </w:p>
        </w:tc>
        <w:tc>
          <w:tcPr>
            <w:tcW w:w="0" w:type="dxa"/>
            <w:vAlign w:val="bottom"/>
          </w:tcPr>
          <w:p>
            <w:pPr>
              <w:spacing w:after="0"/>
              <w:rPr>
                <w:sz w:val="1"/>
                <w:szCs w:val="1"/>
                <w:color w:val="auto"/>
              </w:rPr>
            </w:pPr>
          </w:p>
        </w:tc>
      </w:tr>
      <w:tr>
        <w:trPr>
          <w:trHeight w:val="218"/>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14,556</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11,447</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15,577</w:t>
            </w:r>
          </w:p>
        </w:tc>
        <w:tc>
          <w:tcPr>
            <w:tcW w:w="0" w:type="dxa"/>
            <w:vAlign w:val="bottom"/>
          </w:tcPr>
          <w:p>
            <w:pPr>
              <w:spacing w:after="0"/>
              <w:rPr>
                <w:sz w:val="1"/>
                <w:szCs w:val="1"/>
                <w:color w:val="auto"/>
              </w:rPr>
            </w:pP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9,567</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8,841</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9,357</w:t>
            </w:r>
          </w:p>
        </w:tc>
        <w:tc>
          <w:tcPr>
            <w:tcW w:w="0" w:type="dxa"/>
            <w:vAlign w:val="bottom"/>
          </w:tcPr>
          <w:p>
            <w:pPr>
              <w:spacing w:after="0"/>
              <w:rPr>
                <w:sz w:val="1"/>
                <w:szCs w:val="1"/>
                <w:color w:val="auto"/>
              </w:rPr>
            </w:pPr>
          </w:p>
        </w:tc>
      </w:tr>
      <w:tr>
        <w:trPr>
          <w:trHeight w:val="218"/>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investments - held-to-maturity</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6,629</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2,534</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2,910</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2,628</w:t>
            </w:r>
          </w:p>
        </w:tc>
        <w:tc>
          <w:tcPr>
            <w:tcW w:w="0" w:type="dxa"/>
            <w:vAlign w:val="bottom"/>
          </w:tcPr>
          <w:p>
            <w:pPr>
              <w:spacing w:after="0"/>
              <w:rPr>
                <w:sz w:val="1"/>
                <w:szCs w:val="1"/>
                <w:color w:val="auto"/>
              </w:rPr>
            </w:pPr>
          </w:p>
        </w:tc>
      </w:tr>
      <w:tr>
        <w:trPr>
          <w:trHeight w:val="218"/>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546</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455</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14"/>
        </w:trPr>
        <w:tc>
          <w:tcPr>
            <w:tcW w:w="5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8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724</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2,582</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09"/>
        </w:trPr>
        <w:tc>
          <w:tcPr>
            <w:tcW w:w="57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8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180,490</w:t>
            </w: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212,248</w:t>
            </w: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177,563</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78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payable - trade</w:t>
            </w:r>
          </w:p>
        </w:tc>
        <w:tc>
          <w:tcPr>
            <w:tcW w:w="11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29,097</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45,285</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20,099</w:t>
            </w:r>
          </w:p>
        </w:tc>
        <w:tc>
          <w:tcPr>
            <w:tcW w:w="0" w:type="dxa"/>
            <w:vAlign w:val="bottom"/>
          </w:tcPr>
          <w:p>
            <w:pPr>
              <w:spacing w:after="0"/>
              <w:rPr>
                <w:sz w:val="1"/>
                <w:szCs w:val="1"/>
                <w:color w:val="auto"/>
              </w:rPr>
            </w:pPr>
          </w:p>
        </w:tc>
      </w:tr>
      <w:tr>
        <w:trPr>
          <w:trHeight w:val="214"/>
        </w:trPr>
        <w:tc>
          <w:tcPr>
            <w:tcW w:w="5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 - capital expenditures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346</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218"/>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3,126</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2,727</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3,219</w:t>
            </w:r>
          </w:p>
        </w:tc>
        <w:tc>
          <w:tcPr>
            <w:tcW w:w="0" w:type="dxa"/>
            <w:vAlign w:val="bottom"/>
          </w:tcPr>
          <w:p>
            <w:pPr>
              <w:spacing w:after="0"/>
              <w:rPr>
                <w:sz w:val="1"/>
                <w:szCs w:val="1"/>
                <w:color w:val="auto"/>
              </w:rPr>
            </w:pPr>
          </w:p>
        </w:tc>
      </w:tr>
      <w:tr>
        <w:trPr>
          <w:trHeight w:val="214"/>
        </w:trPr>
        <w:tc>
          <w:tcPr>
            <w:tcW w:w="5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revenue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1,368</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694</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218"/>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Accrued expenses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7,158</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9,950</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7,832</w:t>
            </w:r>
          </w:p>
        </w:tc>
        <w:tc>
          <w:tcPr>
            <w:tcW w:w="0" w:type="dxa"/>
            <w:vAlign w:val="bottom"/>
          </w:tcPr>
          <w:p>
            <w:pPr>
              <w:spacing w:after="0"/>
              <w:rPr>
                <w:sz w:val="1"/>
                <w:szCs w:val="1"/>
                <w:color w:val="auto"/>
              </w:rPr>
            </w:pPr>
          </w:p>
        </w:tc>
      </w:tr>
      <w:tr>
        <w:trPr>
          <w:trHeight w:val="214"/>
        </w:trPr>
        <w:tc>
          <w:tcPr>
            <w:tcW w:w="5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Income taxes payable - current</w:t>
            </w:r>
          </w:p>
        </w:tc>
        <w:tc>
          <w:tcPr>
            <w:tcW w:w="8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587</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253</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11"/>
        </w:trPr>
        <w:tc>
          <w:tcPr>
            <w:tcW w:w="5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41,682</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58,957</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32,556</w:t>
            </w:r>
          </w:p>
        </w:tc>
        <w:tc>
          <w:tcPr>
            <w:tcW w:w="0" w:type="dxa"/>
            <w:vAlign w:val="bottom"/>
          </w:tcPr>
          <w:p>
            <w:pPr>
              <w:spacing w:after="0"/>
              <w:rPr>
                <w:sz w:val="1"/>
                <w:szCs w:val="1"/>
                <w:color w:val="auto"/>
              </w:rPr>
            </w:pP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liability - long-term</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6,160</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6,665</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7,062</w:t>
            </w:r>
          </w:p>
        </w:tc>
        <w:tc>
          <w:tcPr>
            <w:tcW w:w="0" w:type="dxa"/>
            <w:vAlign w:val="bottom"/>
          </w:tcPr>
          <w:p>
            <w:pPr>
              <w:spacing w:after="0"/>
              <w:rPr>
                <w:sz w:val="1"/>
                <w:szCs w:val="1"/>
                <w:color w:val="auto"/>
              </w:rPr>
            </w:pPr>
          </w:p>
        </w:tc>
      </w:tr>
      <w:tr>
        <w:trPr>
          <w:trHeight w:val="218"/>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taxes payable - long-term</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3,118</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3,365</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3,097</w:t>
            </w:r>
          </w:p>
        </w:tc>
        <w:tc>
          <w:tcPr>
            <w:tcW w:w="0" w:type="dxa"/>
            <w:vAlign w:val="bottom"/>
          </w:tcPr>
          <w:p>
            <w:pPr>
              <w:spacing w:after="0"/>
              <w:rPr>
                <w:sz w:val="1"/>
                <w:szCs w:val="1"/>
                <w:color w:val="auto"/>
              </w:rPr>
            </w:pP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6,007</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4,917</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6,004</w:t>
            </w:r>
          </w:p>
        </w:tc>
        <w:tc>
          <w:tcPr>
            <w:tcW w:w="0" w:type="dxa"/>
            <w:vAlign w:val="bottom"/>
          </w:tcPr>
          <w:p>
            <w:pPr>
              <w:spacing w:after="0"/>
              <w:rPr>
                <w:sz w:val="1"/>
                <w:szCs w:val="1"/>
                <w:color w:val="auto"/>
              </w:rPr>
            </w:pPr>
          </w:p>
        </w:tc>
      </w:tr>
      <w:tr>
        <w:trPr>
          <w:trHeight w:val="218"/>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compensation</w:t>
            </w:r>
          </w:p>
        </w:tc>
        <w:tc>
          <w:tcPr>
            <w:tcW w:w="8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9,528</w:t>
            </w:r>
          </w:p>
        </w:tc>
        <w:tc>
          <w:tcPr>
            <w:tcW w:w="140" w:type="dxa"/>
            <w:vAlign w:val="bottom"/>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8,795</w:t>
            </w:r>
          </w:p>
        </w:tc>
        <w:tc>
          <w:tcPr>
            <w:tcW w:w="140" w:type="dxa"/>
            <w:vAlign w:val="bottom"/>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9,343</w:t>
            </w:r>
          </w:p>
        </w:tc>
        <w:tc>
          <w:tcPr>
            <w:tcW w:w="0" w:type="dxa"/>
            <w:vAlign w:val="bottom"/>
          </w:tcPr>
          <w:p>
            <w:pPr>
              <w:spacing w:after="0"/>
              <w:rPr>
                <w:sz w:val="1"/>
                <w:szCs w:val="1"/>
                <w:color w:val="auto"/>
              </w:rPr>
            </w:pPr>
          </w:p>
        </w:tc>
      </w:tr>
      <w:tr>
        <w:trPr>
          <w:trHeight w:val="208"/>
        </w:trPr>
        <w:tc>
          <w:tcPr>
            <w:tcW w:w="57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8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66,495</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82,699</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58,062</w:t>
            </w:r>
          </w:p>
        </w:tc>
        <w:tc>
          <w:tcPr>
            <w:tcW w:w="0" w:type="dxa"/>
            <w:vAlign w:val="bottom"/>
          </w:tcPr>
          <w:p>
            <w:pPr>
              <w:spacing w:after="0"/>
              <w:rPr>
                <w:sz w:val="1"/>
                <w:szCs w:val="1"/>
                <w:color w:val="auto"/>
              </w:rPr>
            </w:pPr>
          </w:p>
        </w:tc>
      </w:tr>
      <w:tr>
        <w:trPr>
          <w:trHeight w:val="211"/>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(Notes 8, 14, and 15)</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Preferred stock, $0.05 par value, authorized 10,000,000</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5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stock, $0.05 par value, authorized 40,000,000 shares, issued</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and outstanding 12,274,786 at July 31, 2022; 12,276,286 at August 1,</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614</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2021; and 12,228,629 at May 1, 2022</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614</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219"/>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Capital contributed in excess of par value</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43,340</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43,310</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43,143</w:t>
            </w:r>
          </w:p>
        </w:tc>
        <w:tc>
          <w:tcPr>
            <w:tcW w:w="0" w:type="dxa"/>
            <w:vAlign w:val="bottom"/>
          </w:tcPr>
          <w:p>
            <w:pPr>
              <w:spacing w:after="0"/>
              <w:rPr>
                <w:sz w:val="1"/>
                <w:szCs w:val="1"/>
                <w:color w:val="auto"/>
              </w:rPr>
            </w:pPr>
          </w:p>
        </w:tc>
      </w:tr>
      <w:tr>
        <w:trPr>
          <w:trHeight w:val="214"/>
        </w:trPr>
        <w:tc>
          <w:tcPr>
            <w:tcW w:w="5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Accumulated earnings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70,016</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85,331</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75,715</w:t>
            </w:r>
          </w:p>
        </w:tc>
        <w:tc>
          <w:tcPr>
            <w:tcW w:w="0" w:type="dxa"/>
            <w:vAlign w:val="bottom"/>
          </w:tcPr>
          <w:p>
            <w:pPr>
              <w:spacing w:after="0"/>
              <w:rPr>
                <w:sz w:val="1"/>
                <w:szCs w:val="1"/>
                <w:color w:val="auto"/>
              </w:rPr>
            </w:pPr>
          </w:p>
        </w:tc>
      </w:tr>
      <w:tr>
        <w:trPr>
          <w:trHeight w:val="218"/>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8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w:t>
            </w: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294</w:t>
            </w: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8"/>
        </w:trPr>
        <w:tc>
          <w:tcPr>
            <w:tcW w:w="5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8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113,995</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129,549</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119,501</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8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180,490</w:t>
            </w: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212,248</w:t>
            </w: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177,563</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Derived from audited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MONTHS ENDED JULY 31, 2022, AND AUGUST 1, 2021</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2760" w:type="dxa"/>
            <w:vAlign w:val="bottom"/>
            <w:tcBorders>
              <w:bottom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Borders>
              <w:bottom w:val="single" w:sz="8" w:color="auto"/>
            </w:tcBorders>
          </w:tcPr>
          <w:p>
            <w:pPr>
              <w:spacing w:after="0"/>
              <w:rPr>
                <w:sz w:val="15"/>
                <w:szCs w:val="15"/>
                <w:color w:val="auto"/>
              </w:rPr>
            </w:pPr>
          </w:p>
        </w:tc>
      </w:tr>
      <w:tr>
        <w:trPr>
          <w:trHeight w:val="227"/>
        </w:trPr>
        <w:tc>
          <w:tcPr>
            <w:tcW w:w="79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1,</w:t>
            </w:r>
          </w:p>
        </w:tc>
        <w:tc>
          <w:tcPr>
            <w:tcW w:w="580" w:type="dxa"/>
            <w:vAlign w:val="bottom"/>
          </w:tcPr>
          <w:p>
            <w:pPr>
              <w:spacing w:after="0"/>
              <w:rPr>
                <w:sz w:val="19"/>
                <w:szCs w:val="19"/>
                <w:color w:val="auto"/>
              </w:rPr>
            </w:pPr>
          </w:p>
        </w:tc>
      </w:tr>
      <w:tr>
        <w:trPr>
          <w:trHeight w:val="199"/>
        </w:trPr>
        <w:tc>
          <w:tcPr>
            <w:tcW w:w="790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2021</w:t>
            </w:r>
          </w:p>
        </w:tc>
        <w:tc>
          <w:tcPr>
            <w:tcW w:w="580" w:type="dxa"/>
            <w:vAlign w:val="bottom"/>
            <w:tcBorders>
              <w:bottom w:val="single" w:sz="8" w:color="auto"/>
            </w:tcBorders>
          </w:tcPr>
          <w:p>
            <w:pPr>
              <w:spacing w:after="0"/>
              <w:rPr>
                <w:sz w:val="17"/>
                <w:szCs w:val="17"/>
                <w:color w:val="auto"/>
              </w:rPr>
            </w:pPr>
          </w:p>
        </w:tc>
      </w:tr>
      <w:tr>
        <w:trPr>
          <w:trHeight w:val="156"/>
        </w:trPr>
        <w:tc>
          <w:tcPr>
            <w:tcW w:w="790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00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62"/>
        </w:trPr>
        <w:tc>
          <w:tcPr>
            <w:tcW w:w="7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 income</w:t>
            </w:r>
          </w:p>
        </w:tc>
        <w:tc>
          <w:tcPr>
            <w:tcW w:w="1000" w:type="dxa"/>
            <w:vAlign w:val="bottom"/>
          </w:tcPr>
          <w:p>
            <w:pPr>
              <w:jc w:val="right"/>
              <w:ind w:right="87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60" w:type="dxa"/>
            <w:vAlign w:val="bottom"/>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(5,699)</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2,250</w:t>
            </w:r>
          </w:p>
        </w:tc>
      </w:tr>
      <w:tr>
        <w:trPr>
          <w:trHeight w:val="139"/>
        </w:trPr>
        <w:tc>
          <w:tcPr>
            <w:tcW w:w="790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Adjustments to reconcile net (loss) income to net cash provided by</w:t>
            </w:r>
          </w:p>
        </w:tc>
        <w:tc>
          <w:tcPr>
            <w:tcW w:w="1000" w:type="dxa"/>
            <w:vAlign w:val="bottom"/>
            <w:shd w:val="clear" w:color="auto" w:fill="CFF0FC"/>
          </w:tcPr>
          <w:p>
            <w:pPr>
              <w:spacing w:after="0"/>
              <w:rPr>
                <w:sz w:val="12"/>
                <w:szCs w:val="12"/>
                <w:color w:val="auto"/>
              </w:rPr>
            </w:pPr>
          </w:p>
        </w:tc>
        <w:tc>
          <w:tcPr>
            <w:tcW w:w="17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r>
      <w:tr>
        <w:trPr>
          <w:trHeight w:val="171"/>
        </w:trPr>
        <w:tc>
          <w:tcPr>
            <w:tcW w:w="79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operating activities:</w:t>
            </w:r>
          </w:p>
        </w:tc>
        <w:tc>
          <w:tcPr>
            <w:tcW w:w="100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62"/>
        </w:trPr>
        <w:tc>
          <w:tcPr>
            <w:tcW w:w="79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Depreciation</w:t>
            </w:r>
          </w:p>
        </w:tc>
        <w:tc>
          <w:tcPr>
            <w:tcW w:w="1000" w:type="dxa"/>
            <w:vAlign w:val="bottom"/>
          </w:tcPr>
          <w:p>
            <w:pPr>
              <w:spacing w:after="0"/>
              <w:rPr>
                <w:sz w:val="14"/>
                <w:szCs w:val="14"/>
                <w:color w:val="auto"/>
              </w:rPr>
            </w:pPr>
          </w:p>
        </w:tc>
        <w:tc>
          <w:tcPr>
            <w:tcW w:w="1760" w:type="dxa"/>
            <w:vAlign w:val="bottom"/>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1,770</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1,726</w:t>
            </w:r>
          </w:p>
        </w:tc>
      </w:tr>
      <w:tr>
        <w:trPr>
          <w:trHeight w:val="162"/>
        </w:trPr>
        <w:tc>
          <w:tcPr>
            <w:tcW w:w="7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Amortization</w:t>
            </w:r>
          </w:p>
        </w:tc>
        <w:tc>
          <w:tcPr>
            <w:tcW w:w="1000" w:type="dxa"/>
            <w:vAlign w:val="bottom"/>
            <w:shd w:val="clear" w:color="auto" w:fill="CFF0FC"/>
          </w:tcPr>
          <w:p>
            <w:pPr>
              <w:spacing w:after="0"/>
              <w:rPr>
                <w:sz w:val="14"/>
                <w:szCs w:val="14"/>
                <w:color w:val="auto"/>
              </w:rPr>
            </w:pPr>
          </w:p>
        </w:tc>
        <w:tc>
          <w:tcPr>
            <w:tcW w:w="1760" w:type="dxa"/>
            <w:vAlign w:val="bottom"/>
            <w:shd w:val="clear" w:color="auto" w:fill="CFF0FC"/>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105</w:t>
            </w:r>
          </w:p>
        </w:tc>
        <w:tc>
          <w:tcPr>
            <w:tcW w:w="5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121</w:t>
            </w:r>
          </w:p>
        </w:tc>
      </w:tr>
      <w:tr>
        <w:trPr>
          <w:trHeight w:val="162"/>
        </w:trPr>
        <w:tc>
          <w:tcPr>
            <w:tcW w:w="79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spacing w:after="0"/>
              <w:rPr>
                <w:sz w:val="14"/>
                <w:szCs w:val="14"/>
                <w:color w:val="auto"/>
              </w:rPr>
            </w:pPr>
          </w:p>
        </w:tc>
        <w:tc>
          <w:tcPr>
            <w:tcW w:w="1760" w:type="dxa"/>
            <w:vAlign w:val="bottom"/>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252</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274</w:t>
            </w:r>
          </w:p>
        </w:tc>
      </w:tr>
      <w:tr>
        <w:trPr>
          <w:trHeight w:val="162"/>
        </w:trPr>
        <w:tc>
          <w:tcPr>
            <w:tcW w:w="7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Deferred income taxes</w:t>
            </w:r>
          </w:p>
        </w:tc>
        <w:tc>
          <w:tcPr>
            <w:tcW w:w="1000" w:type="dxa"/>
            <w:vAlign w:val="bottom"/>
            <w:shd w:val="clear" w:color="auto" w:fill="CFF0FC"/>
          </w:tcPr>
          <w:p>
            <w:pPr>
              <w:spacing w:after="0"/>
              <w:rPr>
                <w:sz w:val="14"/>
                <w:szCs w:val="14"/>
                <w:color w:val="auto"/>
              </w:rPr>
            </w:pPr>
          </w:p>
        </w:tc>
        <w:tc>
          <w:tcPr>
            <w:tcW w:w="1760" w:type="dxa"/>
            <w:vAlign w:val="bottom"/>
            <w:shd w:val="clear" w:color="auto" w:fill="CFF0FC"/>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(15)</w:t>
            </w:r>
          </w:p>
        </w:tc>
        <w:tc>
          <w:tcPr>
            <w:tcW w:w="5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(323)</w:t>
            </w:r>
          </w:p>
        </w:tc>
      </w:tr>
      <w:tr>
        <w:trPr>
          <w:trHeight w:val="162"/>
        </w:trPr>
        <w:tc>
          <w:tcPr>
            <w:tcW w:w="79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Gain sale of equipment</w:t>
            </w:r>
          </w:p>
        </w:tc>
        <w:tc>
          <w:tcPr>
            <w:tcW w:w="1000" w:type="dxa"/>
            <w:vAlign w:val="bottom"/>
          </w:tcPr>
          <w:p>
            <w:pPr>
              <w:spacing w:after="0"/>
              <w:rPr>
                <w:sz w:val="14"/>
                <w:szCs w:val="14"/>
                <w:color w:val="auto"/>
              </w:rPr>
            </w:pPr>
          </w:p>
        </w:tc>
        <w:tc>
          <w:tcPr>
            <w:tcW w:w="1760" w:type="dxa"/>
            <w:vAlign w:val="bottom"/>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(64)</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Foreign currency exchange (gain) loss</w:t>
            </w:r>
          </w:p>
        </w:tc>
        <w:tc>
          <w:tcPr>
            <w:tcW w:w="1000" w:type="dxa"/>
            <w:vAlign w:val="bottom"/>
            <w:shd w:val="clear" w:color="auto" w:fill="CFF0FC"/>
          </w:tcPr>
          <w:p>
            <w:pPr>
              <w:spacing w:after="0"/>
              <w:rPr>
                <w:sz w:val="14"/>
                <w:szCs w:val="14"/>
                <w:color w:val="auto"/>
              </w:rPr>
            </w:pPr>
          </w:p>
        </w:tc>
        <w:tc>
          <w:tcPr>
            <w:tcW w:w="1760" w:type="dxa"/>
            <w:vAlign w:val="bottom"/>
            <w:shd w:val="clear" w:color="auto" w:fill="CFF0FC"/>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(161)</w:t>
            </w:r>
          </w:p>
        </w:tc>
        <w:tc>
          <w:tcPr>
            <w:tcW w:w="5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r>
      <w:tr>
        <w:trPr>
          <w:trHeight w:val="162"/>
        </w:trPr>
        <w:tc>
          <w:tcPr>
            <w:tcW w:w="79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79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4"/>
                <w:szCs w:val="14"/>
                <w:color w:val="auto"/>
              </w:rPr>
              <w:t>Accounts receivable</w:t>
            </w:r>
          </w:p>
        </w:tc>
        <w:tc>
          <w:tcPr>
            <w:tcW w:w="1000" w:type="dxa"/>
            <w:vAlign w:val="bottom"/>
            <w:shd w:val="clear" w:color="auto" w:fill="CFF0FC"/>
          </w:tcPr>
          <w:p>
            <w:pPr>
              <w:spacing w:after="0"/>
              <w:rPr>
                <w:sz w:val="14"/>
                <w:szCs w:val="14"/>
                <w:color w:val="auto"/>
              </w:rPr>
            </w:pPr>
          </w:p>
        </w:tc>
        <w:tc>
          <w:tcPr>
            <w:tcW w:w="1760" w:type="dxa"/>
            <w:vAlign w:val="bottom"/>
            <w:shd w:val="clear" w:color="auto" w:fill="CFF0FC"/>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(2,643)</w:t>
            </w:r>
          </w:p>
        </w:tc>
        <w:tc>
          <w:tcPr>
            <w:tcW w:w="5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2,715</w:t>
            </w:r>
          </w:p>
        </w:tc>
      </w:tr>
      <w:tr>
        <w:trPr>
          <w:trHeight w:val="162"/>
        </w:trPr>
        <w:tc>
          <w:tcPr>
            <w:tcW w:w="790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Inventories</w:t>
            </w:r>
          </w:p>
        </w:tc>
        <w:tc>
          <w:tcPr>
            <w:tcW w:w="1000" w:type="dxa"/>
            <w:vAlign w:val="bottom"/>
          </w:tcPr>
          <w:p>
            <w:pPr>
              <w:spacing w:after="0"/>
              <w:rPr>
                <w:sz w:val="14"/>
                <w:szCs w:val="14"/>
                <w:color w:val="auto"/>
              </w:rPr>
            </w:pPr>
          </w:p>
        </w:tc>
        <w:tc>
          <w:tcPr>
            <w:tcW w:w="1760" w:type="dxa"/>
            <w:vAlign w:val="bottom"/>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2,644</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(2,676)</w:t>
            </w:r>
          </w:p>
        </w:tc>
      </w:tr>
      <w:tr>
        <w:trPr>
          <w:trHeight w:val="162"/>
        </w:trPr>
        <w:tc>
          <w:tcPr>
            <w:tcW w:w="79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4"/>
                <w:szCs w:val="14"/>
                <w:color w:val="auto"/>
              </w:rPr>
              <w:t>Other current assets</w:t>
            </w:r>
          </w:p>
        </w:tc>
        <w:tc>
          <w:tcPr>
            <w:tcW w:w="1000" w:type="dxa"/>
            <w:vAlign w:val="bottom"/>
            <w:shd w:val="clear" w:color="auto" w:fill="CFF0FC"/>
          </w:tcPr>
          <w:p>
            <w:pPr>
              <w:spacing w:after="0"/>
              <w:rPr>
                <w:sz w:val="14"/>
                <w:szCs w:val="14"/>
                <w:color w:val="auto"/>
              </w:rPr>
            </w:pPr>
          </w:p>
        </w:tc>
        <w:tc>
          <w:tcPr>
            <w:tcW w:w="1760" w:type="dxa"/>
            <w:vAlign w:val="bottom"/>
            <w:shd w:val="clear" w:color="auto" w:fill="CFF0FC"/>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(955)</w:t>
            </w:r>
          </w:p>
        </w:tc>
        <w:tc>
          <w:tcPr>
            <w:tcW w:w="5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r>
      <w:tr>
        <w:trPr>
          <w:trHeight w:val="162"/>
        </w:trPr>
        <w:tc>
          <w:tcPr>
            <w:tcW w:w="790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Other assets</w:t>
            </w:r>
          </w:p>
        </w:tc>
        <w:tc>
          <w:tcPr>
            <w:tcW w:w="1000" w:type="dxa"/>
            <w:vAlign w:val="bottom"/>
          </w:tcPr>
          <w:p>
            <w:pPr>
              <w:spacing w:after="0"/>
              <w:rPr>
                <w:sz w:val="14"/>
                <w:szCs w:val="14"/>
                <w:color w:val="auto"/>
              </w:rPr>
            </w:pPr>
          </w:p>
        </w:tc>
        <w:tc>
          <w:tcPr>
            <w:tcW w:w="1760" w:type="dxa"/>
            <w:vAlign w:val="bottom"/>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21</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(556)</w:t>
            </w:r>
          </w:p>
        </w:tc>
      </w:tr>
      <w:tr>
        <w:trPr>
          <w:trHeight w:val="162"/>
        </w:trPr>
        <w:tc>
          <w:tcPr>
            <w:tcW w:w="79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4"/>
                <w:szCs w:val="14"/>
                <w:color w:val="auto"/>
              </w:rPr>
              <w:t>Accounts payable – trade</w:t>
            </w:r>
          </w:p>
        </w:tc>
        <w:tc>
          <w:tcPr>
            <w:tcW w:w="1000" w:type="dxa"/>
            <w:vAlign w:val="bottom"/>
            <w:shd w:val="clear" w:color="auto" w:fill="CFF0FC"/>
          </w:tcPr>
          <w:p>
            <w:pPr>
              <w:spacing w:after="0"/>
              <w:rPr>
                <w:sz w:val="14"/>
                <w:szCs w:val="14"/>
                <w:color w:val="auto"/>
              </w:rPr>
            </w:pPr>
          </w:p>
        </w:tc>
        <w:tc>
          <w:tcPr>
            <w:tcW w:w="1760" w:type="dxa"/>
            <w:vAlign w:val="bottom"/>
            <w:shd w:val="clear" w:color="auto" w:fill="CFF0FC"/>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9,338</w:t>
            </w:r>
          </w:p>
        </w:tc>
        <w:tc>
          <w:tcPr>
            <w:tcW w:w="5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2,723</w:t>
            </w:r>
          </w:p>
        </w:tc>
      </w:tr>
      <w:tr>
        <w:trPr>
          <w:trHeight w:val="162"/>
        </w:trPr>
        <w:tc>
          <w:tcPr>
            <w:tcW w:w="790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Deferred revenue</w:t>
            </w:r>
          </w:p>
        </w:tc>
        <w:tc>
          <w:tcPr>
            <w:tcW w:w="1000" w:type="dxa"/>
            <w:vAlign w:val="bottom"/>
          </w:tcPr>
          <w:p>
            <w:pPr>
              <w:spacing w:after="0"/>
              <w:rPr>
                <w:sz w:val="14"/>
                <w:szCs w:val="14"/>
                <w:color w:val="auto"/>
              </w:rPr>
            </w:pPr>
          </w:p>
        </w:tc>
        <w:tc>
          <w:tcPr>
            <w:tcW w:w="1760" w:type="dxa"/>
            <w:vAlign w:val="bottom"/>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848</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154</w:t>
            </w:r>
          </w:p>
        </w:tc>
      </w:tr>
      <w:tr>
        <w:trPr>
          <w:trHeight w:val="162"/>
        </w:trPr>
        <w:tc>
          <w:tcPr>
            <w:tcW w:w="79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4"/>
                <w:szCs w:val="14"/>
                <w:color w:val="auto"/>
              </w:rPr>
              <w:t>Accrued expenses and deferred compensation</w:t>
            </w:r>
          </w:p>
        </w:tc>
        <w:tc>
          <w:tcPr>
            <w:tcW w:w="1000" w:type="dxa"/>
            <w:vAlign w:val="bottom"/>
            <w:shd w:val="clear" w:color="auto" w:fill="CFF0FC"/>
          </w:tcPr>
          <w:p>
            <w:pPr>
              <w:spacing w:after="0"/>
              <w:rPr>
                <w:sz w:val="14"/>
                <w:szCs w:val="14"/>
                <w:color w:val="auto"/>
              </w:rPr>
            </w:pPr>
          </w:p>
        </w:tc>
        <w:tc>
          <w:tcPr>
            <w:tcW w:w="1760" w:type="dxa"/>
            <w:vAlign w:val="bottom"/>
            <w:shd w:val="clear" w:color="auto" w:fill="CFF0FC"/>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(413)</w:t>
            </w:r>
          </w:p>
        </w:tc>
        <w:tc>
          <w:tcPr>
            <w:tcW w:w="5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(4,336)</w:t>
            </w:r>
          </w:p>
        </w:tc>
      </w:tr>
      <w:tr>
        <w:trPr>
          <w:trHeight w:val="162"/>
        </w:trPr>
        <w:tc>
          <w:tcPr>
            <w:tcW w:w="790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4"/>
                <w:szCs w:val="14"/>
                <w:color w:val="auto"/>
              </w:rPr>
              <w:t>Income taxes</w:t>
            </w:r>
          </w:p>
        </w:tc>
        <w:tc>
          <w:tcPr>
            <w:tcW w:w="10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281</w:t>
            </w:r>
          </w:p>
        </w:tc>
        <w:tc>
          <w:tcPr>
            <w:tcW w:w="5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(465)</w:t>
            </w:r>
          </w:p>
        </w:tc>
      </w:tr>
      <w:tr>
        <w:trPr>
          <w:trHeight w:val="155"/>
        </w:trPr>
        <w:tc>
          <w:tcPr>
            <w:tcW w:w="7900" w:type="dxa"/>
            <w:vAlign w:val="bottom"/>
            <w:shd w:val="clear" w:color="auto" w:fill="CFF0FC"/>
          </w:tcPr>
          <w:p>
            <w:pPr>
              <w:ind w:left="1240"/>
              <w:spacing w:after="0" w:line="155"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00" w:type="dxa"/>
            <w:vAlign w:val="bottom"/>
            <w:tcBorders>
              <w:bottom w:val="single" w:sz="8" w:color="auto"/>
            </w:tcBorders>
            <w:shd w:val="clear" w:color="auto" w:fill="CFF0FC"/>
          </w:tcPr>
          <w:p>
            <w:pPr>
              <w:spacing w:after="0"/>
              <w:rPr>
                <w:sz w:val="13"/>
                <w:szCs w:val="13"/>
                <w:color w:val="auto"/>
              </w:rPr>
            </w:pPr>
          </w:p>
        </w:tc>
        <w:tc>
          <w:tcPr>
            <w:tcW w:w="1760" w:type="dxa"/>
            <w:vAlign w:val="bottom"/>
            <w:tcBorders>
              <w:bottom w:val="single" w:sz="8" w:color="auto"/>
            </w:tcBorders>
            <w:shd w:val="clear" w:color="auto" w:fill="CFF0FC"/>
          </w:tcPr>
          <w:p>
            <w:pPr>
              <w:jc w:val="right"/>
              <w:ind w:right="1228"/>
              <w:spacing w:after="0" w:line="155" w:lineRule="exact"/>
              <w:rPr>
                <w:sz w:val="20"/>
                <w:szCs w:val="20"/>
                <w:color w:val="auto"/>
              </w:rPr>
            </w:pPr>
            <w:r>
              <w:rPr>
                <w:rFonts w:ascii="Times New Roman" w:cs="Times New Roman" w:eastAsia="Times New Roman" w:hAnsi="Times New Roman"/>
                <w:sz w:val="14"/>
                <w:szCs w:val="14"/>
                <w:b w:val="1"/>
                <w:bCs w:val="1"/>
                <w:color w:val="auto"/>
              </w:rPr>
              <w:t>5,309</w:t>
            </w:r>
          </w:p>
        </w:tc>
        <w:tc>
          <w:tcPr>
            <w:tcW w:w="5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1,571</w:t>
            </w:r>
          </w:p>
        </w:tc>
      </w:tr>
      <w:tr>
        <w:trPr>
          <w:trHeight w:val="156"/>
        </w:trPr>
        <w:tc>
          <w:tcPr>
            <w:tcW w:w="79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0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Capital expenditures</w:t>
            </w:r>
          </w:p>
        </w:tc>
        <w:tc>
          <w:tcPr>
            <w:tcW w:w="1000" w:type="dxa"/>
            <w:vAlign w:val="bottom"/>
            <w:shd w:val="clear" w:color="auto" w:fill="CFF0FC"/>
          </w:tcPr>
          <w:p>
            <w:pPr>
              <w:spacing w:after="0"/>
              <w:rPr>
                <w:sz w:val="14"/>
                <w:szCs w:val="14"/>
                <w:color w:val="auto"/>
              </w:rPr>
            </w:pPr>
          </w:p>
        </w:tc>
        <w:tc>
          <w:tcPr>
            <w:tcW w:w="1760" w:type="dxa"/>
            <w:vAlign w:val="bottom"/>
            <w:shd w:val="clear" w:color="auto" w:fill="CFF0FC"/>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(711)</w:t>
            </w:r>
          </w:p>
        </w:tc>
        <w:tc>
          <w:tcPr>
            <w:tcW w:w="5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(1,953)</w:t>
            </w:r>
          </w:p>
        </w:tc>
      </w:tr>
      <w:tr>
        <w:trPr>
          <w:trHeight w:val="162"/>
        </w:trPr>
        <w:tc>
          <w:tcPr>
            <w:tcW w:w="7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the sale of equipment</w:t>
            </w:r>
          </w:p>
        </w:tc>
        <w:tc>
          <w:tcPr>
            <w:tcW w:w="1000" w:type="dxa"/>
            <w:vAlign w:val="bottom"/>
          </w:tcPr>
          <w:p>
            <w:pPr>
              <w:spacing w:after="0"/>
              <w:rPr>
                <w:sz w:val="14"/>
                <w:szCs w:val="14"/>
                <w:color w:val="auto"/>
              </w:rPr>
            </w:pPr>
          </w:p>
        </w:tc>
        <w:tc>
          <w:tcPr>
            <w:tcW w:w="1760" w:type="dxa"/>
            <w:vAlign w:val="bottom"/>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166</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Proceeds from the maturity of short-term investments (Held to Maturity)</w:t>
            </w:r>
          </w:p>
        </w:tc>
        <w:tc>
          <w:tcPr>
            <w:tcW w:w="1000" w:type="dxa"/>
            <w:vAlign w:val="bottom"/>
            <w:shd w:val="clear" w:color="auto" w:fill="CFF0FC"/>
          </w:tcPr>
          <w:p>
            <w:pPr>
              <w:spacing w:after="0"/>
              <w:rPr>
                <w:sz w:val="14"/>
                <w:szCs w:val="14"/>
                <w:color w:val="auto"/>
              </w:rPr>
            </w:pPr>
          </w:p>
        </w:tc>
        <w:tc>
          <w:tcPr>
            <w:tcW w:w="1760" w:type="dxa"/>
            <w:vAlign w:val="bottom"/>
            <w:shd w:val="clear" w:color="auto" w:fill="CFF0FC"/>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1,967</w:t>
            </w:r>
          </w:p>
        </w:tc>
      </w:tr>
      <w:tr>
        <w:trPr>
          <w:trHeight w:val="162"/>
        </w:trPr>
        <w:tc>
          <w:tcPr>
            <w:tcW w:w="7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 of short-term and long-term investments (Held to Maturity)</w:t>
            </w:r>
          </w:p>
        </w:tc>
        <w:tc>
          <w:tcPr>
            <w:tcW w:w="1000" w:type="dxa"/>
            <w:vAlign w:val="bottom"/>
          </w:tcPr>
          <w:p>
            <w:pPr>
              <w:spacing w:after="0"/>
              <w:rPr>
                <w:sz w:val="14"/>
                <w:szCs w:val="14"/>
                <w:color w:val="auto"/>
              </w:rPr>
            </w:pPr>
          </w:p>
        </w:tc>
        <w:tc>
          <w:tcPr>
            <w:tcW w:w="1760" w:type="dxa"/>
            <w:vAlign w:val="bottom"/>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(5,973)</w:t>
            </w:r>
          </w:p>
        </w:tc>
      </w:tr>
      <w:tr>
        <w:trPr>
          <w:trHeight w:val="162"/>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Purchase of short-term investments (Available for Sale)</w:t>
            </w:r>
          </w:p>
        </w:tc>
        <w:tc>
          <w:tcPr>
            <w:tcW w:w="1000" w:type="dxa"/>
            <w:vAlign w:val="bottom"/>
            <w:shd w:val="clear" w:color="auto" w:fill="CFF0FC"/>
          </w:tcPr>
          <w:p>
            <w:pPr>
              <w:spacing w:after="0"/>
              <w:rPr>
                <w:sz w:val="14"/>
                <w:szCs w:val="14"/>
                <w:color w:val="auto"/>
              </w:rPr>
            </w:pPr>
          </w:p>
        </w:tc>
        <w:tc>
          <w:tcPr>
            <w:tcW w:w="1760" w:type="dxa"/>
            <w:vAlign w:val="bottom"/>
            <w:shd w:val="clear" w:color="auto" w:fill="CFF0FC"/>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(4,031)</w:t>
            </w:r>
          </w:p>
        </w:tc>
      </w:tr>
      <w:tr>
        <w:trPr>
          <w:trHeight w:val="162"/>
        </w:trPr>
        <w:tc>
          <w:tcPr>
            <w:tcW w:w="7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the sale of long-term investments (rabbi trust)</w:t>
            </w:r>
          </w:p>
        </w:tc>
        <w:tc>
          <w:tcPr>
            <w:tcW w:w="1000" w:type="dxa"/>
            <w:vAlign w:val="bottom"/>
          </w:tcPr>
          <w:p>
            <w:pPr>
              <w:spacing w:after="0"/>
              <w:rPr>
                <w:sz w:val="14"/>
                <w:szCs w:val="14"/>
                <w:color w:val="auto"/>
              </w:rPr>
            </w:pPr>
          </w:p>
        </w:tc>
        <w:tc>
          <w:tcPr>
            <w:tcW w:w="1760" w:type="dxa"/>
            <w:vAlign w:val="bottom"/>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23</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Purchase of long-term investments (rabbi trust)</w:t>
            </w:r>
          </w:p>
        </w:tc>
        <w:tc>
          <w:tcPr>
            <w:tcW w:w="1000" w:type="dxa"/>
            <w:vAlign w:val="bottom"/>
            <w:tcBorders>
              <w:bottom w:val="single" w:sz="8" w:color="auto"/>
            </w:tcBorders>
            <w:shd w:val="clear" w:color="auto" w:fill="CFF0FC"/>
          </w:tcPr>
          <w:p>
            <w:pPr>
              <w:spacing w:after="0"/>
              <w:rPr>
                <w:sz w:val="14"/>
                <w:szCs w:val="14"/>
                <w:color w:val="auto"/>
              </w:rPr>
            </w:pPr>
          </w:p>
        </w:tc>
        <w:tc>
          <w:tcPr>
            <w:tcW w:w="1760" w:type="dxa"/>
            <w:vAlign w:val="bottom"/>
            <w:tcBorders>
              <w:bottom w:val="single" w:sz="8" w:color="auto"/>
            </w:tcBorders>
            <w:shd w:val="clear" w:color="auto" w:fill="CFF0FC"/>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(236)</w:t>
            </w:r>
          </w:p>
        </w:tc>
        <w:tc>
          <w:tcPr>
            <w:tcW w:w="5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(403)</w:t>
            </w:r>
          </w:p>
        </w:tc>
      </w:tr>
      <w:tr>
        <w:trPr>
          <w:trHeight w:val="155"/>
        </w:trPr>
        <w:tc>
          <w:tcPr>
            <w:tcW w:w="7900" w:type="dxa"/>
            <w:vAlign w:val="bottom"/>
            <w:tcBorders>
              <w:bottom w:val="single" w:sz="8" w:color="CFF0FC"/>
            </w:tcBorders>
          </w:tcPr>
          <w:p>
            <w:pPr>
              <w:ind w:left="1240"/>
              <w:spacing w:after="0" w:line="155"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0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1168"/>
              <w:spacing w:after="0" w:line="155" w:lineRule="exact"/>
              <w:rPr>
                <w:sz w:val="20"/>
                <w:szCs w:val="20"/>
                <w:color w:val="auto"/>
              </w:rPr>
            </w:pPr>
            <w:r>
              <w:rPr>
                <w:rFonts w:ascii="Times New Roman" w:cs="Times New Roman" w:eastAsia="Times New Roman" w:hAnsi="Times New Roman"/>
                <w:sz w:val="14"/>
                <w:szCs w:val="14"/>
                <w:b w:val="1"/>
                <w:bCs w:val="1"/>
                <w:color w:val="auto"/>
              </w:rPr>
              <w:t>(758)</w:t>
            </w:r>
          </w:p>
        </w:tc>
        <w:tc>
          <w:tcPr>
            <w:tcW w:w="58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(10,393)</w:t>
            </w:r>
          </w:p>
        </w:tc>
      </w:tr>
      <w:tr>
        <w:trPr>
          <w:trHeight w:val="156"/>
        </w:trPr>
        <w:tc>
          <w:tcPr>
            <w:tcW w:w="790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00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62"/>
        </w:trPr>
        <w:tc>
          <w:tcPr>
            <w:tcW w:w="7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Dividends paid</w:t>
            </w:r>
          </w:p>
        </w:tc>
        <w:tc>
          <w:tcPr>
            <w:tcW w:w="1000" w:type="dxa"/>
            <w:vAlign w:val="bottom"/>
          </w:tcPr>
          <w:p>
            <w:pPr>
              <w:spacing w:after="0"/>
              <w:rPr>
                <w:sz w:val="14"/>
                <w:szCs w:val="14"/>
                <w:color w:val="auto"/>
              </w:rPr>
            </w:pPr>
          </w:p>
        </w:tc>
        <w:tc>
          <w:tcPr>
            <w:tcW w:w="1760" w:type="dxa"/>
            <w:vAlign w:val="bottom"/>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(1,356)</w:t>
            </w:r>
          </w:p>
        </w:tc>
      </w:tr>
      <w:tr>
        <w:trPr>
          <w:trHeight w:val="162"/>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Common stock repurchased</w:t>
            </w:r>
          </w:p>
        </w:tc>
        <w:tc>
          <w:tcPr>
            <w:tcW w:w="1000" w:type="dxa"/>
            <w:vAlign w:val="bottom"/>
            <w:shd w:val="clear" w:color="auto" w:fill="CFF0FC"/>
          </w:tcPr>
          <w:p>
            <w:pPr>
              <w:spacing w:after="0"/>
              <w:rPr>
                <w:sz w:val="14"/>
                <w:szCs w:val="14"/>
                <w:color w:val="auto"/>
              </w:rPr>
            </w:pPr>
          </w:p>
        </w:tc>
        <w:tc>
          <w:tcPr>
            <w:tcW w:w="1760" w:type="dxa"/>
            <w:vAlign w:val="bottom"/>
            <w:shd w:val="clear" w:color="auto" w:fill="CFF0FC"/>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(723)</w:t>
            </w:r>
          </w:p>
        </w:tc>
      </w:tr>
      <w:tr>
        <w:trPr>
          <w:trHeight w:val="162"/>
        </w:trPr>
        <w:tc>
          <w:tcPr>
            <w:tcW w:w="7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stock surrendered for withholding taxes payable</w:t>
            </w:r>
          </w:p>
        </w:tc>
        <w:tc>
          <w:tcPr>
            <w:tcW w:w="1000" w:type="dxa"/>
            <w:vAlign w:val="bottom"/>
          </w:tcPr>
          <w:p>
            <w:pPr>
              <w:spacing w:after="0"/>
              <w:rPr>
                <w:sz w:val="14"/>
                <w:szCs w:val="14"/>
                <w:color w:val="auto"/>
              </w:rPr>
            </w:pPr>
          </w:p>
        </w:tc>
        <w:tc>
          <w:tcPr>
            <w:tcW w:w="1760" w:type="dxa"/>
            <w:vAlign w:val="bottom"/>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r>
      <w:tr>
        <w:trPr>
          <w:trHeight w:val="162"/>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1000" w:type="dxa"/>
            <w:vAlign w:val="bottom"/>
            <w:tcBorders>
              <w:bottom w:val="single" w:sz="8" w:color="auto"/>
            </w:tcBorders>
            <w:shd w:val="clear" w:color="auto" w:fill="CFF0FC"/>
          </w:tcPr>
          <w:p>
            <w:pPr>
              <w:spacing w:after="0"/>
              <w:rPr>
                <w:sz w:val="14"/>
                <w:szCs w:val="14"/>
                <w:color w:val="auto"/>
              </w:rPr>
            </w:pPr>
          </w:p>
        </w:tc>
        <w:tc>
          <w:tcPr>
            <w:tcW w:w="1760" w:type="dxa"/>
            <w:vAlign w:val="bottom"/>
            <w:tcBorders>
              <w:bottom w:val="single" w:sz="8" w:color="auto"/>
            </w:tcBorders>
            <w:shd w:val="clear" w:color="auto" w:fill="CFF0FC"/>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(161)</w:t>
            </w:r>
          </w:p>
        </w:tc>
        <w:tc>
          <w:tcPr>
            <w:tcW w:w="5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155"/>
        </w:trPr>
        <w:tc>
          <w:tcPr>
            <w:tcW w:w="790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10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1168"/>
              <w:spacing w:after="0" w:line="155" w:lineRule="exact"/>
              <w:rPr>
                <w:sz w:val="20"/>
                <w:szCs w:val="20"/>
                <w:color w:val="auto"/>
              </w:rPr>
            </w:pPr>
            <w:r>
              <w:rPr>
                <w:rFonts w:ascii="Times New Roman" w:cs="Times New Roman" w:eastAsia="Times New Roman" w:hAnsi="Times New Roman"/>
                <w:sz w:val="14"/>
                <w:szCs w:val="14"/>
                <w:b w:val="1"/>
                <w:bCs w:val="1"/>
                <w:color w:val="auto"/>
              </w:rPr>
              <w:t>(161)</w:t>
            </w:r>
          </w:p>
        </w:tc>
        <w:tc>
          <w:tcPr>
            <w:tcW w:w="58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(2,129)</w:t>
            </w:r>
          </w:p>
        </w:tc>
      </w:tr>
      <w:tr>
        <w:trPr>
          <w:trHeight w:val="155"/>
        </w:trPr>
        <w:tc>
          <w:tcPr>
            <w:tcW w:w="790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000" w:type="dxa"/>
            <w:vAlign w:val="bottom"/>
            <w:shd w:val="clear" w:color="auto" w:fill="CFF0FC"/>
          </w:tcPr>
          <w:p>
            <w:pPr>
              <w:spacing w:after="0"/>
              <w:rPr>
                <w:sz w:val="13"/>
                <w:szCs w:val="13"/>
                <w:color w:val="auto"/>
              </w:rPr>
            </w:pPr>
          </w:p>
        </w:tc>
        <w:tc>
          <w:tcPr>
            <w:tcW w:w="1760" w:type="dxa"/>
            <w:vAlign w:val="bottom"/>
            <w:shd w:val="clear" w:color="auto" w:fill="CFF0FC"/>
          </w:tcPr>
          <w:p>
            <w:pPr>
              <w:jc w:val="right"/>
              <w:ind w:right="1168"/>
              <w:spacing w:after="0" w:line="155" w:lineRule="exact"/>
              <w:rPr>
                <w:sz w:val="20"/>
                <w:szCs w:val="20"/>
                <w:color w:val="auto"/>
              </w:rPr>
            </w:pPr>
            <w:r>
              <w:rPr>
                <w:rFonts w:ascii="Times New Roman" w:cs="Times New Roman" w:eastAsia="Times New Roman" w:hAnsi="Times New Roman"/>
                <w:sz w:val="14"/>
                <w:szCs w:val="14"/>
                <w:b w:val="1"/>
                <w:bCs w:val="1"/>
                <w:color w:val="auto"/>
              </w:rPr>
              <w:t>(66)</w:t>
            </w:r>
          </w:p>
        </w:tc>
        <w:tc>
          <w:tcPr>
            <w:tcW w:w="58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3</w:t>
            </w:r>
          </w:p>
        </w:tc>
      </w:tr>
      <w:tr>
        <w:trPr>
          <w:trHeight w:val="162"/>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1000" w:type="dxa"/>
            <w:vAlign w:val="bottom"/>
          </w:tcPr>
          <w:p>
            <w:pPr>
              <w:spacing w:after="0"/>
              <w:rPr>
                <w:sz w:val="14"/>
                <w:szCs w:val="14"/>
                <w:color w:val="auto"/>
              </w:rPr>
            </w:pPr>
          </w:p>
        </w:tc>
        <w:tc>
          <w:tcPr>
            <w:tcW w:w="1760" w:type="dxa"/>
            <w:vAlign w:val="bottom"/>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4,324</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(10,948)</w:t>
            </w:r>
          </w:p>
        </w:tc>
      </w:tr>
      <w:tr>
        <w:trPr>
          <w:trHeight w:val="162"/>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00" w:type="dxa"/>
            <w:vAlign w:val="bottom"/>
            <w:tcBorders>
              <w:bottom w:val="single" w:sz="8" w:color="auto"/>
            </w:tcBorders>
            <w:shd w:val="clear" w:color="auto" w:fill="CFF0FC"/>
          </w:tcPr>
          <w:p>
            <w:pPr>
              <w:spacing w:after="0"/>
              <w:rPr>
                <w:sz w:val="14"/>
                <w:szCs w:val="14"/>
                <w:color w:val="auto"/>
              </w:rPr>
            </w:pPr>
          </w:p>
        </w:tc>
        <w:tc>
          <w:tcPr>
            <w:tcW w:w="1760" w:type="dxa"/>
            <w:vAlign w:val="bottom"/>
            <w:tcBorders>
              <w:bottom w:val="single" w:sz="8" w:color="auto"/>
            </w:tcBorders>
            <w:shd w:val="clear" w:color="auto" w:fill="CFF0FC"/>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14,550</w:t>
            </w:r>
          </w:p>
        </w:tc>
        <w:tc>
          <w:tcPr>
            <w:tcW w:w="5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37,009</w:t>
            </w:r>
          </w:p>
        </w:tc>
      </w:tr>
      <w:tr>
        <w:trPr>
          <w:trHeight w:val="156"/>
        </w:trPr>
        <w:tc>
          <w:tcPr>
            <w:tcW w:w="79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0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60" w:type="dxa"/>
            <w:vAlign w:val="bottom"/>
            <w:tcBorders>
              <w:bottom w:val="single" w:sz="8" w:color="auto"/>
            </w:tcBorders>
          </w:tcPr>
          <w:p>
            <w:pPr>
              <w:jc w:val="right"/>
              <w:ind w:right="1228"/>
              <w:spacing w:after="0" w:line="155" w:lineRule="exact"/>
              <w:rPr>
                <w:sz w:val="20"/>
                <w:szCs w:val="20"/>
                <w:color w:val="auto"/>
              </w:rPr>
            </w:pPr>
            <w:r>
              <w:rPr>
                <w:rFonts w:ascii="Times New Roman" w:cs="Times New Roman" w:eastAsia="Times New Roman" w:hAnsi="Times New Roman"/>
                <w:sz w:val="14"/>
                <w:szCs w:val="14"/>
                <w:b w:val="1"/>
                <w:bCs w:val="1"/>
                <w:color w:val="auto"/>
              </w:rPr>
              <w:t>18,874</w:t>
            </w:r>
          </w:p>
        </w:tc>
        <w:tc>
          <w:tcPr>
            <w:tcW w:w="58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26,061</w:t>
            </w:r>
          </w:p>
        </w:tc>
      </w:tr>
      <w:tr>
        <w:trPr>
          <w:trHeight w:val="20"/>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THREE-MONTH PERIOD ENDED JULY 31, 2022</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193"/>
              <w:spacing w:after="0"/>
              <w:rPr>
                <w:sz w:val="20"/>
                <w:szCs w:val="20"/>
                <w:color w:val="auto"/>
              </w:rPr>
            </w:pPr>
            <w:r>
              <w:rPr>
                <w:rFonts w:ascii="Times New Roman" w:cs="Times New Roman" w:eastAsia="Times New Roman" w:hAnsi="Times New Roman"/>
                <w:sz w:val="14"/>
                <w:szCs w:val="14"/>
                <w:color w:val="auto"/>
              </w:rPr>
              <w:t>Capital</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Accumulated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Contributed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213"/>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4"/>
                <w:szCs w:val="14"/>
                <w:color w:val="auto"/>
              </w:rPr>
            </w:pPr>
          </w:p>
        </w:tc>
        <w:tc>
          <w:tcPr>
            <w:tcW w:w="760" w:type="dxa"/>
            <w:vAlign w:val="bottom"/>
          </w:tcPr>
          <w:p>
            <w:pPr>
              <w:jc w:val="right"/>
              <w:ind w:right="273"/>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5080" w:type="dxa"/>
            <w:vAlign w:val="bottom"/>
          </w:tcPr>
          <w:p>
            <w:pPr>
              <w:spacing w:after="0"/>
              <w:rPr>
                <w:sz w:val="14"/>
                <w:szCs w:val="14"/>
                <w:color w:val="auto"/>
              </w:rPr>
            </w:pPr>
          </w:p>
        </w:tc>
        <w:tc>
          <w:tcPr>
            <w:tcW w:w="2040" w:type="dxa"/>
            <w:vAlign w:val="bottom"/>
            <w:tcBorders>
              <w:bottom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tcPr>
          <w:p>
            <w:pPr>
              <w:spacing w:after="0"/>
              <w:rPr>
                <w:sz w:val="14"/>
                <w:szCs w:val="14"/>
                <w:color w:val="auto"/>
              </w:rPr>
            </w:pPr>
          </w:p>
        </w:tc>
        <w:tc>
          <w:tcPr>
            <w:tcW w:w="820" w:type="dxa"/>
            <w:vAlign w:val="bottom"/>
          </w:tcPr>
          <w:p>
            <w:pPr>
              <w:jc w:val="center"/>
              <w:ind w:right="193"/>
              <w:spacing w:after="0"/>
              <w:rPr>
                <w:sz w:val="20"/>
                <w:szCs w:val="20"/>
                <w:color w:val="auto"/>
              </w:rPr>
            </w:pPr>
            <w:r>
              <w:rPr>
                <w:rFonts w:ascii="Times New Roman" w:cs="Times New Roman" w:eastAsia="Times New Roman" w:hAnsi="Times New Roman"/>
                <w:sz w:val="14"/>
                <w:szCs w:val="14"/>
                <w:color w:val="auto"/>
              </w:rPr>
              <w:t>in Excess</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Accumulated</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Comprehensive</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Shareholders'</w:t>
            </w:r>
          </w:p>
        </w:tc>
      </w:tr>
      <w:tr>
        <w:trPr>
          <w:trHeight w:val="156"/>
        </w:trPr>
        <w:tc>
          <w:tcPr>
            <w:tcW w:w="508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1040" w:type="dxa"/>
            <w:vAlign w:val="bottom"/>
            <w:tcBorders>
              <w:bottom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color w:val="auto"/>
                <w:w w:val="98"/>
              </w:rPr>
              <w:t>of Par Value</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color w:val="auto"/>
              </w:rPr>
              <w:t>Earnings</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33"/>
              <w:spacing w:after="0" w:line="155" w:lineRule="exact"/>
              <w:rPr>
                <w:sz w:val="20"/>
                <w:szCs w:val="20"/>
                <w:color w:val="auto"/>
              </w:rPr>
            </w:pPr>
            <w:r>
              <w:rPr>
                <w:rFonts w:ascii="Times New Roman" w:cs="Times New Roman" w:eastAsia="Times New Roman" w:hAnsi="Times New Roman"/>
                <w:sz w:val="14"/>
                <w:szCs w:val="14"/>
                <w:color w:val="auto"/>
                <w:w w:val="99"/>
              </w:rPr>
              <w:t>Income</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color w:val="auto"/>
              </w:rPr>
              <w:t>Equity</w:t>
            </w:r>
          </w:p>
        </w:tc>
      </w:tr>
      <w:tr>
        <w:trPr>
          <w:trHeight w:val="22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May 1, 2022 *</w:t>
            </w:r>
          </w:p>
        </w:tc>
        <w:tc>
          <w:tcPr>
            <w:tcW w:w="10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12,228,629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611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43,143</w:t>
            </w:r>
          </w:p>
        </w:tc>
        <w:tc>
          <w:tcPr>
            <w:tcW w:w="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75,715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119,501</w:t>
            </w:r>
          </w:p>
        </w:tc>
      </w:tr>
      <w:tr>
        <w:trPr>
          <w:trHeight w:val="230"/>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2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w:t>
            </w:r>
          </w:p>
        </w:tc>
      </w:tr>
      <w:tr>
        <w:trPr>
          <w:trHeight w:val="22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1"/>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issued in connection with the</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16"/>
        </w:trPr>
        <w:tc>
          <w:tcPr>
            <w:tcW w:w="50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vesting of performance-based restricted</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34"/>
        </w:trPr>
        <w:tc>
          <w:tcPr>
            <w:tcW w:w="50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stock units</w:t>
            </w:r>
          </w:p>
        </w:tc>
        <w:tc>
          <w:tcPr>
            <w:tcW w:w="10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913</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issued in connection with the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5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vesting of time-based restricted stock units</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32,199</w:t>
            </w:r>
          </w:p>
        </w:tc>
        <w:tc>
          <w:tcPr>
            <w:tcW w:w="20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surrendered in connection with</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34"/>
        </w:trPr>
        <w:tc>
          <w:tcPr>
            <w:tcW w:w="50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payroll withholding taxes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50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Fully vested common stock award</w:t>
            </w:r>
          </w:p>
        </w:tc>
        <w:tc>
          <w:tcPr>
            <w:tcW w:w="10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19,753</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July 31, 2022</w:t>
            </w:r>
          </w:p>
        </w:tc>
        <w:tc>
          <w:tcPr>
            <w:tcW w:w="10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12,274,786</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614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43,340</w:t>
            </w:r>
          </w:p>
        </w:tc>
        <w:tc>
          <w:tcPr>
            <w:tcW w:w="18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70,016</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113,995</w:t>
            </w:r>
          </w:p>
        </w:tc>
      </w:tr>
      <w:tr>
        <w:trPr>
          <w:trHeight w:val="20"/>
        </w:trPr>
        <w:tc>
          <w:tcPr>
            <w:tcW w:w="5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60" w:hanging="352"/>
        <w:spacing w:after="0"/>
        <w:tabs>
          <w:tab w:leader="none" w:pos="3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Derived from audited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THREE-MONTH PERIOD ENDED AUGUST 1, 2021</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53"/>
              <w:spacing w:after="0"/>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3"/>
              <w:spacing w:after="0"/>
              <w:rPr>
                <w:sz w:val="20"/>
                <w:szCs w:val="20"/>
                <w:color w:val="auto"/>
              </w:rPr>
            </w:pPr>
            <w:r>
              <w:rPr>
                <w:rFonts w:ascii="Times New Roman" w:cs="Times New Roman" w:eastAsia="Times New Roman" w:hAnsi="Times New Roman"/>
                <w:sz w:val="14"/>
                <w:szCs w:val="14"/>
                <w:color w:val="auto"/>
              </w:rPr>
              <w:t>Contributed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4"/>
                <w:szCs w:val="14"/>
                <w:color w:val="auto"/>
              </w:rPr>
            </w:pPr>
          </w:p>
        </w:tc>
        <w:tc>
          <w:tcPr>
            <w:tcW w:w="760" w:type="dxa"/>
            <w:vAlign w:val="bottom"/>
          </w:tcPr>
          <w:p>
            <w:pPr>
              <w:jc w:val="right"/>
              <w:ind w:right="273"/>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5080" w:type="dxa"/>
            <w:vAlign w:val="bottom"/>
          </w:tcPr>
          <w:p>
            <w:pPr>
              <w:spacing w:after="0"/>
              <w:rPr>
                <w:sz w:val="14"/>
                <w:szCs w:val="14"/>
                <w:color w:val="auto"/>
              </w:rPr>
            </w:pPr>
          </w:p>
        </w:tc>
        <w:tc>
          <w:tcPr>
            <w:tcW w:w="204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53"/>
              <w:spacing w:after="0"/>
              <w:rPr>
                <w:sz w:val="20"/>
                <w:szCs w:val="20"/>
                <w:color w:val="auto"/>
              </w:rPr>
            </w:pPr>
            <w:r>
              <w:rPr>
                <w:rFonts w:ascii="Times New Roman" w:cs="Times New Roman" w:eastAsia="Times New Roman" w:hAnsi="Times New Roman"/>
                <w:sz w:val="14"/>
                <w:szCs w:val="14"/>
                <w:color w:val="auto"/>
              </w:rPr>
              <w:t>in Excess</w:t>
            </w: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Accumulated</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Comprehensive</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Shareholders'</w:t>
            </w:r>
          </w:p>
        </w:tc>
      </w:tr>
      <w:tr>
        <w:trPr>
          <w:trHeight w:val="155"/>
        </w:trPr>
        <w:tc>
          <w:tcPr>
            <w:tcW w:w="50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53"/>
              <w:spacing w:after="0" w:line="155" w:lineRule="exact"/>
              <w:rPr>
                <w:sz w:val="20"/>
                <w:szCs w:val="20"/>
                <w:color w:val="auto"/>
              </w:rPr>
            </w:pPr>
            <w:r>
              <w:rPr>
                <w:rFonts w:ascii="Times New Roman" w:cs="Times New Roman" w:eastAsia="Times New Roman" w:hAnsi="Times New Roman"/>
                <w:sz w:val="14"/>
                <w:szCs w:val="14"/>
                <w:color w:val="auto"/>
                <w:w w:val="98"/>
              </w:rPr>
              <w:t>of Par Value</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color w:val="auto"/>
                <w:w w:val="99"/>
              </w:rPr>
              <w:t>Income</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color w:val="auto"/>
              </w:rPr>
              <w:t>Equity</w:t>
            </w:r>
          </w:p>
        </w:tc>
      </w:tr>
      <w:tr>
        <w:trPr>
          <w:trHeight w:val="22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May 2, 2021 *</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12,312,822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616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43,807</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84,437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129,006</w:t>
            </w:r>
          </w:p>
        </w:tc>
      </w:tr>
      <w:tr>
        <w:trPr>
          <w:trHeight w:val="229"/>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2,250</w:t>
            </w:r>
          </w:p>
        </w:tc>
      </w:tr>
      <w:tr>
        <w:trPr>
          <w:trHeight w:val="230"/>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274</w:t>
            </w:r>
          </w:p>
        </w:tc>
      </w:tr>
      <w:tr>
        <w:trPr>
          <w:trHeight w:val="229"/>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148</w:t>
            </w:r>
          </w:p>
        </w:tc>
      </w:tr>
      <w:tr>
        <w:trPr>
          <w:trHeight w:val="211"/>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issued in connection with the</w:t>
            </w: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16"/>
        </w:trPr>
        <w:tc>
          <w:tcPr>
            <w:tcW w:w="50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vesting of performance-based restricted</w:t>
            </w: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34"/>
        </w:trPr>
        <w:tc>
          <w:tcPr>
            <w:tcW w:w="50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stock units</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10,863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surrendered in connection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5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with payroll withholding taxes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Fully vested common stock award</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4,312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2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Dividends paid</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 August 1, 2021</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12,276,286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43,310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85,331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129,549</w:t>
            </w:r>
          </w:p>
        </w:tc>
      </w:tr>
      <w:tr>
        <w:trPr>
          <w:trHeight w:val="20"/>
        </w:trPr>
        <w:tc>
          <w:tcPr>
            <w:tcW w:w="5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hanging="352"/>
        <w:spacing w:after="0"/>
        <w:tabs>
          <w:tab w:leader="none" w:pos="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Derived from audited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Basis of Presentation</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of Culp, Inc. and its majority-owned subsidiaries (the “company”) include all adjustments, which are, in the opinion of management, necessary for fair presentation of the results of operations and financial position. All these adjustments are of a normal recurring nature. Results of operations for interim periods may not be indicative of future results. The unaudited condensed consolidated financial statements should be read in conjunction with the audited consolidated financial statements, which are included in the company’s annual report on Form 10-K filed with the Securities and Exchange Commission on July 15, 2022, for the fiscal year ended May 1,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three-months ended July 31, 2022, and August 1, 2021, each represent 13-week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Significant Accounting Policies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July 31, 2022, there were no changes in the nature of our significant accounting policies or the application of those policies from those reported in our annual report on Form 10-K for the year then ended May 1,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Adopted Accounting Pronouncements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not any recently adopted accounting pronouncements during the first quarter of fiscal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Issued Accounting Pronouncements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Currently, there are no new recent accounting pronouncements that are expected to have a material effect on our consolidated financial statements.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Allowance for Doubtful Accounts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in the allowance for doubtful accounts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3"/>
          </w:tcPr>
          <w:p>
            <w:pPr>
              <w:jc w:val="right"/>
              <w:ind w:right="105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3"/>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3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July 31, 2022</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August 1, 2021</w:t>
            </w:r>
          </w:p>
        </w:tc>
      </w:tr>
      <w:tr>
        <w:trPr>
          <w:trHeight w:val="212"/>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3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292</w:t>
            </w:r>
          </w:p>
        </w:tc>
        <w:tc>
          <w:tcPr>
            <w:tcW w:w="3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591</w:t>
            </w:r>
          </w:p>
        </w:tc>
      </w:tr>
      <w:tr>
        <w:trPr>
          <w:trHeight w:val="213"/>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Provision for bad debts</w:t>
            </w:r>
          </w:p>
        </w:tc>
        <w:tc>
          <w:tcPr>
            <w:tcW w:w="3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57</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9"/>
        </w:trPr>
        <w:tc>
          <w:tcPr>
            <w:tcW w:w="46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33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349</w:t>
            </w: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580</w:t>
            </w:r>
          </w:p>
        </w:tc>
      </w:tr>
    </w:tbl>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three-month periods ended July 31, 2022, and August 1, 2021, we assessed the credit risk of our customers within our accounts receivable portfolio. Our risk assessment includes the respective customer’s (i) financial position; (ii) past payment history; (iii) management’s general ability; and (iv) historical loss experience; as well as (v) any other ongoing economic conditions. After our risk assessment was completed, we assigned credit grades to our customers, which in turn, were used to determine our allowance for doubtful accounts totaling $349,000 and $580,000 as of July 31, 2022 and August 1, 2021, respectively.</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June 25, 2022, a customer and its affiliates associated with our mattress fabrics segment announced that they filed voluntary petitions for reorganization under Chapter 11 of the U.S. Bankruptcy Code. Subject to court approval, our customer and its affiliates entered into an asset purchase agreement for the sale of substantially all of their assets. The proposed buyer under the asset purchase agreement has also provided a commitment for debtor-in-possession financing to allow our customer and its affiliates to conduct normal business operations pending the anticipated closing of the sale. A credit loss associated with accounts receivable outstanding as of May 1, 2022, for this customer and its affiliates was not recorded as we received payment in full regarding these invoices, and based on information available to us at this time, we do not believe there is a risk of material loss on these accounts. In addition, based on the information available to us at this time, we currently do not expect to record a material credit loss associated with accounts receivable for this customer and its affiliates for outstanding invoices after May 1, 2022 relating to products sold prior to bankruptcy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Revenue from Contracts with Customers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Nature of Performance Obligations</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In addition, the upholstery fabrics segment includes Read Window Products LLC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primary performance obligations include the sale of mattress fabrics and upholstery fabrics, as well as the performance of customized fabrication and installation services for Read’s products associated with window treatments.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Assets &amp; Liabilities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Certain contracts, primarily those for customized fabrication and installation services associated with Read, require upfront customer deposits that result in a contract liability which is recorded on the Consolidated Balance Sheets as deferred revenue. If upfront deposits or prepayments are not required, customers may be granted credit terms which generally range from 15–60 days. Our terms are customary within the industries in which we operate and are not considered financing arrangements. There were no contract assets recognized as of July 31, 2022, August 1, 2021, and May 1,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associated with deferred revenue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300" w:type="dxa"/>
            <w:vAlign w:val="bottom"/>
            <w:gridSpan w:val="3"/>
          </w:tcPr>
          <w:p>
            <w:pPr>
              <w:jc w:val="right"/>
              <w:ind w:right="107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9"/>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5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July 31, 2022</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August 1, 2021</w:t>
            </w:r>
          </w:p>
        </w:tc>
      </w:tr>
      <w:tr>
        <w:trPr>
          <w:trHeight w:val="21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2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520</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Revenue recognized on contract liabilities</w:t>
            </w:r>
          </w:p>
        </w:tc>
        <w:tc>
          <w:tcPr>
            <w:tcW w:w="252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(821)</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r>
      <w:tr>
        <w:trPr>
          <w:trHeight w:val="216"/>
        </w:trPr>
        <w:tc>
          <w:tcPr>
            <w:tcW w:w="54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Payments received for services not yet rendered</w:t>
            </w:r>
          </w:p>
        </w:tc>
        <w:tc>
          <w:tcPr>
            <w:tcW w:w="25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1,669</w:t>
            </w:r>
          </w:p>
        </w:tc>
        <w:tc>
          <w:tcPr>
            <w:tcW w:w="2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765</w:t>
            </w:r>
          </w:p>
        </w:tc>
      </w:tr>
      <w:tr>
        <w:trPr>
          <w:trHeight w:val="210"/>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2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1,368</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694</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Disaggregation of Revenue</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ending July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Mattress</w:t>
            </w:r>
          </w:p>
        </w:tc>
        <w:tc>
          <w:tcPr>
            <w:tcW w:w="320" w:type="dxa"/>
            <w:vAlign w:val="bottom"/>
          </w:tcPr>
          <w:p>
            <w:pPr>
              <w:spacing w:after="0"/>
              <w:rPr>
                <w:sz w:val="18"/>
                <w:szCs w:val="18"/>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Upholstery</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Fabrics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Total</w:t>
            </w:r>
          </w:p>
        </w:tc>
      </w:tr>
      <w:tr>
        <w:trPr>
          <w:trHeight w:val="21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29,371</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31,523</w:t>
            </w:r>
          </w:p>
        </w:tc>
        <w:tc>
          <w:tcPr>
            <w:tcW w:w="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60,894</w:t>
            </w:r>
          </w:p>
        </w:tc>
      </w:tr>
      <w:tr>
        <w:trPr>
          <w:trHeight w:val="213"/>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1,710</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1,710</w:t>
            </w:r>
          </w:p>
        </w:tc>
      </w:tr>
      <w:tr>
        <w:trPr>
          <w:trHeight w:val="210"/>
        </w:trPr>
        <w:tc>
          <w:tcPr>
            <w:tcW w:w="4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29,371</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33,233</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62,604</w:t>
            </w:r>
          </w:p>
        </w:tc>
      </w:tr>
    </w:tbl>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ending August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Mattress</w:t>
            </w:r>
          </w:p>
        </w:tc>
        <w:tc>
          <w:tcPr>
            <w:tcW w:w="320" w:type="dxa"/>
            <w:vAlign w:val="bottom"/>
          </w:tcPr>
          <w:p>
            <w:pPr>
              <w:spacing w:after="0"/>
              <w:rPr>
                <w:sz w:val="18"/>
                <w:szCs w:val="18"/>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Upholstery</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Fabrics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Total</w:t>
            </w:r>
          </w:p>
        </w:tc>
      </w:tr>
      <w:tr>
        <w:trPr>
          <w:trHeight w:val="21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43,058</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38,290</w:t>
            </w:r>
          </w:p>
        </w:tc>
        <w:tc>
          <w:tcPr>
            <w:tcW w:w="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81,348</w:t>
            </w:r>
          </w:p>
        </w:tc>
      </w:tr>
      <w:tr>
        <w:trPr>
          <w:trHeight w:val="213"/>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1,699</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1,699</w:t>
            </w:r>
          </w:p>
        </w:tc>
      </w:tr>
      <w:tr>
        <w:trPr>
          <w:trHeight w:val="210"/>
        </w:trPr>
        <w:tc>
          <w:tcPr>
            <w:tcW w:w="4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43,058</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39,989</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83,047</w:t>
            </w: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5. Inventories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Inventories are carried at the lower of cost or net realizable value. Cost is determined using the FIFO (first-in, first-out) method.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inventories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July 31,</w:t>
            </w: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August 1,</w:t>
            </w: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May 1,</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2022</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2021</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1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0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12,690</w:t>
            </w:r>
          </w:p>
        </w:tc>
        <w:tc>
          <w:tcPr>
            <w:tcW w:w="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9,443</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13,477</w:t>
            </w:r>
          </w:p>
        </w:tc>
        <w:tc>
          <w:tcPr>
            <w:tcW w:w="0" w:type="dxa"/>
            <w:vAlign w:val="bottom"/>
          </w:tcPr>
          <w:p>
            <w:pPr>
              <w:spacing w:after="0"/>
              <w:rPr>
                <w:sz w:val="1"/>
                <w:szCs w:val="1"/>
                <w:color w:val="auto"/>
              </w:rPr>
            </w:pPr>
          </w:p>
        </w:tc>
      </w:tr>
      <w:tr>
        <w:trPr>
          <w:trHeight w:val="213"/>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Work-in-process</w:t>
            </w:r>
          </w:p>
        </w:tc>
        <w:tc>
          <w:tcPr>
            <w:tcW w:w="202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4,985</w:t>
            </w:r>
          </w:p>
        </w:tc>
        <w:tc>
          <w:tcPr>
            <w:tcW w:w="30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3,637</w:t>
            </w:r>
          </w:p>
        </w:tc>
        <w:tc>
          <w:tcPr>
            <w:tcW w:w="3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4,237</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20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46,074</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45,533</w:t>
            </w:r>
          </w:p>
        </w:tc>
        <w:tc>
          <w:tcPr>
            <w:tcW w:w="3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48,843</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63,749</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58,613</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66,557</w:t>
            </w:r>
          </w:p>
        </w:tc>
        <w:tc>
          <w:tcPr>
            <w:tcW w:w="0" w:type="dxa"/>
            <w:vAlign w:val="bottom"/>
          </w:tcPr>
          <w:p>
            <w:pPr>
              <w:spacing w:after="0"/>
              <w:rPr>
                <w:sz w:val="1"/>
                <w:szCs w:val="1"/>
                <w:color w:val="auto"/>
              </w:rPr>
            </w:pPr>
          </w:p>
        </w:tc>
      </w:tr>
      <w:tr>
        <w:trPr>
          <w:trHeight w:val="448"/>
        </w:trPr>
        <w:tc>
          <w:tcPr>
            <w:tcW w:w="4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6. Intangible Assets</w:t>
            </w:r>
          </w:p>
        </w:tc>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A summary of intangible assets follows:</w:t>
            </w:r>
          </w:p>
        </w:tc>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July 31, 2022</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August 1, 2021</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May 1, 2022</w:t>
            </w:r>
          </w:p>
        </w:tc>
        <w:tc>
          <w:tcPr>
            <w:tcW w:w="0" w:type="dxa"/>
            <w:vAlign w:val="bottom"/>
          </w:tcPr>
          <w:p>
            <w:pPr>
              <w:spacing w:after="0"/>
              <w:rPr>
                <w:sz w:val="1"/>
                <w:szCs w:val="1"/>
                <w:color w:val="auto"/>
              </w:rPr>
            </w:pPr>
          </w:p>
        </w:tc>
      </w:tr>
      <w:tr>
        <w:trPr>
          <w:trHeight w:val="211"/>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Tradename</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13"/>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0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30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1,862</w:t>
            </w:r>
          </w:p>
        </w:tc>
        <w:tc>
          <w:tcPr>
            <w:tcW w:w="34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1,636</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Non-compete agreement, net</w:t>
            </w:r>
          </w:p>
        </w:tc>
        <w:tc>
          <w:tcPr>
            <w:tcW w:w="20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508</w:t>
            </w:r>
          </w:p>
        </w:tc>
        <w:tc>
          <w:tcPr>
            <w:tcW w:w="3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2,910</w:t>
            </w:r>
          </w:p>
        </w:tc>
        <w:tc>
          <w:tcPr>
            <w:tcW w:w="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2,628</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Tradename</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tradename as of July 31, 2022, August 1, 2021, and May 1, 2022, pertained to Read, a separate reporting unit within the upholstery fabrics segment. This tradename was determined to have an indefinite useful life at the time of its acquisition, and therefore is not being amortized. However, we are required to assess this tradename annually or between annual tests if we believe indicators of impairment exist. Based on our assessment as of July 31, 2022, no indicators of impairment existed, and therefore we did not record any asset impairment charges associated with our tradename during the first quarter of fiscal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Customer Relationships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customer relationships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9"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6"/>
          <w:szCs w:val="16"/>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July 31, 2022</w:t>
            </w:r>
          </w:p>
        </w:tc>
        <w:tc>
          <w:tcPr>
            <w:tcW w:w="2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August 1, 2021</w:t>
            </w:r>
          </w:p>
        </w:tc>
      </w:tr>
      <w:tr>
        <w:trPr>
          <w:trHeight w:val="211"/>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3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1,636</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1,937</w:t>
            </w:r>
          </w:p>
        </w:tc>
      </w:tr>
      <w:tr>
        <w:trPr>
          <w:trHeight w:val="21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3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0"/>
        </w:trPr>
        <w:tc>
          <w:tcPr>
            <w:tcW w:w="45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3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1,561</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1,862</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customer relationships are amortized on a straight-line basis over useful lives ranging from nine to seventeen years.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customer relationships was $3.1 million as of July 31, 2022, August 1, 2021, and May 1, 2022, respectively. Accumulated amortization for these customer relationships was $1.6 million, $1.3 million, and $1.5 million as of July 31, 2022, August 1, 2021, and May 1, 2022, respectively.</w:t>
      </w:r>
    </w:p>
    <w:p>
      <w:pPr>
        <w:spacing w:after="0" w:line="14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the next five fiscal years and thereafter follows: FY 2023 - $226,000; FY 2024 - $301,000; FY 2025 - $301,000; FY 2026 - $301,000; FY 2027 - $278,000; and thereafter - $154,000.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our customer relationships was 5.5 years as of July 31,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Non-Compete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non-compete agreement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9"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6"/>
          <w:szCs w:val="16"/>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July 31, 2022</w:t>
            </w:r>
          </w:p>
        </w:tc>
        <w:tc>
          <w:tcPr>
            <w:tcW w:w="2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August 1, 2021</w:t>
            </w:r>
          </w:p>
        </w:tc>
      </w:tr>
      <w:tr>
        <w:trPr>
          <w:trHeight w:val="211"/>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3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452</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527</w:t>
            </w:r>
          </w:p>
        </w:tc>
      </w:tr>
      <w:tr>
        <w:trPr>
          <w:trHeight w:val="21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3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45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3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433</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508</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1" w:name="page12"/>
    <w:bookmarkEnd w:id="11"/>
    <w:p>
      <w:pPr>
        <w:jc w:val="both"/>
        <w:spacing w:after="0" w:line="269" w:lineRule="auto"/>
        <w:rPr>
          <w:sz w:val="20"/>
          <w:szCs w:val="20"/>
          <w:color w:val="auto"/>
        </w:rPr>
      </w:pPr>
      <w:r>
        <w:rPr>
          <w:rFonts w:ascii="Times New Roman" w:cs="Times New Roman" w:eastAsia="Times New Roman" w:hAnsi="Times New Roman"/>
          <w:sz w:val="20"/>
          <w:szCs w:val="20"/>
          <w:color w:val="auto"/>
        </w:rPr>
        <w:t>Our non-compete agreement is associated with a prior acquisition by our mattress fabrics segment and is amortized on a straight-line basis over the fifteen-year life of the agreement.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non-compete agreement was $2.0 million as of July 31, 2022, August 1, 2021, and May 1, 2022, respectively. Accumulated amortization for our non-compete agreement was $1.6 million as of July 31, 2022, August 1, 2021, and May 1, 2022.</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the next five years and thereafter follows: FY 2023 - $56,000; FY 2024 - $76,000; FY 2025 - $76,000; FY 2026 - $76,000; FY 2027 - $76,000, and thereafter - $73,000.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the non-compete agreement was 5.8 years as of July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Accrued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accrued expenses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July 31, 2022</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August 1, 2021</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May 1, 2022</w:t>
            </w:r>
          </w:p>
        </w:tc>
      </w:tr>
      <w:tr>
        <w:trPr>
          <w:trHeight w:val="211"/>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Compensation, commissions and related benefits</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3,890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5,006</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4,248</w:t>
            </w:r>
          </w:p>
        </w:tc>
      </w:tr>
      <w:tr>
        <w:trPr>
          <w:trHeight w:val="213"/>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accrued expenses</w:t>
            </w:r>
          </w:p>
        </w:tc>
        <w:tc>
          <w:tcPr>
            <w:tcW w:w="18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3,268</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4,944</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3,584</w:t>
            </w:r>
          </w:p>
        </w:tc>
      </w:tr>
      <w:tr>
        <w:trPr>
          <w:trHeight w:val="209"/>
        </w:trPr>
        <w:tc>
          <w:tcPr>
            <w:tcW w:w="492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7,158</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9,950</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7,832</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Lines of Credit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 –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Existing Credit Agreement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May 1, 2022, we had a Credit Agreement (the “Existing Credit Agreement”) with Wells Fargo Bank, N.A. (“Wells Fargo”) that provided a revolving loan commitment of $30 million, was set to expire on August 15, 2022, and allowed us to issue letters of credit not to exceed $1 million.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Amended Agreement</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June 24, 2022, we entered into an Amended and Restated Credit Agreement (“the Amended Agreement”) with Wells Fargo. The Amended Agreement amends, restates, supersedes, and serves as a replacement for the Existing Credit Agreement. The Amended Agreement provides a revolving credit facility of up to $40 million, is secured by a lien on the company’s assets, and expires in June 2025. The proceeds of borrowings under the Amended Agreement are to be used for working capital and other general corporate purposes.</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available borrowings under the Amended Agreement are based on a borrowing base calculation using certain accounts receivable and inventory of the company, subject to certain sub-limits as defined in the Amended Agreement, to be calculated on a monthly basis. Similar to the Existing Credit Agreement, the Amended Agreement contains a sub-facility that allows the company to issue letters of credit in an aggregate amount not to exceed $1 million.</w:t>
      </w:r>
    </w:p>
    <w:p>
      <w:pPr>
        <w:spacing w:after="0" w:line="1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Borrowings under the Amended Agreement bear interest at a rate calculated using a margin (the “Applicable Margin”) over the Federal Reserve Bank of New York’s secured overnight funding rate (SOFR). The Applicable Margin is set initially at 1.35% and may vary under the terms of the Amended Agreement from 1.35% to 2.50%, depending on the ratio of the company’s consolidated debt to consolidated EBITDA, as defined in the Amended Agreement, determined on a quarterly basis. The Amended Agreement contains customary affirmative and negative covenants and requires compliance by the company with certain financial covenants, including minimum tangible net worth of $100 million plus 50% of annual net income, and a minimum ratio of consolidated EBITDA to consolidated net interest expense of 3.0 to 1.0 as defined in the Amended Agreement. The EBITDA to interest expense covenant does not apply under the Amended Agreement during the first three quarters of the company’s fiscal 2023, but during that period, the company must maintain “access to liquidity” of $15 million, which is defined as unencumbered liquid assets plus available and unused credit under the revolving credit facility as calculated using the borrowing base, as defined in the Amended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auto"/>
        </w:rPr>
        <w:t>First Amendment</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August 19, 2022, we entered into a First Amendment to the Amended Agreement (“the First Amendment”) with Wells Fargo. The terms of the First Amendment amend the time period in which the financial covenant for the minimum ratio of consolidated EBITDA to consolidated net interest expense applies, such that this EBITDA to interest expense covenant does not apply during any of the four quarters of the Company’s fiscal 2023. During that time period, we are still required to maintain minimum “access to liquidity” of $15 million as mentioned in the above Amended Agreement section.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Overall</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Effective June 24, 2022, interest was charged under the Amended Agreement at a rate (applicable interest rate of 2.88% as of July 31, 2022) calculated using the Applicable Margin over SOFR based on the ratio of the company’s consolidated debt to consolidated EBITDA, as defined in the Amended Agreement. Under the Existing Credit Agreement interest was charged at a rate (applicable interest rate of 1.69% and 2.40% as of August 1, 2021, and May 1, 2022, respectively) as a variable spread over LIBOR based on a ratio of debt to EBITDA, as defined in the Existing Credit Agreement.</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were $275,000 of outstanding letters of credit provided by the Amended Agreement and Existing Credit Agreement as of July 31, 2022, August 1, 2021, and May 1, 2022. As of July 31, 2022, we had $725,000 remaining for the issuance of additional letters of credit.</w:t>
      </w:r>
    </w:p>
    <w:p>
      <w:pPr>
        <w:spacing w:after="0" w:line="13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There were no borrowings outstanding under either the Amended Agreement or the Existing Credit Agreement, as applicable, as of July 31, 2022, August 1, 2021, and May 1, 2022,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Agreements – China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Denominated in Chinese Yuan Renminbi (“RMB”)</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an unsecured credit agreement denominated in RMB with a bank located in China that provides for a line of credit of up to 40 million RMB ($5.9 million USD as of July 31, 2022). Interest charged under this agreement is based on an interest rate determined by the Chinese government at the time of borrowing and is set to expire on November 15, 2022.</w:t>
      </w:r>
    </w:p>
    <w:p>
      <w:pPr>
        <w:spacing w:after="0" w:line="134" w:lineRule="exact"/>
        <w:rPr>
          <w:sz w:val="20"/>
          <w:szCs w:val="20"/>
          <w:color w:val="auto"/>
        </w:rPr>
      </w:pPr>
    </w:p>
    <w:p>
      <w:pPr>
        <w:ind w:right="1060"/>
        <w:spacing w:after="0" w:line="429" w:lineRule="auto"/>
        <w:rPr>
          <w:sz w:val="20"/>
          <w:szCs w:val="20"/>
          <w:color w:val="auto"/>
        </w:rPr>
      </w:pPr>
      <w:r>
        <w:rPr>
          <w:rFonts w:ascii="Times New Roman" w:cs="Times New Roman" w:eastAsia="Times New Roman" w:hAnsi="Times New Roman"/>
          <w:sz w:val="20"/>
          <w:szCs w:val="20"/>
          <w:color w:val="auto"/>
        </w:rPr>
        <w:t xml:space="preserve">There were no borrowings outstanding under this agreement as of July 31, 2022, August 1, 2021, and May 1, 2022, respectively. </w:t>
      </w:r>
      <w:r>
        <w:rPr>
          <w:rFonts w:ascii="Times New Roman" w:cs="Times New Roman" w:eastAsia="Times New Roman" w:hAnsi="Times New Roman"/>
          <w:sz w:val="20"/>
          <w:szCs w:val="20"/>
          <w:u w:val="single" w:color="auto"/>
          <w:color w:val="auto"/>
        </w:rPr>
        <w:t>Denominated in United States Dollar (“USD”)</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had an unsecured credit agreement denominated in USD with another bank located in China that provided for a line of credit of up to $2 million USD, which expired on August 30, 2022. Interest charged under this agreement is based on an interest rate determined by the Chinese government at the time of borrowing. Currently, the company does not plan to renew or replace this agreement.</w:t>
      </w:r>
    </w:p>
    <w:p>
      <w:pPr>
        <w:spacing w:after="0" w:line="134" w:lineRule="exact"/>
        <w:rPr>
          <w:sz w:val="20"/>
          <w:szCs w:val="20"/>
          <w:color w:val="auto"/>
        </w:rPr>
      </w:pPr>
    </w:p>
    <w:p>
      <w:pPr>
        <w:ind w:right="1060"/>
        <w:spacing w:after="0" w:line="429" w:lineRule="auto"/>
        <w:rPr>
          <w:sz w:val="20"/>
          <w:szCs w:val="20"/>
          <w:color w:val="auto"/>
        </w:rPr>
      </w:pPr>
      <w:r>
        <w:rPr>
          <w:rFonts w:ascii="Times New Roman" w:cs="Times New Roman" w:eastAsia="Times New Roman" w:hAnsi="Times New Roman"/>
          <w:sz w:val="20"/>
          <w:szCs w:val="20"/>
          <w:color w:val="auto"/>
        </w:rPr>
        <w:t xml:space="preserve">There were no borrowings outstanding under this agreement as of July 31, 2022, August 1, 2021, and May 1, 2022, respectively. </w:t>
      </w:r>
      <w:r>
        <w:rPr>
          <w:rFonts w:ascii="Times New Roman" w:cs="Times New Roman" w:eastAsia="Times New Roman" w:hAnsi="Times New Roman"/>
          <w:sz w:val="20"/>
          <w:szCs w:val="20"/>
          <w:i w:val="1"/>
          <w:iCs w:val="1"/>
          <w:color w:val="auto"/>
        </w:rPr>
        <w:t>Overall</w:t>
      </w:r>
    </w:p>
    <w:p>
      <w:pPr>
        <w:spacing w:after="0" w:line="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loan agreements require, among other things, that we maintain compliance with certain financial covenants. As of July 31, 2022, we complied with our financial covenants.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paid during the first quarter of fiscal 2023 totaled $8,000. No interest payments were made during the first quarter of fiscal 2022.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9. Fair Value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hierarchy consists of three broad levels as follows: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Level 1 – Quoted market prices in active markets for identical assets or liabilities.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Level 2 – Inputs other than level 1 inputs that are either directly or indirectly observable, and</w:t>
      </w:r>
    </w:p>
    <w:p>
      <w:pPr>
        <w:spacing w:after="0" w:line="189" w:lineRule="exact"/>
        <w:rPr>
          <w:sz w:val="20"/>
          <w:szCs w:val="20"/>
          <w:color w:val="auto"/>
        </w:rPr>
      </w:pPr>
    </w:p>
    <w:p>
      <w:pPr>
        <w:ind w:left="340"/>
        <w:spacing w:after="0" w:line="269" w:lineRule="auto"/>
        <w:rPr>
          <w:sz w:val="20"/>
          <w:szCs w:val="20"/>
          <w:color w:val="auto"/>
        </w:rPr>
      </w:pPr>
      <w:r>
        <w:rPr>
          <w:rFonts w:ascii="Times New Roman" w:cs="Times New Roman" w:eastAsia="Times New Roman" w:hAnsi="Times New Roman"/>
          <w:sz w:val="20"/>
          <w:szCs w:val="20"/>
          <w:color w:val="auto"/>
        </w:rPr>
        <w:t>Level 3 – Unobservable inputs developed using the company’s estimates and assumptions, which reflect those that market participants would use.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determination of where an asset or liability falls in the hierarchy requires significant judgment. We evaluate our hierarchy disclosures each quarter based on various factors, and it is possible that an asset or liability may be classified differently from quarter to quarter. However, we expect that changes in classifications between different levels will be rare.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Recurring Basis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information about assets measured at fair value on a recurring basis:</w:t>
      </w:r>
    </w:p>
    <w:p>
      <w:pPr>
        <w:spacing w:after="0" w:line="26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Fair value measurements as of July 31, 2022, using: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Quoted prices</w:t>
            </w: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Significant</w:t>
            </w:r>
          </w:p>
        </w:tc>
        <w:tc>
          <w:tcPr>
            <w:tcW w:w="13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15"/>
        </w:trPr>
        <w:tc>
          <w:tcPr>
            <w:tcW w:w="4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in active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Significant</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markets for</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unobservable</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41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2"/>
          </w:tcPr>
          <w:p>
            <w:pPr>
              <w:jc w:val="center"/>
              <w:ind w:left="1279"/>
              <w:spacing w:after="0"/>
              <w:rPr>
                <w:sz w:val="20"/>
                <w:szCs w:val="20"/>
                <w:color w:val="auto"/>
              </w:rPr>
            </w:pPr>
            <w:r>
              <w:rPr>
                <w:rFonts w:ascii="Times New Roman" w:cs="Times New Roman" w:eastAsia="Times New Roman" w:hAnsi="Times New Roman"/>
                <w:sz w:val="16"/>
                <w:szCs w:val="16"/>
                <w:color w:val="auto"/>
              </w:rPr>
              <w:t>identical assets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inputs</w:t>
            </w:r>
          </w:p>
        </w:tc>
        <w:tc>
          <w:tcPr>
            <w:tcW w:w="13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inputs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11"/>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Level 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13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9"/>
              </w:rPr>
              <w:t>Level 3</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Total</w:t>
            </w:r>
          </w:p>
        </w:tc>
      </w:tr>
      <w:tr>
        <w:trPr>
          <w:trHeight w:val="211"/>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17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8,853</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8,853</w:t>
            </w:r>
          </w:p>
        </w:tc>
      </w:tr>
      <w:tr>
        <w:trPr>
          <w:trHeight w:val="21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464</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464</w:t>
            </w: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4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82</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82</w:t>
            </w:r>
          </w:p>
        </w:tc>
      </w:tr>
      <w:tr>
        <w:trPr>
          <w:trHeight w:val="216"/>
        </w:trPr>
        <w:tc>
          <w:tcPr>
            <w:tcW w:w="4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168</w:t>
            </w:r>
          </w:p>
        </w:tc>
        <w:tc>
          <w:tcPr>
            <w:tcW w:w="12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auto"/>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168</w:t>
            </w:r>
          </w:p>
        </w:tc>
      </w:tr>
      <w:tr>
        <w:trPr>
          <w:trHeight w:val="625"/>
        </w:trPr>
        <w:tc>
          <w:tcPr>
            <w:tcW w:w="4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Fair value measurements as of August 1, 2021, using:</w:t>
            </w:r>
          </w:p>
        </w:tc>
        <w:tc>
          <w:tcPr>
            <w:tcW w:w="940" w:type="dxa"/>
            <w:vAlign w:val="bottom"/>
          </w:tcPr>
          <w:p>
            <w:pPr>
              <w:spacing w:after="0"/>
              <w:rPr>
                <w:sz w:val="24"/>
                <w:szCs w:val="24"/>
                <w:color w:val="auto"/>
              </w:rPr>
            </w:pPr>
          </w:p>
        </w:tc>
      </w:tr>
      <w:tr>
        <w:trPr>
          <w:trHeight w:val="209"/>
        </w:trPr>
        <w:tc>
          <w:tcPr>
            <w:tcW w:w="4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04"/>
        </w:trPr>
        <w:tc>
          <w:tcPr>
            <w:tcW w:w="4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Quoted prices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4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8"/>
              </w:rPr>
              <w:t>in active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Significant</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markets for</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unobservable</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41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2"/>
          </w:tcPr>
          <w:p>
            <w:pPr>
              <w:jc w:val="center"/>
              <w:ind w:left="1319"/>
              <w:spacing w:after="0"/>
              <w:rPr>
                <w:sz w:val="20"/>
                <w:szCs w:val="20"/>
                <w:color w:val="auto"/>
              </w:rPr>
            </w:pPr>
            <w:r>
              <w:rPr>
                <w:rFonts w:ascii="Times New Roman" w:cs="Times New Roman" w:eastAsia="Times New Roman" w:hAnsi="Times New Roman"/>
                <w:sz w:val="16"/>
                <w:szCs w:val="16"/>
                <w:color w:val="auto"/>
              </w:rPr>
              <w:t>identical assets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2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rPr>
              <w:t>inputs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11"/>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rPr>
              <w:t>Level 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Level 3</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Total</w:t>
            </w:r>
          </w:p>
        </w:tc>
      </w:tr>
      <w:tr>
        <w:trPr>
          <w:trHeight w:val="211"/>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17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8,205</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8,205</w:t>
            </w:r>
          </w:p>
        </w:tc>
      </w:tr>
      <w:tr>
        <w:trPr>
          <w:trHeight w:val="21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Bond Mutual Funds</w:t>
            </w:r>
          </w:p>
        </w:tc>
        <w:tc>
          <w:tcPr>
            <w:tcW w:w="1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4,656</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4,656</w:t>
            </w: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Inflation Protected Bond Mutual Funds</w:t>
            </w:r>
          </w:p>
        </w:tc>
        <w:tc>
          <w:tcPr>
            <w:tcW w:w="174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2,979</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2,979</w:t>
            </w:r>
          </w:p>
        </w:tc>
      </w:tr>
      <w:tr>
        <w:trPr>
          <w:trHeight w:val="21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 Securities Mutual Funds</w:t>
            </w:r>
          </w:p>
        </w:tc>
        <w:tc>
          <w:tcPr>
            <w:tcW w:w="1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1,124</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1,124</w:t>
            </w: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Large Cap Equity Mutual Funds</w:t>
            </w:r>
          </w:p>
        </w:tc>
        <w:tc>
          <w:tcPr>
            <w:tcW w:w="174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708</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708</w:t>
            </w:r>
          </w:p>
        </w:tc>
      </w:tr>
      <w:tr>
        <w:trPr>
          <w:trHeight w:val="21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419</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419</w:t>
            </w: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U.S. Event Driven Equity Mutual Fund</w:t>
            </w:r>
          </w:p>
        </w:tc>
        <w:tc>
          <w:tcPr>
            <w:tcW w:w="174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194</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w:t>
            </w:r>
          </w:p>
        </w:tc>
      </w:tr>
      <w:tr>
        <w:trPr>
          <w:trHeight w:val="21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91</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w:t>
            </w:r>
          </w:p>
        </w:tc>
      </w:tr>
      <w:tr>
        <w:trPr>
          <w:trHeight w:val="213"/>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163</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163</w:t>
            </w: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4" w:name="page15"/>
    <w:bookmarkEnd w:id="14"/>
    <w:p>
      <w:pPr>
        <w:ind w:left="6820"/>
        <w:spacing w:after="0"/>
        <w:rPr>
          <w:sz w:val="20"/>
          <w:szCs w:val="20"/>
          <w:color w:val="auto"/>
        </w:rPr>
      </w:pPr>
      <w:r>
        <w:rPr>
          <w:rFonts w:ascii="Times New Roman" w:cs="Times New Roman" w:eastAsia="Times New Roman" w:hAnsi="Times New Roman"/>
          <w:sz w:val="16"/>
          <w:szCs w:val="16"/>
          <w:color w:val="auto"/>
        </w:rPr>
        <w:t>Fair value measurements as of May 1, 2022, using: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rPr>
              <w:t>Quoted prices</w:t>
            </w: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13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16"/>
        </w:trPr>
        <w:tc>
          <w:tcPr>
            <w:tcW w:w="4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8"/>
              </w:rPr>
              <w:t>in active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Significant</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markets for</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unobservable</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41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2"/>
          </w:tcPr>
          <w:p>
            <w:pPr>
              <w:jc w:val="center"/>
              <w:ind w:left="1319"/>
              <w:spacing w:after="0"/>
              <w:rPr>
                <w:sz w:val="20"/>
                <w:szCs w:val="20"/>
                <w:color w:val="auto"/>
              </w:rPr>
            </w:pPr>
            <w:r>
              <w:rPr>
                <w:rFonts w:ascii="Times New Roman" w:cs="Times New Roman" w:eastAsia="Times New Roman" w:hAnsi="Times New Roman"/>
                <w:sz w:val="16"/>
                <w:szCs w:val="16"/>
                <w:color w:val="auto"/>
              </w:rPr>
              <w:t>identical assets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inputs</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11"/>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rPr>
              <w:t>Level 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134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Level 3</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Total</w:t>
            </w:r>
          </w:p>
        </w:tc>
      </w:tr>
      <w:tr>
        <w:trPr>
          <w:trHeight w:val="211"/>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17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8,683</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8,683</w:t>
            </w:r>
          </w:p>
        </w:tc>
      </w:tr>
      <w:tr>
        <w:trPr>
          <w:trHeight w:val="21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435</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435</w:t>
            </w: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4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81</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r>
      <w:tr>
        <w:trPr>
          <w:trHeight w:val="216"/>
        </w:trPr>
        <w:tc>
          <w:tcPr>
            <w:tcW w:w="4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158</w:t>
            </w:r>
          </w:p>
        </w:tc>
        <w:tc>
          <w:tcPr>
            <w:tcW w:w="12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Borders>
              <w:bottom w:val="single" w:sz="8" w:color="auto"/>
            </w:tcBorders>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Short-Term Investments – Available for Sale</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fourth quarter of fiscal 2022, we sold all of our remaining short-term investments classified as available-for-sale, and therefore we did not report short-term investments classified as available-for-sale in the accompanying Consolidated Balance Sheets as of July 31, 2022, and May 1, 2022. As of August 1, 2021, our short-term investments classified as available-for-sale (i) consisted of various types of bond and equity mutual funds, (ii) were recorded at their fair value totaling $9.7 million, (iii) had an unrealized gain of $143,000, (iv) approximated their cost basis, and (v) resided with our U.S.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Short-Term and Long-Term Investments - Held-To-Maturity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During the fourth quarter of fiscal 2022, we sold all of our remaining investments classified as held-to-maturity, and therefore we did not report short-term or long-term investments classified as held-to-maturity in the accompanying Consolidated Balance Sheets as of July 31, 2022, and May 1, 2022. As of August 1, 2021, our investments classified as held-to-maturity consisted of investment grade U.S. corporate bonds, foreign bonds, and government bonds. These investments were classified as held-to-maturity as we had the positive intent and ability to hold these investments until maturity. Our held-to-maturity investments were recorded as either current or noncurrent in our Consolidated Balance Sheets, based on the maturity date in relation to the respective reporting period and were recorded at amortized cost.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August 1, 2021, our held-to-maturity investments had an amortized cost and fair value totaling $8.3 million and resided with our 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operations.</w:t>
      </w:r>
    </w:p>
    <w:p>
      <w:pPr>
        <w:spacing w:after="0" w:line="1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held-to-maturity investments were classified as level 2 within the fair value hierarchy as they were traded over the counter within a broker network and not on an active market. The fair values of our held-to-maturity investments were determined based on a published source that provided an average bid price. The average bid price was based on various broker prices that were determined based on market conditions, interest rates, and the rating of the respective bond investment.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Long-Term Investments - Rabbi Trust</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a rabbi trust for the participants of our deferred compensation plan (the “Plan”), that enables participants to credit their contributions to various investment options under the Plan. The investments associated with the rabbi trust consist of a U.S. Government money market fund and various equity related mutual funds that are classified as available-for-sale.</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long-term investments associated with our rabbi trust are classified as available-for-sale and recorded at their fair values of $9.6 million, $8.8 million, and $9.4 million as of July 31, 2022, August 1, 2021, and May 1, 2022, respectively. The long-term investments associated with our rabbi trust had an accumulated unrealized gain of $25,000, $151,000, and $32,000, as of July 31, 2022, August 1, 2021, and May 1, 2022, respectively. The fair value of our long-term investments associated with our rabbi trust approximates their cost basis.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carrying amount of our cash and cash equivalents, accounts receivable, other current assets, accounts payable, and accrued expenses approximated their fair value because of the short maturity of these financial instruments.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10. Net (Loss) Income Per Share</w:t>
      </w:r>
    </w:p>
    <w:p>
      <w:pPr>
        <w:spacing w:after="0" w:line="17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Basic net (loss) income per share is computed using the weighted-average number of shares outstanding during the period. Diluted net (loss) income per share uses the weighted-average number of shares outstanding during the period plus the dilutive effect of stock-based compensation calculated using the treasury stock method.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Weighted average shares used in the computation of basic and diluted net (loss) income per share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5440" w:type="dxa"/>
            <w:vAlign w:val="bottom"/>
            <w:gridSpan w:val="2"/>
          </w:tcPr>
          <w:p>
            <w:pPr>
              <w:jc w:val="right"/>
              <w:ind w:right="107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9"/>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7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July 31, 2022</w:t>
            </w:r>
          </w:p>
        </w:tc>
        <w:tc>
          <w:tcPr>
            <w:tcW w:w="16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August 1, 2021</w:t>
            </w:r>
          </w:p>
        </w:tc>
      </w:tr>
      <w:tr>
        <w:trPr>
          <w:trHeight w:val="21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376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12,238</w:t>
            </w:r>
          </w:p>
        </w:tc>
        <w:tc>
          <w:tcPr>
            <w:tcW w:w="1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12,313</w:t>
            </w:r>
          </w:p>
        </w:tc>
      </w:tr>
      <w:tr>
        <w:trPr>
          <w:trHeight w:val="213"/>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Dilutive effect of stock-based compensation</w:t>
            </w:r>
          </w:p>
        </w:tc>
        <w:tc>
          <w:tcPr>
            <w:tcW w:w="3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102</w:t>
            </w:r>
          </w:p>
        </w:tc>
      </w:tr>
      <w:tr>
        <w:trPr>
          <w:trHeight w:val="209"/>
        </w:trPr>
        <w:tc>
          <w:tcPr>
            <w:tcW w:w="58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376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12,238</w:t>
            </w:r>
          </w:p>
        </w:tc>
        <w:tc>
          <w:tcPr>
            <w:tcW w:w="1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12,415</w:t>
            </w:r>
          </w:p>
        </w:tc>
      </w:tr>
    </w:tbl>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first quarter of fiscal 2023, 38,779 shares of unvested common stock were not included in the computation of diluted net loss per share as their effect would be antidilutive due to the decrease in the price per share of our common stock during the reporting period compared with the price per share of our common stock as of the respective grant dates of the related stock-based compensation awards. In addition, during the first quarter of fiscal 2023, 42,489 shares of unvested common stock were not included in the computation of diluted net loss per share as we incurred a net loss during the reporting period.</w:t>
      </w:r>
    </w:p>
    <w:p>
      <w:pPr>
        <w:spacing w:after="0" w:line="19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During the first quarter of fiscal 2022, all unvested shares of common stock were included in the computation of diluted net income per share.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In addition, this segment includes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 Information</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evaluate the operating performance of our business segments based upon (loss) income from operations before certain unallocated corporate expenses and other items that are not expected to occur on a regular basis. Cost of sales for each segment includes costs to develop, manufacture, or source our products, including costs such as raw material and finished goods purchases, direct and indirect labor, overhead, and incoming freight charges. Unallocated corporate expenses primarily represent compensation and benefits for certain executives and their support staff, all costs associated with being a public company, amortization of intangible assets, and other miscellaneous expenses. Segment assets include assets used in the operations of each segment and consist of accounts receivable, inventories, property, plant, and equipment, and right of use assets. Intangible assets are not included in segment assets as these assets are not used by the Chief Operating Decision Maker to evaluate the respective segment’s operating performance, allocate resources to individual segments, or determine executive compensation.</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color w:val="auto"/>
        </w:rPr>
        <w:t>Statements of operations for our operating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3"/>
          </w:tcPr>
          <w:p>
            <w:pPr>
              <w:jc w:val="right"/>
              <w:ind w:right="1079"/>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19"/>
        </w:trPr>
        <w:tc>
          <w:tcPr>
            <w:tcW w:w="7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July 31, 2022</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August 1, 2021</w:t>
            </w: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 by segment:</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29,371</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43,058</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22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33,233</w:t>
            </w: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39,989</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62,604</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83,047</w:t>
            </w: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(loss) profit:</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6,795</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22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4,165</w:t>
            </w: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5,704</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4,128</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12,499</w:t>
            </w: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 by segment:</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2,885</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3,184</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3,622</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3,437</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2,359</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2,560</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8,866</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9,181</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(loss) income from operations by segment:</w:t>
            </w: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(2,921)</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3,611</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22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542</w:t>
            </w:r>
          </w:p>
        </w:tc>
        <w:tc>
          <w:tcPr>
            <w:tcW w:w="28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2,267</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22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(2,359)</w:t>
            </w: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22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(4,738)</w:t>
            </w:r>
          </w:p>
        </w:tc>
        <w:tc>
          <w:tcPr>
            <w:tcW w:w="28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3,318</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other expense</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(4,803)</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3,155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Balance sheet information for our operating segments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July 31, 2022</w:t>
            </w:r>
          </w:p>
        </w:tc>
        <w:tc>
          <w:tcPr>
            <w:tcW w:w="16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August 1, 2021</w:t>
            </w: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May 1, 2022</w:t>
            </w:r>
          </w:p>
        </w:tc>
      </w:tr>
      <w:tr>
        <w:trPr>
          <w:trHeight w:val="211"/>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assets:</w:t>
            </w: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3"/>
        </w:trPr>
        <w:tc>
          <w:tcPr>
            <w:tcW w:w="42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4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Accounts receivable</w:t>
            </w:r>
          </w:p>
        </w:tc>
        <w:tc>
          <w:tcPr>
            <w:tcW w:w="21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12,382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18,016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9,865</w:t>
            </w:r>
          </w:p>
        </w:tc>
      </w:tr>
      <w:tr>
        <w:trPr>
          <w:trHeight w:val="213"/>
        </w:trPr>
        <w:tc>
          <w:tcPr>
            <w:tcW w:w="42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Inventory</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36,471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31,778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39,028</w:t>
            </w:r>
          </w:p>
        </w:tc>
      </w:tr>
      <w:tr>
        <w:trPr>
          <w:trHeight w:val="219"/>
        </w:trPr>
        <w:tc>
          <w:tcPr>
            <w:tcW w:w="4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Property, plant and equipment (1)</w:t>
            </w:r>
          </w:p>
        </w:tc>
        <w:tc>
          <w:tcPr>
            <w:tcW w:w="2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37,354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41,311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38,731</w:t>
            </w:r>
          </w:p>
        </w:tc>
      </w:tr>
      <w:tr>
        <w:trPr>
          <w:trHeight w:val="213"/>
        </w:trPr>
        <w:tc>
          <w:tcPr>
            <w:tcW w:w="42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Right of use assets (2)</w:t>
            </w:r>
          </w:p>
        </w:tc>
        <w:tc>
          <w:tcPr>
            <w:tcW w:w="20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3,232</w:t>
            </w:r>
          </w:p>
        </w:tc>
        <w:tc>
          <w:tcPr>
            <w:tcW w:w="1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4,058</w:t>
            </w: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3,469</w:t>
            </w:r>
          </w:p>
        </w:tc>
      </w:tr>
      <w:tr>
        <w:trPr>
          <w:trHeight w:val="212"/>
        </w:trPr>
        <w:tc>
          <w:tcPr>
            <w:tcW w:w="42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Total mattress fabrics assets</w:t>
            </w:r>
          </w:p>
        </w:tc>
        <w:tc>
          <w:tcPr>
            <w:tcW w:w="20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89,439</w:t>
            </w:r>
          </w:p>
        </w:tc>
        <w:tc>
          <w:tcPr>
            <w:tcW w:w="1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95,163</w:t>
            </w:r>
          </w:p>
        </w:tc>
        <w:tc>
          <w:tcPr>
            <w:tcW w:w="1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91,093</w:t>
            </w:r>
          </w:p>
        </w:tc>
      </w:tr>
      <w:tr>
        <w:trPr>
          <w:trHeight w:val="206"/>
        </w:trPr>
        <w:tc>
          <w:tcPr>
            <w:tcW w:w="42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9"/>
        </w:trPr>
        <w:tc>
          <w:tcPr>
            <w:tcW w:w="4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Accounts receivable</w:t>
            </w:r>
          </w:p>
        </w:tc>
        <w:tc>
          <w:tcPr>
            <w:tcW w:w="2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12,430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16,992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12,361</w:t>
            </w:r>
          </w:p>
        </w:tc>
      </w:tr>
      <w:tr>
        <w:trPr>
          <w:trHeight w:val="213"/>
        </w:trPr>
        <w:tc>
          <w:tcPr>
            <w:tcW w:w="42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Inventory</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27,278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26,835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27,529</w:t>
            </w:r>
          </w:p>
        </w:tc>
      </w:tr>
      <w:tr>
        <w:trPr>
          <w:trHeight w:val="219"/>
        </w:trPr>
        <w:tc>
          <w:tcPr>
            <w:tcW w:w="4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Property, plant and equipment (3)</w:t>
            </w:r>
          </w:p>
        </w:tc>
        <w:tc>
          <w:tcPr>
            <w:tcW w:w="2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2,271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1,650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2,030</w:t>
            </w:r>
          </w:p>
        </w:tc>
      </w:tr>
      <w:tr>
        <w:trPr>
          <w:trHeight w:val="213"/>
        </w:trPr>
        <w:tc>
          <w:tcPr>
            <w:tcW w:w="42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Right of use assets (4)</w:t>
            </w:r>
          </w:p>
        </w:tc>
        <w:tc>
          <w:tcPr>
            <w:tcW w:w="20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7,520</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5,984</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8,124</w:t>
            </w:r>
          </w:p>
        </w:tc>
      </w:tr>
      <w:tr>
        <w:trPr>
          <w:trHeight w:val="212"/>
        </w:trPr>
        <w:tc>
          <w:tcPr>
            <w:tcW w:w="42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Total upholstery fabrics assets</w:t>
            </w:r>
          </w:p>
        </w:tc>
        <w:tc>
          <w:tcPr>
            <w:tcW w:w="20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49,499</w:t>
            </w:r>
          </w:p>
        </w:tc>
        <w:tc>
          <w:tcPr>
            <w:tcW w:w="1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51,461</w:t>
            </w:r>
          </w:p>
        </w:tc>
        <w:tc>
          <w:tcPr>
            <w:tcW w:w="1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50,044</w:t>
            </w:r>
          </w:p>
        </w:tc>
      </w:tr>
      <w:tr>
        <w:trPr>
          <w:trHeight w:val="207"/>
        </w:trPr>
        <w:tc>
          <w:tcPr>
            <w:tcW w:w="42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Total segment assets</w:t>
            </w:r>
          </w:p>
        </w:tc>
        <w:tc>
          <w:tcPr>
            <w:tcW w:w="20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138,938</w:t>
            </w: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146,624</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141,137</w:t>
            </w:r>
          </w:p>
        </w:tc>
      </w:tr>
      <w:tr>
        <w:trPr>
          <w:trHeight w:val="212"/>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Non-segment assets:</w:t>
            </w: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3"/>
        </w:trPr>
        <w:tc>
          <w:tcPr>
            <w:tcW w:w="42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18,874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26,061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14,550</w:t>
            </w:r>
          </w:p>
        </w:tc>
      </w:tr>
      <w:tr>
        <w:trPr>
          <w:trHeight w:val="219"/>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Short-term investments - available for sale</w:t>
            </w:r>
          </w:p>
        </w:tc>
        <w:tc>
          <w:tcPr>
            <w:tcW w:w="2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9,698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Short-term investments - held-to-maturity</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2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857</w:t>
            </w:r>
          </w:p>
        </w:tc>
      </w:tr>
      <w:tr>
        <w:trPr>
          <w:trHeight w:val="213"/>
        </w:trPr>
        <w:tc>
          <w:tcPr>
            <w:tcW w:w="42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current assets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2,986</w:t>
            </w:r>
          </w:p>
        </w:tc>
      </w:tr>
      <w:tr>
        <w:trPr>
          <w:trHeight w:val="219"/>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2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528</w:t>
            </w:r>
          </w:p>
        </w:tc>
      </w:tr>
      <w:tr>
        <w:trPr>
          <w:trHeight w:val="213"/>
        </w:trPr>
        <w:tc>
          <w:tcPr>
            <w:tcW w:w="42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Property, plant and equipment (5)</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941</w:t>
            </w:r>
          </w:p>
        </w:tc>
      </w:tr>
      <w:tr>
        <w:trPr>
          <w:trHeight w:val="219"/>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Right of use assets (6)</w:t>
            </w:r>
          </w:p>
        </w:tc>
        <w:tc>
          <w:tcPr>
            <w:tcW w:w="2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3,804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3,984</w:t>
            </w:r>
          </w:p>
        </w:tc>
      </w:tr>
      <w:tr>
        <w:trPr>
          <w:trHeight w:val="213"/>
        </w:trPr>
        <w:tc>
          <w:tcPr>
            <w:tcW w:w="42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Intangible assets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2,628</w:t>
            </w:r>
          </w:p>
        </w:tc>
      </w:tr>
      <w:tr>
        <w:trPr>
          <w:trHeight w:val="219"/>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2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9,567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8,841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9,357</w:t>
            </w:r>
          </w:p>
        </w:tc>
      </w:tr>
      <w:tr>
        <w:trPr>
          <w:trHeight w:val="213"/>
        </w:trPr>
        <w:tc>
          <w:tcPr>
            <w:tcW w:w="42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Long-term investments - held-to-maturity</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assets</w:t>
            </w:r>
          </w:p>
        </w:tc>
        <w:tc>
          <w:tcPr>
            <w:tcW w:w="2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724</w:t>
            </w:r>
          </w:p>
        </w:tc>
        <w:tc>
          <w:tcPr>
            <w:tcW w:w="1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2,582</w:t>
            </w:r>
          </w:p>
        </w:tc>
        <w:tc>
          <w:tcPr>
            <w:tcW w:w="1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595</w:t>
            </w:r>
          </w:p>
        </w:tc>
      </w:tr>
      <w:tr>
        <w:trPr>
          <w:trHeight w:val="207"/>
        </w:trPr>
        <w:tc>
          <w:tcPr>
            <w:tcW w:w="42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Total assets</w:t>
            </w:r>
          </w:p>
        </w:tc>
        <w:tc>
          <w:tcPr>
            <w:tcW w:w="200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180,490</w:t>
            </w: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212,248</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177,563</w:t>
            </w:r>
          </w:p>
        </w:tc>
      </w:tr>
      <w:tr>
        <w:trPr>
          <w:trHeight w:val="20"/>
        </w:trPr>
        <w:tc>
          <w:tcPr>
            <w:tcW w:w="4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529"/>
        </w:trPr>
        <w:tc>
          <w:tcPr>
            <w:tcW w:w="4240" w:type="dxa"/>
            <w:vAlign w:val="bottom"/>
          </w:tcPr>
          <w:p>
            <w:pPr>
              <w:spacing w:after="0"/>
              <w:rPr>
                <w:sz w:val="24"/>
                <w:szCs w:val="24"/>
                <w:color w:val="auto"/>
              </w:rPr>
            </w:pPr>
          </w:p>
        </w:tc>
        <w:tc>
          <w:tcPr>
            <w:tcW w:w="2180" w:type="dxa"/>
            <w:vAlign w:val="bottom"/>
            <w:gridSpan w:val="2"/>
          </w:tcPr>
          <w:p>
            <w:pPr>
              <w:jc w:val="right"/>
              <w:ind w:right="559"/>
              <w:spacing w:after="0"/>
              <w:rPr>
                <w:sz w:val="20"/>
                <w:szCs w:val="20"/>
                <w:color w:val="auto"/>
              </w:rPr>
            </w:pPr>
            <w:r>
              <w:rPr>
                <w:rFonts w:ascii="Times New Roman" w:cs="Times New Roman" w:eastAsia="Times New Roman" w:hAnsi="Times New Roman"/>
                <w:sz w:val="20"/>
                <w:szCs w:val="20"/>
                <w:color w:val="auto"/>
              </w:rPr>
              <w:t>I-15</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09"/>
        </w:trPr>
        <w:tc>
          <w:tcPr>
            <w:tcW w:w="424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240" w:type="dxa"/>
            <w:vAlign w:val="bottom"/>
            <w:gridSpan w:val="3"/>
          </w:tcPr>
          <w:p>
            <w:pPr>
              <w:jc w:val="right"/>
              <w:ind w:right="101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9"/>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9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July 31, 2022</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August 1, 2021</w:t>
            </w:r>
          </w:p>
        </w:tc>
      </w:tr>
      <w:tr>
        <w:trPr>
          <w:trHeight w:val="212"/>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expenditures (7):</w:t>
            </w:r>
          </w:p>
        </w:tc>
        <w:tc>
          <w:tcPr>
            <w:tcW w:w="29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3"/>
        </w:trPr>
        <w:tc>
          <w:tcPr>
            <w:tcW w:w="5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2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197</w:t>
            </w:r>
          </w:p>
        </w:tc>
        <w:tc>
          <w:tcPr>
            <w:tcW w:w="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1,117</w:t>
            </w:r>
          </w:p>
        </w:tc>
      </w:tr>
      <w:tr>
        <w:trPr>
          <w:trHeight w:val="219"/>
        </w:trPr>
        <w:tc>
          <w:tcPr>
            <w:tcW w:w="5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29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360</w:t>
            </w:r>
          </w:p>
        </w:tc>
        <w:tc>
          <w:tcPr>
            <w:tcW w:w="3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262</w:t>
            </w:r>
          </w:p>
        </w:tc>
      </w:tr>
      <w:tr>
        <w:trPr>
          <w:trHeight w:val="213"/>
        </w:trPr>
        <w:tc>
          <w:tcPr>
            <w:tcW w:w="5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Unallocated Corporate</w:t>
            </w:r>
          </w:p>
        </w:tc>
        <w:tc>
          <w:tcPr>
            <w:tcW w:w="29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274</w:t>
            </w:r>
          </w:p>
        </w:tc>
      </w:tr>
      <w:tr>
        <w:trPr>
          <w:trHeight w:val="209"/>
        </w:trPr>
        <w:tc>
          <w:tcPr>
            <w:tcW w:w="502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29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583</w:t>
            </w: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1,653</w:t>
            </w:r>
          </w:p>
        </w:tc>
      </w:t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expense:</w:t>
            </w:r>
          </w:p>
        </w:tc>
        <w:tc>
          <w:tcPr>
            <w:tcW w:w="2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5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2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1,568</w:t>
            </w:r>
          </w:p>
        </w:tc>
        <w:tc>
          <w:tcPr>
            <w:tcW w:w="3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1,521</w:t>
            </w:r>
          </w:p>
        </w:tc>
      </w:tr>
      <w:tr>
        <w:trPr>
          <w:trHeight w:val="213"/>
        </w:trPr>
        <w:tc>
          <w:tcPr>
            <w:tcW w:w="5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29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205</w:t>
            </w:r>
          </w:p>
        </w:tc>
      </w:tr>
      <w:tr>
        <w:trPr>
          <w:trHeight w:val="209"/>
        </w:trPr>
        <w:tc>
          <w:tcPr>
            <w:tcW w:w="502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29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1,770</w:t>
            </w: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1,726</w:t>
            </w: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360" w:hanging="352"/>
        <w:spacing w:after="0" w:line="246" w:lineRule="auto"/>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$37.4 million as of July 31, 2022, represents property, plant, and equipment of $24.7 million, $11.9 million, and $718,000 located in the U.S., Canada, and Haiti, respectively. The $41.3 million as of August 1, 2021, represents property, plant, and equipment of $28.0 million, $12.4 million, and $875,000 located in the U.S., Canada, and Haiti, respectively. The $38.7 million as of May 1, 2022, represents property, plant, and equipment of $25.6 million, $12.4 million, and $757,000 located in the U.S., Canada, and Haiti, respectively.</w:t>
      </w:r>
    </w:p>
    <w:p>
      <w:pPr>
        <w:spacing w:after="0" w:line="144"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$3.2 million as of July 31, 2022, represents right of use assets of $1.9 million, $1.1 million, and $228,000 located in Haiti, the U.S., and Canada, respectively. The $4.1 million as of August 1, 2021, represents right of use assets of $2.3 million, $1.4 million, and $355,000 located in Haiti, the U.S., and Canada, respectively. The $3.5 million as of May 1, 2022, represents right of use assets of $2.0 million, $1.2 million, and $291,000 located in Haiti, the U.S., and Canada, respectively.</w:t>
      </w:r>
    </w:p>
    <w:p>
      <w:pPr>
        <w:spacing w:after="0" w:line="139"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$2.3 million as of July 31, 2022, represents property, plant, and equipment of $1.1 million, $988,000, and $232,000 located in the U.S., Haiti, and China, respectively. The $1.7 million as of August 1, 2021, represents property, plant, and equipment of $1.1 million, $400,000, and $130,000 located in the U.S., China, and Haiti, respectively. The $2.0 million as of May 1, 2022, represents property, plant, and equipment of $1.0 million, $756,000, and $255,000 located in the U.S., Haiti, and China, respectively.</w:t>
      </w:r>
    </w:p>
    <w:p>
      <w:pPr>
        <w:spacing w:after="0" w:line="139"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$7.5 million as of July 31, 2022, represents right of use assets of $3.4 million, $2.5 million and $1.6 million located in China, Haiti, and the U.S., respectively. The $6.0 million as of August 1, 2021, represents right of use assets of $4.6 million and $1.4 million located in China and the U.S., respectively. The $8.1 million as of May 1, 2022, represents right of use assets of $3.7 million, $2.6 million, and $1.8 million located in China, Haiti, and the U.S., respectively.</w:t>
      </w:r>
    </w:p>
    <w:p>
      <w:pPr>
        <w:spacing w:after="0" w:line="139" w:lineRule="exact"/>
        <w:rPr>
          <w:rFonts w:ascii="Times New Roman" w:cs="Times New Roman" w:eastAsia="Times New Roman" w:hAnsi="Times New Roman"/>
          <w:sz w:val="20"/>
          <w:szCs w:val="20"/>
          <w:color w:val="auto"/>
        </w:rPr>
      </w:pPr>
    </w:p>
    <w:p>
      <w:pPr>
        <w:jc w:val="both"/>
        <w:ind w:left="360" w:hanging="352"/>
        <w:spacing w:after="0" w:line="254" w:lineRule="auto"/>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$865,000, $969,000, and $941,000 as of July 31, 2022, August 1, 2021, and May 1, 2022, respectively, represent property, plant, and equipment associated with unallocated corporate departments and corporate departments shared by our mattress fabrics and upholstery fabrics segments. Property, plant, and equipment associated with our corporate departments reside in the U.S.</w:t>
      </w:r>
    </w:p>
    <w:p>
      <w:pPr>
        <w:spacing w:after="0" w:line="133" w:lineRule="exact"/>
        <w:rPr>
          <w:rFonts w:ascii="Times New Roman" w:cs="Times New Roman" w:eastAsia="Times New Roman" w:hAnsi="Times New Roman"/>
          <w:sz w:val="20"/>
          <w:szCs w:val="20"/>
          <w:color w:val="auto"/>
        </w:rPr>
      </w:pPr>
    </w:p>
    <w:p>
      <w:pPr>
        <w:ind w:left="360" w:right="20" w:hanging="352"/>
        <w:spacing w:after="0" w:line="269" w:lineRule="auto"/>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$3.8 million, $1.4 million, and $4.0 million as of July 31, 2022, August 1, 2021, and May 1, 2022, respectively, represent right of use assets located in the U.S.</w:t>
      </w:r>
    </w:p>
    <w:p>
      <w:pPr>
        <w:spacing w:after="0" w:line="118" w:lineRule="exact"/>
        <w:rPr>
          <w:rFonts w:ascii="Times New Roman" w:cs="Times New Roman" w:eastAsia="Times New Roman" w:hAnsi="Times New Roman"/>
          <w:sz w:val="20"/>
          <w:szCs w:val="20"/>
          <w:color w:val="auto"/>
        </w:rPr>
      </w:pPr>
    </w:p>
    <w:p>
      <w:pPr>
        <w:ind w:left="360" w:right="20" w:hanging="352"/>
        <w:spacing w:after="0" w:line="269" w:lineRule="auto"/>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 amounts are stated on the accrual basis. See Consolidated Statements of Cash Flows for capital expenditure amounts on a cash basis.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12.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w:t>
      </w:r>
    </w:p>
    <w:p>
      <w:pPr>
        <w:spacing w:after="0" w:line="19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We recorded income tax expense of $896,000, or (18.7%) of loss before income taxes, for the three-month period ending July 31, 2022, compared with income tax expense of $905,000, or 28.7% of income before income taxes, for the three-month period ending August 1, 2021.</w:t>
      </w:r>
    </w:p>
    <w:p>
      <w:pPr>
        <w:spacing w:after="0" w:line="9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effective income tax rates for the three-month periods ended July 31, 2022, and August 1, 2021, were based upon the estimated effective income tax rate applicable for the full year after giving effect to any significant items related specifically to interim periods. When calculating the annual estimated effective income tax rate for the three-month periods ended July 31, 2022, and August 1, 2021, we were subject to loss limitation rules. These loss limitation rules require any taxable loss associated with our U.S. or foreign operations to be excluded from the annual estimated effective income tax rate calculation if it was determined that no income tax benefit could be recognized during the current fiscal year. The effective income tax rate can be affected over the fiscal year by the mix and timing of actual earnings from our U.S. operations and foreign subsidiaries located in China, Canada, and Haiti versus annual projections, as well as changes in foreign currency exchange rates in relation to the U.S. dollar.</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at the U.S. federal income tax rate and the effective income tax rate reflected in the consolidated financial statements for the three-month periods ending July 31, 2022, and August 1,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38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rPr>
              <w:t>July 31,</w:t>
            </w: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August 1,</w:t>
            </w:r>
          </w:p>
        </w:tc>
      </w:tr>
      <w:tr>
        <w:trPr>
          <w:trHeight w:val="219"/>
        </w:trPr>
        <w:tc>
          <w:tcPr>
            <w:tcW w:w="58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rPr>
              <w:t>2022</w:t>
            </w:r>
          </w:p>
        </w:tc>
        <w:tc>
          <w:tcPr>
            <w:tcW w:w="15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rPr>
              <w:t>2021</w:t>
            </w:r>
          </w:p>
        </w:tc>
      </w:tr>
      <w:tr>
        <w:trPr>
          <w:trHeight w:val="213"/>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8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21.0%</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U.S. valuation allowance</w:t>
            </w:r>
          </w:p>
        </w:tc>
        <w:tc>
          <w:tcPr>
            <w:tcW w:w="38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(35.4)</w:t>
            </w: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r>
      <w:tr>
        <w:trPr>
          <w:trHeight w:val="21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380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(5.0)</w:t>
            </w:r>
          </w:p>
        </w:tc>
        <w:tc>
          <w:tcPr>
            <w:tcW w:w="15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4.7</w:t>
            </w:r>
          </w:p>
        </w:tc>
      </w:tr>
      <w:tr>
        <w:trPr>
          <w:trHeight w:val="21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8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2.7</w:t>
            </w: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380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(2.1)</w:t>
            </w:r>
          </w:p>
        </w:tc>
        <w:tc>
          <w:tcPr>
            <w:tcW w:w="15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Global Intangible Low Taxed Income Tax ("GILTI")</w:t>
            </w:r>
          </w:p>
        </w:tc>
        <w:tc>
          <w:tcPr>
            <w:tcW w:w="38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w:t>
            </w:r>
          </w:p>
        </w:tc>
      </w:tr>
      <w:tr>
        <w:trPr>
          <w:trHeight w:val="216"/>
        </w:trPr>
        <w:tc>
          <w:tcPr>
            <w:tcW w:w="58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3800" w:type="dxa"/>
            <w:vAlign w:val="bottom"/>
            <w:tcBorders>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0.1</w:t>
            </w:r>
          </w:p>
        </w:tc>
        <w:tc>
          <w:tcPr>
            <w:tcW w:w="15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r>
      <w:tr>
        <w:trPr>
          <w:trHeight w:val="209"/>
        </w:trPr>
        <w:tc>
          <w:tcPr>
            <w:tcW w:w="588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(18.7%)</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consolidated effective income tax rate during the first quarter of fiscal 2023 was much more negatively affected by the mix of earnings between our U.S. operations and our foreign subsidiaries, in comparison with the first quarter of fiscal 2022. During the first quarter of fiscal 2023, we incurred a significant pre-tax loss from our U.S. operations, and therefore, a significant income tax benefit was not recognized due to a full valuation allowance being applied against our U.S. net deferred income tax assets. In addition, all of our taxable income in the first quarter of fiscal 2023 was earned by our foreign operations located in China and Canada, which have higher income tax rates than the U.S. In comparison, our U.S. operations earned a level of pre-tax income during the first quarter of fiscal 2022 that did not have a significant effect on our full valuation allowance or our consolidated effective income tax rate.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Valuation Allowance</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July 31, 2022, we evaluated the realizability of our U.S. net deferred income tax assets to determine if a full valuation allowance was required. Based on our assessment, we determined we still have a recent history of significant cumulative U.S. taxable losses, in that we experienced U.S. taxable losses during each of the last three fiscal years from 2020 through 2022, and we are currently expecting significant U.S. pre-tax losses to continue during fiscal 2023. As a result of the significant weight of this negative evidence, we believe it is more likely than not that our U.S. deferred income tax assets will not be fully realizable, and therefore we provided for a full valuation allowance against our U.S. net deferred income tax assets.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9" w:name="page20"/>
    <w:bookmarkEnd w:id="19"/>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Based on our assessments as of July 31, 2022, August 1, 2021, and May 1, 2022, valuation allowances against our net deferred income tax assets pertain to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July 31, 2022</w:t>
            </w:r>
          </w:p>
        </w:tc>
        <w:tc>
          <w:tcPr>
            <w:tcW w:w="15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August 1, 2021</w:t>
            </w:r>
          </w:p>
        </w:tc>
        <w:tc>
          <w:tcPr>
            <w:tcW w:w="13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May 1, 2022</w:t>
            </w:r>
          </w:p>
        </w:tc>
      </w:tr>
      <w:tr>
        <w:trPr>
          <w:trHeight w:val="211"/>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11,006</w:t>
            </w:r>
          </w:p>
        </w:tc>
        <w:tc>
          <w:tcPr>
            <w:tcW w:w="158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9,221</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9,527</w:t>
            </w:r>
          </w:p>
        </w:tc>
      </w:tr>
      <w:tr>
        <w:trPr>
          <w:trHeight w:val="213"/>
        </w:trPr>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18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2,330</w:t>
            </w:r>
          </w:p>
        </w:tc>
        <w:tc>
          <w:tcPr>
            <w:tcW w:w="1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2,330</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2,330</w:t>
            </w:r>
          </w:p>
        </w:tc>
      </w:tr>
      <w:tr>
        <w:trPr>
          <w:trHeight w:val="210"/>
        </w:trPr>
        <w:tc>
          <w:tcPr>
            <w:tcW w:w="510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13,336</w:t>
            </w:r>
          </w:p>
        </w:tc>
        <w:tc>
          <w:tcPr>
            <w:tcW w:w="158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11,551</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11,857</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assess whether the undistributed earnings from our foreign subsidiaries will be reinvested indefinitely or eventually distributed to our U.S. parent company and whether we are required to record a deferred income tax liability for those undistributed earnings from foreign subsidiaries that will not be reinvested indefinitely. As of July 31, 2022, we assessed the liquidity requirements of our U.S. parent company and determined that our undistributed earnings and profits from our foreign subsidiaries would not be reinvested indefinitely and would eventually be distributed to our U.S. parent company. The conclusion reached from this assessment was consistent with prior reporting periods.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result of the 2017 Tax Cuts and Jobs Act, a U.S. corporation is allowed a 100% dividend received deduction for earnings and profits received from a 10% owned foreign corporation. Therefore, a deferred income tax liability will be required only for unremitted withholding taxes associated with earnings and profits generated by our foreign subsidiaries that will ultimately be repatriated to the U.S. parent company. As a result, as of July 31, 2022, August 1, 2021, and May 1, 2022, we recorded a deferred income tax liability of $3.8 million, $3.2 million, and $3.5 million,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 unrecognized income tax benefit for an uncertain income tax position can be recognized in the first interim period if the more-likely-than-not recognition threshold is met by the end of the reporting period, or is effectively settled through examination, or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July 31, 2022, and May 1, 2022, we had a $1.1 million total gross unrecognized income tax benefit, of which the entire amount was classified as income taxes payable – long-term in the accompanying Consolidated Balance Sheets. As of August 1, 2021, we had a $1.4 million total gross unrecognized income tax benefit, of which $1.1 million and $380,000 were recorded to income taxes payable – long-term and noncurrent deferred income taxes, respectively in the accompanying Consolidated Balance Sheets.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July 31, 2022, and May 1, 2022, we had a $1.1 million total gross unrecognized income tax benefit, of which the entire $1.1 million would favorably affect the income tax rate in future periods. As of August 1, 2021, we had a $1.4 million total gross unrecognized income tax benefit, of which $1.1 million would favorably affect the income tax rate in future periods.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gross unrecognized income tax benefit of $1.1 million as of July 31, 2022, relates to income tax positions for which significant change is currently not expected within the next year. This amount primarily relates to double taxation under applicable income tax treaties with foreign tax jurisdictions.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 Paid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taxes paid by jurisdiction: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Three Months</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Ended</w:t>
            </w: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0" w:type="dxa"/>
            <w:vAlign w:val="bottom"/>
          </w:tcPr>
          <w:p>
            <w:pPr>
              <w:spacing w:after="0"/>
              <w:rPr>
                <w:sz w:val="21"/>
                <w:szCs w:val="21"/>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6"/>
                <w:szCs w:val="16"/>
                <w:color w:val="auto"/>
              </w:rPr>
              <w:t>July 31,</w:t>
            </w: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72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August 1,</w:t>
            </w:r>
          </w:p>
        </w:tc>
        <w:tc>
          <w:tcPr>
            <w:tcW w:w="0" w:type="dxa"/>
            <w:vAlign w:val="bottom"/>
          </w:tcPr>
          <w:p>
            <w:pPr>
              <w:spacing w:after="0"/>
              <w:rPr>
                <w:sz w:val="1"/>
                <w:szCs w:val="1"/>
                <w:color w:val="auto"/>
              </w:rPr>
            </w:pPr>
          </w:p>
        </w:tc>
      </w:tr>
      <w:tr>
        <w:trPr>
          <w:trHeight w:val="235"/>
        </w:trPr>
        <w:tc>
          <w:tcPr>
            <w:tcW w:w="6560" w:type="dxa"/>
            <w:vAlign w:val="bottom"/>
            <w:vMerge w:val="continue"/>
          </w:tcPr>
          <w:p>
            <w:pPr>
              <w:spacing w:after="0"/>
              <w:rPr>
                <w:sz w:val="20"/>
                <w:szCs w:val="20"/>
                <w:color w:val="auto"/>
              </w:rPr>
            </w:pPr>
          </w:p>
        </w:tc>
        <w:tc>
          <w:tcPr>
            <w:tcW w:w="1080" w:type="dxa"/>
            <w:vAlign w:val="bottom"/>
            <w:gridSpan w:val="2"/>
          </w:tcPr>
          <w:p>
            <w:pPr>
              <w:jc w:val="right"/>
              <w:ind w:right="136"/>
              <w:spacing w:after="0"/>
              <w:rPr>
                <w:sz w:val="20"/>
                <w:szCs w:val="20"/>
                <w:color w:val="auto"/>
              </w:rPr>
            </w:pPr>
            <w:r>
              <w:rPr>
                <w:rFonts w:ascii="Times New Roman" w:cs="Times New Roman" w:eastAsia="Times New Roman" w:hAnsi="Times New Roman"/>
                <w:sz w:val="16"/>
                <w:szCs w:val="16"/>
                <w:color w:val="auto"/>
              </w:rPr>
              <w:t>2022</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210"/>
        </w:trPr>
        <w:tc>
          <w:tcPr>
            <w:tcW w:w="6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China - Income Taxes</w:t>
            </w:r>
          </w:p>
        </w:tc>
        <w:tc>
          <w:tcPr>
            <w:tcW w:w="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548</w:t>
            </w:r>
          </w:p>
        </w:tc>
        <w:tc>
          <w:tcPr>
            <w:tcW w:w="1440" w:type="dxa"/>
            <w:vAlign w:val="bottom"/>
            <w:tcBorders>
              <w:top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921</w:t>
            </w:r>
          </w:p>
        </w:tc>
        <w:tc>
          <w:tcPr>
            <w:tcW w:w="0" w:type="dxa"/>
            <w:vAlign w:val="bottom"/>
          </w:tcPr>
          <w:p>
            <w:pPr>
              <w:spacing w:after="0"/>
              <w:rPr>
                <w:sz w:val="1"/>
                <w:szCs w:val="1"/>
                <w:color w:val="auto"/>
              </w:rPr>
            </w:pPr>
          </w:p>
        </w:tc>
      </w:tr>
      <w:tr>
        <w:trPr>
          <w:trHeight w:val="202"/>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China - Withholding Taxes Associated With</w:t>
            </w: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Earnings and Profits Distributed to the U.S.</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spacing w:after="0"/>
              <w:rPr>
                <w:sz w:val="18"/>
                <w:szCs w:val="18"/>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Canada - Income Taxes</w:t>
            </w:r>
          </w:p>
        </w:tc>
        <w:tc>
          <w:tcPr>
            <w:tcW w:w="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82</w:t>
            </w:r>
          </w:p>
        </w:tc>
        <w:tc>
          <w:tcPr>
            <w:tcW w:w="14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07"/>
        </w:trPr>
        <w:tc>
          <w:tcPr>
            <w:tcW w:w="65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630</w:t>
            </w:r>
          </w:p>
        </w:tc>
        <w:tc>
          <w:tcPr>
            <w:tcW w:w="14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1,688</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13. 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Incentive Plan Description</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restricted stock units, performance-based units, and other equity and cash related awards as determined by our Compensation Committee. An aggregate of 1,200,000 shares of common stock were authorized for issuance under the 2015 Plan, with certain sub-limits that would apply with respect to specific types of awards that may be issued as defined in the 2015 Plan.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July 31, 2022, there were 558,375 shares available for future equity-based grants under the 2015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Performance-Based Restricted Stock Units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Senior Executives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grant performance-based restricted stock units to senior executives which could earn up to a certain number of shares of common stock if certain performance targets are met over a three-fiscal year performance period as defined in the related restricted stock unit award agreements. The number of shares of common stock that are earned based on performance targets that have been achieved may be adjusted based on a market-based total shareholder return component as defined in the related restricted stock unit award agreements.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performance-based restricted stock units granted to senior executives were measured based on their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table provides assumptions used to determine the fair market value of the market-based total shareholder return component using the Monte Carlo simulation model on our outstanding performance-based restricted stock units granted to senior executives on July 22,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60" w:type="dxa"/>
            <w:vAlign w:val="bottom"/>
          </w:tcPr>
          <w:p>
            <w:pPr>
              <w:spacing w:after="0"/>
              <w:rPr>
                <w:sz w:val="19"/>
                <w:szCs w:val="19"/>
                <w:color w:val="auto"/>
              </w:rPr>
            </w:pPr>
          </w:p>
        </w:tc>
        <w:tc>
          <w:tcPr>
            <w:tcW w:w="468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July 22,</w:t>
            </w:r>
          </w:p>
        </w:tc>
      </w:tr>
      <w:tr>
        <w:trPr>
          <w:trHeight w:val="236"/>
        </w:trPr>
        <w:tc>
          <w:tcPr>
            <w:tcW w:w="656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2021</w:t>
            </w: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Closing price of our common stock</w:t>
            </w:r>
          </w:p>
        </w:tc>
        <w:tc>
          <w:tcPr>
            <w:tcW w:w="46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$ 14.75</w:t>
            </w: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of our common stock</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of peer companies (1)</w:t>
            </w:r>
          </w:p>
        </w:tc>
        <w:tc>
          <w:tcPr>
            <w:tcW w:w="46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45.7% - 101.5%</w:t>
            </w: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Correlation coefficient of peer companies (1)</w:t>
            </w:r>
          </w:p>
        </w:tc>
        <w:tc>
          <w:tcPr>
            <w:tcW w:w="4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0.03 - 0.35</w:t>
            </w:r>
          </w:p>
        </w:tc>
      </w:tr>
    </w:tbl>
    <w:p>
      <w:pPr>
        <w:spacing w:after="0" w:line="153" w:lineRule="exact"/>
        <w:rPr>
          <w:sz w:val="20"/>
          <w:szCs w:val="20"/>
          <w:color w:val="auto"/>
        </w:rPr>
      </w:pPr>
    </w:p>
    <w:p>
      <w:pPr>
        <w:jc w:val="both"/>
        <w:ind w:left="340" w:hanging="322"/>
        <w:spacing w:after="0" w:line="249" w:lineRule="auto"/>
        <w:tabs>
          <w:tab w:leader="none" w:pos="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expected volatility and correlation coefficient of our peer companies for the July 22, 2021, grant date was based on peer companies that were approved by the Compensation Committee of our board of directors as an aggregate benchmark for determining the market-based total shareholder return component. Therefore, we disclosed ranges of the expected volatility and correlation coefficient for the companies that represented this peer group.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Employees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grant performance-based restricted stock units to key employees which could earn up to a certain number of shares of common stock if certain performance targets are met over a three-fiscal year performance period as defined in the related restricted stock unit award agreements. Our performance-based restricted stock units granted to key employees were measured based on the fair market value (the closing price of our common stock) on the date of grant. No market-based total shareholder return component was included in these awards.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Overall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performance-based restricted stock units were granted during the first quarter of fiscal 2023.</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grants of performance-based restricted stock units associated with senior executives and key employees that were unvested as of July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80" w:type="dxa"/>
            <w:vAlign w:val="bottom"/>
          </w:tcPr>
          <w:p>
            <w:pPr>
              <w:spacing w:after="0"/>
              <w:rPr>
                <w:sz w:val="18"/>
                <w:szCs w:val="18"/>
                <w:color w:val="auto"/>
              </w:rPr>
            </w:pPr>
          </w:p>
        </w:tc>
        <w:tc>
          <w:tcPr>
            <w:tcW w:w="302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w w:val="96"/>
              </w:rPr>
              <w:t>(3)</w:t>
            </w:r>
          </w:p>
        </w:tc>
        <w:tc>
          <w:tcPr>
            <w:tcW w:w="1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3020" w:type="dxa"/>
            <w:vAlign w:val="bottom"/>
          </w:tcPr>
          <w:p>
            <w:pPr>
              <w:jc w:val="center"/>
              <w:ind w:left="699"/>
              <w:spacing w:after="0"/>
              <w:rPr>
                <w:sz w:val="20"/>
                <w:szCs w:val="20"/>
                <w:color w:val="auto"/>
              </w:rPr>
            </w:pPr>
            <w:r>
              <w:rPr>
                <w:rFonts w:ascii="Times New Roman" w:cs="Times New Roman" w:eastAsia="Times New Roman" w:hAnsi="Times New Roman"/>
                <w:sz w:val="16"/>
                <w:szCs w:val="16"/>
                <w:color w:val="auto"/>
              </w:rPr>
              <w:t>Performance-Based</w:t>
            </w:r>
          </w:p>
        </w:tc>
        <w:tc>
          <w:tcPr>
            <w:tcW w:w="1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Restricted Stock</w:t>
            </w: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302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rPr>
              <w:t>Restricted Stock</w:t>
            </w:r>
          </w:p>
        </w:tc>
        <w:tc>
          <w:tcPr>
            <w:tcW w:w="18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Units Expected</w:t>
            </w: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Date of Grant</w:t>
            </w:r>
          </w:p>
        </w:tc>
        <w:tc>
          <w:tcPr>
            <w:tcW w:w="3020" w:type="dxa"/>
            <w:vAlign w:val="bottom"/>
            <w:tcBorders>
              <w:bottom w:val="single" w:sz="8" w:color="auto"/>
            </w:tcBorders>
          </w:tcPr>
          <w:p>
            <w:pPr>
              <w:jc w:val="center"/>
              <w:ind w:left="679"/>
              <w:spacing w:after="0"/>
              <w:rPr>
                <w:sz w:val="20"/>
                <w:szCs w:val="20"/>
                <w:color w:val="auto"/>
              </w:rPr>
            </w:pPr>
            <w:r>
              <w:rPr>
                <w:rFonts w:ascii="Times New Roman" w:cs="Times New Roman" w:eastAsia="Times New Roman" w:hAnsi="Times New Roman"/>
                <w:sz w:val="16"/>
                <w:szCs w:val="16"/>
                <w:color w:val="auto"/>
              </w:rPr>
              <w:t>Units Awarded</w:t>
            </w:r>
          </w:p>
        </w:tc>
        <w:tc>
          <w:tcPr>
            <w:tcW w:w="18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6"/>
              </w:rPr>
              <w:t>to Vest</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Price Per Share</w:t>
            </w:r>
          </w:p>
        </w:tc>
        <w:tc>
          <w:tcPr>
            <w:tcW w:w="5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12"/>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July 22, 2021 (1)</w:t>
            </w:r>
          </w:p>
        </w:tc>
        <w:tc>
          <w:tcPr>
            <w:tcW w:w="302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122,476</w:t>
            </w:r>
          </w:p>
        </w:tc>
        <w:tc>
          <w:tcPr>
            <w:tcW w:w="1800" w:type="dxa"/>
            <w:vAlign w:val="bottom"/>
            <w:shd w:val="clear" w:color="auto" w:fill="CFF0FC"/>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5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(5)</w:t>
            </w:r>
          </w:p>
        </w:tc>
        <w:tc>
          <w:tcPr>
            <w:tcW w:w="162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6"/>
                <w:szCs w:val="16"/>
                <w:color w:val="auto"/>
              </w:rPr>
              <w:t>3 years</w:t>
            </w:r>
          </w:p>
        </w:tc>
      </w:tr>
      <w:tr>
        <w:trPr>
          <w:trHeight w:val="213"/>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July 22, 2021 (2)</w:t>
            </w:r>
          </w:p>
        </w:tc>
        <w:tc>
          <w:tcPr>
            <w:tcW w:w="3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20,500</w:t>
            </w:r>
          </w:p>
        </w:tc>
        <w:tc>
          <w:tcPr>
            <w:tcW w:w="18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5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(6)</w:t>
            </w:r>
          </w:p>
        </w:tc>
        <w:tc>
          <w:tcPr>
            <w:tcW w:w="16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3 years</w:t>
            </w: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awarded to senior executives.</w:t>
      </w:r>
    </w:p>
    <w:p>
      <w:pPr>
        <w:spacing w:after="0" w:line="17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awarded to key employees.</w:t>
      </w:r>
    </w:p>
    <w:p>
      <w:pPr>
        <w:spacing w:after="0" w:line="175" w:lineRule="exact"/>
        <w:rPr>
          <w:rFonts w:ascii="Times New Roman" w:cs="Times New Roman" w:eastAsia="Times New Roman" w:hAnsi="Times New Roman"/>
          <w:sz w:val="20"/>
          <w:szCs w:val="20"/>
          <w:color w:val="auto"/>
        </w:rPr>
      </w:pPr>
    </w:p>
    <w:p>
      <w:pPr>
        <w:ind w:left="360" w:right="20" w:hanging="352"/>
        <w:spacing w:after="0" w:line="269" w:lineRule="auto"/>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represent the maximum number of common stock shares that could be earned if certain performance targets are met as defined in the related restricted stock unit agreements.</w:t>
      </w:r>
    </w:p>
    <w:p>
      <w:pPr>
        <w:spacing w:after="0" w:line="118" w:lineRule="exact"/>
        <w:rPr>
          <w:rFonts w:ascii="Times New Roman" w:cs="Times New Roman" w:eastAsia="Times New Roman" w:hAnsi="Times New Roman"/>
          <w:sz w:val="20"/>
          <w:szCs w:val="20"/>
          <w:color w:val="auto"/>
        </w:rPr>
      </w:pPr>
    </w:p>
    <w:p>
      <w:pPr>
        <w:jc w:val="both"/>
        <w:ind w:left="360" w:hanging="352"/>
        <w:spacing w:after="0" w:line="254" w:lineRule="auto"/>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cost is based on an assessment each reporting period to determine the probability of whether or not certain performance goals will be met and how many shares are expected to be earned as of the end of the vesting period. These amounts represent the number of shares that were expected to vest as of July 31, 2022.</w:t>
      </w:r>
    </w:p>
    <w:p>
      <w:pPr>
        <w:spacing w:after="0" w:line="133"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($1.08 per $1, or an increase of $1.18 to the closing price of our common stock on the date of grant) determined using the Monte Carlo simulation model for the market-based total shareholder return component and the closing price of our common stock ($14.75) for the performance-based component of the performance-based restricted stock units granted to senior executives on July 22, 2021.</w:t>
      </w:r>
    </w:p>
    <w:p>
      <w:pPr>
        <w:spacing w:after="0" w:line="139"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closing price of our common stock on the date of grant.</w:t>
      </w:r>
    </w:p>
    <w:p>
      <w:pPr>
        <w:spacing w:after="0" w:line="17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performance-based restricted stock units that vested during the three-month periods ending July 31, 2022, and August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4060" w:type="dxa"/>
            <w:vAlign w:val="bottom"/>
          </w:tcPr>
          <w:p>
            <w:pPr>
              <w:jc w:val="center"/>
              <w:ind w:left="2019"/>
              <w:spacing w:after="0"/>
              <w:rPr>
                <w:sz w:val="20"/>
                <w:szCs w:val="20"/>
                <w:color w:val="auto"/>
              </w:rPr>
            </w:pPr>
            <w:r>
              <w:rPr>
                <w:rFonts w:ascii="Times New Roman" w:cs="Times New Roman" w:eastAsia="Times New Roman" w:hAnsi="Times New Roman"/>
                <w:sz w:val="16"/>
                <w:szCs w:val="16"/>
                <w:color w:val="auto"/>
              </w:rPr>
              <w:t>Performance-Based</w:t>
            </w: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(4)</w:t>
            </w:r>
          </w:p>
        </w:tc>
      </w:tr>
      <w:tr>
        <w:trPr>
          <w:trHeight w:val="216"/>
        </w:trPr>
        <w:tc>
          <w:tcPr>
            <w:tcW w:w="3420" w:type="dxa"/>
            <w:vAlign w:val="bottom"/>
          </w:tcPr>
          <w:p>
            <w:pPr>
              <w:spacing w:after="0"/>
              <w:rPr>
                <w:sz w:val="18"/>
                <w:szCs w:val="18"/>
                <w:color w:val="auto"/>
              </w:rPr>
            </w:pPr>
          </w:p>
        </w:tc>
        <w:tc>
          <w:tcPr>
            <w:tcW w:w="4060" w:type="dxa"/>
            <w:vAlign w:val="bottom"/>
          </w:tcPr>
          <w:p>
            <w:pPr>
              <w:jc w:val="center"/>
              <w:ind w:left="1999"/>
              <w:spacing w:after="0"/>
              <w:rPr>
                <w:sz w:val="20"/>
                <w:szCs w:val="20"/>
                <w:color w:val="auto"/>
              </w:rPr>
            </w:pPr>
            <w:r>
              <w:rPr>
                <w:rFonts w:ascii="Times New Roman" w:cs="Times New Roman" w:eastAsia="Times New Roman" w:hAnsi="Times New Roman"/>
                <w:sz w:val="16"/>
                <w:szCs w:val="16"/>
                <w:color w:val="auto"/>
              </w:rPr>
              <w:t>Restricted Stock</w:t>
            </w:r>
          </w:p>
        </w:tc>
        <w:tc>
          <w:tcPr>
            <w:tcW w:w="1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w w:val="97"/>
              </w:rPr>
              <w:t>Price</w:t>
            </w:r>
          </w:p>
        </w:tc>
      </w:tr>
      <w:tr>
        <w:trPr>
          <w:trHeight w:val="219"/>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Fiscal Year</w:t>
            </w:r>
          </w:p>
        </w:tc>
        <w:tc>
          <w:tcPr>
            <w:tcW w:w="4060" w:type="dxa"/>
            <w:vAlign w:val="bottom"/>
            <w:tcBorders>
              <w:bottom w:val="single" w:sz="8" w:color="auto"/>
            </w:tcBorders>
          </w:tcPr>
          <w:p>
            <w:pPr>
              <w:jc w:val="center"/>
              <w:ind w:left="1999"/>
              <w:spacing w:after="0"/>
              <w:rPr>
                <w:sz w:val="20"/>
                <w:szCs w:val="20"/>
                <w:color w:val="auto"/>
              </w:rPr>
            </w:pPr>
            <w:r>
              <w:rPr>
                <w:rFonts w:ascii="Times New Roman" w:cs="Times New Roman" w:eastAsia="Times New Roman" w:hAnsi="Times New Roman"/>
                <w:sz w:val="16"/>
                <w:szCs w:val="16"/>
                <w:color w:val="auto"/>
                <w:w w:val="98"/>
              </w:rPr>
              <w:t>Units Vested</w:t>
            </w: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Fair Value</w:t>
            </w:r>
          </w:p>
        </w:tc>
        <w:tc>
          <w:tcPr>
            <w:tcW w:w="5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Per Share</w:t>
            </w:r>
          </w:p>
        </w:tc>
      </w:tr>
      <w:tr>
        <w:trPr>
          <w:trHeight w:val="21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Fiscal 2023 (1)</w:t>
            </w:r>
          </w:p>
        </w:tc>
        <w:tc>
          <w:tcPr>
            <w:tcW w:w="4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545</w:t>
            </w:r>
          </w:p>
        </w:tc>
        <w:tc>
          <w:tcPr>
            <w:tcW w:w="1460" w:type="dxa"/>
            <w:vAlign w:val="bottom"/>
            <w:shd w:val="clear" w:color="auto" w:fill="CFF0FC"/>
          </w:tcPr>
          <w:p>
            <w:pPr>
              <w:jc w:val="right"/>
              <w:ind w:right="11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5.10</w:t>
            </w:r>
          </w:p>
        </w:tc>
      </w:tr>
      <w:tr>
        <w:trPr>
          <w:trHeight w:val="21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Fiscal 2023 (2)</w:t>
            </w:r>
          </w:p>
        </w:tc>
        <w:tc>
          <w:tcPr>
            <w:tcW w:w="4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437</w:t>
            </w:r>
          </w:p>
        </w:tc>
        <w:tc>
          <w:tcPr>
            <w:tcW w:w="146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5.10</w:t>
            </w:r>
          </w:p>
        </w:tc>
      </w:tr>
      <w:tr>
        <w:trPr>
          <w:trHeight w:val="21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Fiscal 2022 (1)</w:t>
            </w:r>
          </w:p>
        </w:tc>
        <w:tc>
          <w:tcPr>
            <w:tcW w:w="4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5,051</w:t>
            </w:r>
          </w:p>
        </w:tc>
        <w:tc>
          <w:tcPr>
            <w:tcW w:w="1460" w:type="dxa"/>
            <w:vAlign w:val="bottom"/>
            <w:shd w:val="clear" w:color="auto" w:fill="CFF0FC"/>
          </w:tcPr>
          <w:p>
            <w:pPr>
              <w:jc w:val="right"/>
              <w:ind w:right="11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87</w:t>
            </w:r>
          </w:p>
        </w:tc>
        <w:tc>
          <w:tcPr>
            <w:tcW w:w="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17.14</w:t>
            </w:r>
          </w:p>
        </w:tc>
      </w:tr>
      <w:tr>
        <w:trPr>
          <w:trHeight w:val="213"/>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Fiscal 2022 (2)</w:t>
            </w:r>
          </w:p>
        </w:tc>
        <w:tc>
          <w:tcPr>
            <w:tcW w:w="4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5,812</w:t>
            </w:r>
          </w:p>
        </w:tc>
        <w:tc>
          <w:tcPr>
            <w:tcW w:w="146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100</w:t>
            </w:r>
          </w:p>
        </w:tc>
        <w:tc>
          <w:tcPr>
            <w:tcW w:w="4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17.14</w:t>
            </w: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vested by senior executives.</w:t>
      </w:r>
    </w:p>
    <w:p>
      <w:pPr>
        <w:spacing w:after="0" w:line="17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vested by key employees.</w:t>
      </w:r>
    </w:p>
    <w:p>
      <w:pPr>
        <w:spacing w:after="0" w:line="17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 amounts are in thousands.</w:t>
      </w:r>
    </w:p>
    <w:p>
      <w:pPr>
        <w:spacing w:after="0" w:line="175" w:lineRule="exact"/>
        <w:rPr>
          <w:rFonts w:ascii="Times New Roman" w:cs="Times New Roman" w:eastAsia="Times New Roman" w:hAnsi="Times New Roman"/>
          <w:sz w:val="20"/>
          <w:szCs w:val="20"/>
          <w:color w:val="auto"/>
        </w:rPr>
      </w:pPr>
    </w:p>
    <w:p>
      <w:pPr>
        <w:ind w:left="360" w:hanging="352"/>
        <w:spacing w:after="0" w:line="269" w:lineRule="auto"/>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is derived from the closing price of our common stock on the date the respective performance-based restricted stock units vested.</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recorded compensation expense of $2,000 and $20,000 within selling, general, and administrative expenses for the three-month periods ending July 31, 2022, and August 1, 2021, respectively. Compensation expense is recorded based on an assessment each reporting period to determine the probability of whether or not certain performance targets will be met and how many shares are expected to be earned as of the end of the vesting period. If certain performance goals are not expected to be achieved, compensation expense would not be recorded, and any previously recognized compensation expense would be reversed.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i w:val="1"/>
          <w:iCs w:val="1"/>
          <w:color w:val="auto"/>
        </w:rPr>
        <w:t>Time-Based Restricted Stock Units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time-based restricted stock units were granted during the first quarter of fiscal 2023.</w:t>
      </w:r>
    </w:p>
    <w:p>
      <w:pPr>
        <w:spacing w:after="0" w:line="39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The following table summarizes </w:t>
      </w:r>
      <w:r>
        <w:rPr>
          <w:rFonts w:ascii="Times New Roman" w:cs="Times New Roman" w:eastAsia="Times New Roman" w:hAnsi="Times New Roman"/>
          <w:sz w:val="17"/>
          <w:szCs w:val="17"/>
          <w:color w:val="auto"/>
        </w:rPr>
        <w:t>information</w:t>
      </w:r>
      <w:r>
        <w:rPr>
          <w:rFonts w:ascii="Times New Roman" w:cs="Times New Roman" w:eastAsia="Times New Roman" w:hAnsi="Times New Roman"/>
          <w:sz w:val="20"/>
          <w:szCs w:val="20"/>
          <w:color w:val="auto"/>
        </w:rPr>
        <w:t xml:space="preserve"> related to our grants of time-based restricted stock unit awards associated with senior executives and key members of management that were unvested as of July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392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Time-Based</w:t>
            </w: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392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rPr>
              <w:t>Restricted Stock</w:t>
            </w:r>
          </w:p>
        </w:tc>
        <w:tc>
          <w:tcPr>
            <w:tcW w:w="380" w:type="dxa"/>
            <w:vAlign w:val="bottom"/>
          </w:tcPr>
          <w:p>
            <w:pPr>
              <w:spacing w:after="0"/>
              <w:rPr>
                <w:sz w:val="18"/>
                <w:szCs w:val="18"/>
                <w:color w:val="auto"/>
              </w:rPr>
            </w:pPr>
          </w:p>
        </w:tc>
        <w:tc>
          <w:tcPr>
            <w:tcW w:w="168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rPr>
              <w:t>(1)</w:t>
            </w:r>
          </w:p>
        </w:tc>
        <w:tc>
          <w:tcPr>
            <w:tcW w:w="1860" w:type="dxa"/>
            <w:vAlign w:val="bottom"/>
          </w:tcPr>
          <w:p>
            <w:pPr>
              <w:spacing w:after="0"/>
              <w:rPr>
                <w:sz w:val="18"/>
                <w:szCs w:val="18"/>
                <w:color w:val="auto"/>
              </w:rPr>
            </w:pPr>
          </w:p>
        </w:tc>
      </w:tr>
      <w:tr>
        <w:trPr>
          <w:trHeight w:val="219"/>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Date of Grant</w:t>
            </w:r>
          </w:p>
        </w:tc>
        <w:tc>
          <w:tcPr>
            <w:tcW w:w="3920" w:type="dxa"/>
            <w:vAlign w:val="bottom"/>
            <w:tcBorders>
              <w:bottom w:val="single" w:sz="8" w:color="auto"/>
            </w:tcBorders>
          </w:tcPr>
          <w:p>
            <w:pPr>
              <w:jc w:val="center"/>
              <w:ind w:left="1899"/>
              <w:spacing w:after="0"/>
              <w:rPr>
                <w:sz w:val="20"/>
                <w:szCs w:val="20"/>
                <w:color w:val="auto"/>
              </w:rPr>
            </w:pPr>
            <w:r>
              <w:rPr>
                <w:rFonts w:ascii="Times New Roman" w:cs="Times New Roman" w:eastAsia="Times New Roman" w:hAnsi="Times New Roman"/>
                <w:sz w:val="16"/>
                <w:szCs w:val="16"/>
                <w:color w:val="auto"/>
              </w:rPr>
              <w:t>Units Awarded</w:t>
            </w:r>
          </w:p>
        </w:tc>
        <w:tc>
          <w:tcPr>
            <w:tcW w:w="3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Price Per Share</w:t>
            </w:r>
          </w:p>
        </w:tc>
        <w:tc>
          <w:tcPr>
            <w:tcW w:w="18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1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July 22, 2021</w:t>
            </w:r>
          </w:p>
        </w:tc>
        <w:tc>
          <w:tcPr>
            <w:tcW w:w="39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37,591</w:t>
            </w:r>
          </w:p>
        </w:tc>
        <w:tc>
          <w:tcPr>
            <w:tcW w:w="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14.75</w:t>
            </w:r>
          </w:p>
        </w:tc>
        <w:tc>
          <w:tcPr>
            <w:tcW w:w="186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6"/>
                <w:szCs w:val="16"/>
                <w:color w:val="auto"/>
              </w:rPr>
              <w:t>3 years</w:t>
            </w:r>
          </w:p>
        </w:tc>
      </w:tr>
      <w:tr>
        <w:trPr>
          <w:trHeight w:val="213"/>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August 6, 2020</w:t>
            </w:r>
          </w:p>
        </w:tc>
        <w:tc>
          <w:tcPr>
            <w:tcW w:w="3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129,095</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11.01</w:t>
            </w:r>
          </w:p>
        </w:tc>
        <w:tc>
          <w:tcPr>
            <w:tcW w:w="186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3 years</w:t>
            </w:r>
          </w:p>
        </w:tc>
      </w:tr>
      <w:tr>
        <w:trPr>
          <w:trHeight w:val="216"/>
        </w:trPr>
        <w:tc>
          <w:tcPr>
            <w:tcW w:w="34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August 2, 2018</w:t>
            </w:r>
          </w:p>
        </w:tc>
        <w:tc>
          <w:tcPr>
            <w:tcW w:w="39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10,000</w:t>
            </w:r>
          </w:p>
        </w:tc>
        <w:tc>
          <w:tcPr>
            <w:tcW w:w="3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24.35</w:t>
            </w:r>
          </w:p>
        </w:tc>
        <w:tc>
          <w:tcPr>
            <w:tcW w:w="1860" w:type="dxa"/>
            <w:vAlign w:val="bottom"/>
            <w:tcBorders>
              <w:bottom w:val="single" w:sz="8" w:color="auto"/>
            </w:tcBorders>
            <w:shd w:val="clear" w:color="auto" w:fill="CFF0FC"/>
          </w:tcPr>
          <w:p>
            <w:pPr>
              <w:ind w:left="1380"/>
              <w:spacing w:after="0"/>
              <w:rPr>
                <w:sz w:val="20"/>
                <w:szCs w:val="20"/>
                <w:color w:val="auto"/>
              </w:rPr>
            </w:pPr>
            <w:r>
              <w:rPr>
                <w:rFonts w:ascii="Times New Roman" w:cs="Times New Roman" w:eastAsia="Times New Roman" w:hAnsi="Times New Roman"/>
                <w:sz w:val="16"/>
                <w:szCs w:val="16"/>
                <w:color w:val="auto"/>
              </w:rPr>
              <w:t>5 years</w:t>
            </w: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Price per share represents closing price of common stock on the date the respective award was granted.</w:t>
      </w:r>
    </w:p>
    <w:p>
      <w:pPr>
        <w:spacing w:after="0" w:line="39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time-based restricted stock units that vested during the three-month periods ending July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860" w:type="dxa"/>
            <w:vAlign w:val="bottom"/>
          </w:tcPr>
          <w:p>
            <w:pPr>
              <w:jc w:val="center"/>
              <w:ind w:left="1859"/>
              <w:spacing w:after="0"/>
              <w:rPr>
                <w:sz w:val="20"/>
                <w:szCs w:val="20"/>
                <w:color w:val="auto"/>
              </w:rPr>
            </w:pPr>
            <w:r>
              <w:rPr>
                <w:rFonts w:ascii="Times New Roman" w:cs="Times New Roman" w:eastAsia="Times New Roman" w:hAnsi="Times New Roman"/>
                <w:sz w:val="16"/>
                <w:szCs w:val="16"/>
                <w:color w:val="auto"/>
              </w:rPr>
              <w:t>Time-Based</w:t>
            </w: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w w:val="96"/>
              </w:rPr>
              <w:t>(4)</w:t>
            </w:r>
          </w:p>
        </w:tc>
      </w:tr>
      <w:tr>
        <w:trPr>
          <w:trHeight w:val="216"/>
        </w:trPr>
        <w:tc>
          <w:tcPr>
            <w:tcW w:w="3340" w:type="dxa"/>
            <w:vAlign w:val="bottom"/>
          </w:tcPr>
          <w:p>
            <w:pPr>
              <w:spacing w:after="0"/>
              <w:rPr>
                <w:sz w:val="18"/>
                <w:szCs w:val="18"/>
                <w:color w:val="auto"/>
              </w:rPr>
            </w:pPr>
          </w:p>
        </w:tc>
        <w:tc>
          <w:tcPr>
            <w:tcW w:w="3860" w:type="dxa"/>
            <w:vAlign w:val="bottom"/>
          </w:tcPr>
          <w:p>
            <w:pPr>
              <w:jc w:val="center"/>
              <w:ind w:left="1859"/>
              <w:spacing w:after="0"/>
              <w:rPr>
                <w:sz w:val="20"/>
                <w:szCs w:val="20"/>
                <w:color w:val="auto"/>
              </w:rPr>
            </w:pPr>
            <w:r>
              <w:rPr>
                <w:rFonts w:ascii="Times New Roman" w:cs="Times New Roman" w:eastAsia="Times New Roman" w:hAnsi="Times New Roman"/>
                <w:sz w:val="16"/>
                <w:szCs w:val="16"/>
                <w:color w:val="auto"/>
              </w:rPr>
              <w:t>Restricted Stock</w:t>
            </w:r>
          </w:p>
        </w:tc>
        <w:tc>
          <w:tcPr>
            <w:tcW w:w="14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rPr>
              <w:t>Price</w:t>
            </w:r>
          </w:p>
        </w:tc>
      </w:tr>
      <w:tr>
        <w:trPr>
          <w:trHeight w:val="219"/>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Fiscal Year</w:t>
            </w:r>
          </w:p>
        </w:tc>
        <w:tc>
          <w:tcPr>
            <w:tcW w:w="3860" w:type="dxa"/>
            <w:vAlign w:val="bottom"/>
            <w:tcBorders>
              <w:bottom w:val="single" w:sz="8" w:color="auto"/>
            </w:tcBorders>
          </w:tcPr>
          <w:p>
            <w:pPr>
              <w:jc w:val="center"/>
              <w:ind w:left="1859"/>
              <w:spacing w:after="0"/>
              <w:rPr>
                <w:sz w:val="20"/>
                <w:szCs w:val="20"/>
                <w:color w:val="auto"/>
              </w:rPr>
            </w:pPr>
            <w:r>
              <w:rPr>
                <w:rFonts w:ascii="Times New Roman" w:cs="Times New Roman" w:eastAsia="Times New Roman" w:hAnsi="Times New Roman"/>
                <w:sz w:val="16"/>
                <w:szCs w:val="16"/>
                <w:color w:val="auto"/>
              </w:rPr>
              <w:t>Units Vested</w:t>
            </w: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Fair Value</w:t>
            </w:r>
          </w:p>
        </w:tc>
        <w:tc>
          <w:tcPr>
            <w:tcW w:w="5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16"/>
                <w:szCs w:val="16"/>
                <w:color w:val="auto"/>
              </w:rPr>
              <w:t>Per Share</w:t>
            </w:r>
          </w:p>
        </w:tc>
      </w:tr>
      <w:tr>
        <w:trPr>
          <w:trHeight w:val="21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Fiscal 2023 (1)</w:t>
            </w:r>
          </w:p>
        </w:tc>
        <w:tc>
          <w:tcPr>
            <w:tcW w:w="38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19,786</w:t>
            </w:r>
          </w:p>
        </w:tc>
        <w:tc>
          <w:tcPr>
            <w:tcW w:w="140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w:t>
            </w:r>
          </w:p>
        </w:tc>
        <w:tc>
          <w:tcPr>
            <w:tcW w:w="5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rPr>
              <w:t>5.10</w:t>
            </w:r>
          </w:p>
        </w:tc>
      </w:tr>
      <w:tr>
        <w:trPr>
          <w:trHeight w:val="213"/>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Fiscal 2023 (2)</w:t>
            </w:r>
          </w:p>
        </w:tc>
        <w:tc>
          <w:tcPr>
            <w:tcW w:w="3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13,013</w:t>
            </w:r>
          </w:p>
        </w:tc>
        <w:tc>
          <w:tcPr>
            <w:tcW w:w="1400" w:type="dxa"/>
            <w:vAlign w:val="bottom"/>
            <w:tcBorders>
              <w:bottom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66</w:t>
            </w:r>
          </w:p>
        </w:tc>
        <w:tc>
          <w:tcPr>
            <w:tcW w:w="5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5.10</w:t>
            </w: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Time-based restricted stock units vested by senior executives.</w:t>
      </w:r>
    </w:p>
    <w:p>
      <w:pPr>
        <w:spacing w:after="0" w:line="188"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Time-based restricted stock units vested by key employees.</w:t>
      </w:r>
    </w:p>
    <w:p>
      <w:pPr>
        <w:spacing w:after="0" w:line="17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 amounts are in thousands.</w:t>
      </w:r>
    </w:p>
    <w:p>
      <w:pPr>
        <w:spacing w:after="0" w:line="200" w:lineRule="exact"/>
        <w:rPr>
          <w:rFonts w:ascii="Times New Roman" w:cs="Times New Roman" w:eastAsia="Times New Roman" w:hAnsi="Times New Roman"/>
          <w:sz w:val="20"/>
          <w:szCs w:val="20"/>
          <w:color w:val="auto"/>
        </w:rPr>
      </w:pPr>
    </w:p>
    <w:p>
      <w:pPr>
        <w:spacing w:after="0" w:line="204" w:lineRule="exact"/>
        <w:rPr>
          <w:rFonts w:ascii="Times New Roman" w:cs="Times New Roman" w:eastAsia="Times New Roman" w:hAnsi="Times New Roman"/>
          <w:sz w:val="20"/>
          <w:szCs w:val="20"/>
          <w:color w:val="auto"/>
        </w:rPr>
      </w:pPr>
    </w:p>
    <w:p>
      <w:pPr>
        <w:ind w:right="100" w:firstLine="18"/>
        <w:spacing w:after="0" w:line="415" w:lineRule="auto"/>
        <w:tabs>
          <w:tab w:leader="none" w:pos="3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Price per share is derived from the closing price of our common stock on the date the respective time-based restricted stock units vested. </w:t>
      </w:r>
      <w:r>
        <w:rPr>
          <w:rFonts w:ascii="Times New Roman" w:cs="Times New Roman" w:eastAsia="Times New Roman" w:hAnsi="Times New Roman"/>
          <w:sz w:val="20"/>
          <w:szCs w:val="20"/>
          <w:u w:val="single" w:color="auto"/>
          <w:color w:val="auto"/>
        </w:rPr>
        <w:t>Overall</w:t>
      </w:r>
    </w:p>
    <w:p>
      <w:pPr>
        <w:spacing w:after="0" w:line="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recorded compensation expense of $166,000 and $184,000 within selling, general, and administrative expenses associated with our time-based restricted stock unit awards for the three-month periods ending July 31, 2022, and August 1, 2021, respectively.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July 31, 2022, the remaining unrecognized compensation expense related to our time-based restricted stock units was $895,000, which is expected to be recognized over a weighted average vesting period of 1.4 years. As of July 31, 2022, the time-based restricted stock units that are expected to vest had a fair value totaling $887,000.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Awards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granted a total of 19,753 shares of common stock to our outside directors on July 1, 2022. These shares of common stock vested immediately and were measured at their fair value on the date of grant. The fair value of these awards was $4.24 per share on July 1, 2022, which represents the closing price of our common stock on the date of grant.</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granted a total of 4,312 shares of common stock to our outside directors on July 1, 2021. These shares of common stock vested immediately and were measured at their fair value on the date of grant. The fair value of these awards was $16.24 per share on July 1, 2021, which represents the closing price of our common stock on the date of grant.</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recorded $84,000 and $70,000 of compensation expense within selling, general, and administrative expenses for common stock awards to our outside directors for each of the three-month periods ending July 31, 2022, and August 1, 2021, respectively.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auto"/>
        </w:rPr>
        <w:t>14.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lease manufacturing facilities, showroom and office space, distribution centers, and equipment under operating lease arrangements. Our operating leases have remaining lease terms of one to nine years, with renewal options for additional periods ranging up to twelve years.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right of use assets and lease liabilities associated with our operating leases as of July 31, 2022, August 1, 2021, and May 1, 2022,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80" w:type="dxa"/>
            <w:vAlign w:val="bottom"/>
          </w:tcPr>
          <w:p>
            <w:pPr>
              <w:spacing w:after="0"/>
              <w:rPr>
                <w:sz w:val="17"/>
                <w:szCs w:val="17"/>
                <w:color w:val="auto"/>
              </w:rPr>
            </w:pPr>
          </w:p>
        </w:tc>
        <w:tc>
          <w:tcPr>
            <w:tcW w:w="11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July 31,</w:t>
            </w:r>
          </w:p>
        </w:tc>
        <w:tc>
          <w:tcPr>
            <w:tcW w:w="15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August 1,</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May 1,</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auto"/>
            </w:tcBorders>
            <w:vMerge w:val="continue"/>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2022</w:t>
            </w:r>
          </w:p>
        </w:tc>
        <w:tc>
          <w:tcPr>
            <w:tcW w:w="1560" w:type="dxa"/>
            <w:vAlign w:val="bottom"/>
            <w:tcBorders>
              <w:bottom w:val="single" w:sz="8" w:color="auto"/>
            </w:tcBorders>
            <w:gridSpan w:val="2"/>
          </w:tcPr>
          <w:p>
            <w:pPr>
              <w:jc w:val="right"/>
              <w:ind w:right="439"/>
              <w:spacing w:after="0"/>
              <w:rPr>
                <w:sz w:val="20"/>
                <w:szCs w:val="20"/>
                <w:color w:val="auto"/>
              </w:rPr>
            </w:pPr>
            <w:r>
              <w:rPr>
                <w:rFonts w:ascii="Times New Roman" w:cs="Times New Roman" w:eastAsia="Times New Roman" w:hAnsi="Times New Roman"/>
                <w:sz w:val="16"/>
                <w:szCs w:val="16"/>
                <w:color w:val="auto"/>
              </w:rPr>
              <w:t>2021</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1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1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14,556</w:t>
            </w:r>
          </w:p>
        </w:tc>
        <w:tc>
          <w:tcPr>
            <w:tcW w:w="100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11,447</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15,577</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19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3,219</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liability – noncurrent</w:t>
            </w:r>
          </w:p>
        </w:tc>
        <w:tc>
          <w:tcPr>
            <w:tcW w:w="19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6,160</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6,665</w:t>
            </w:r>
          </w:p>
        </w:tc>
        <w:tc>
          <w:tcPr>
            <w:tcW w:w="1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7,062</w:t>
            </w:r>
          </w:p>
        </w:tc>
        <w:tc>
          <w:tcPr>
            <w:tcW w:w="0" w:type="dxa"/>
            <w:vAlign w:val="bottom"/>
          </w:tcPr>
          <w:p>
            <w:pPr>
              <w:spacing w:after="0"/>
              <w:rPr>
                <w:sz w:val="1"/>
                <w:szCs w:val="1"/>
                <w:color w:val="auto"/>
              </w:rPr>
            </w:pPr>
          </w:p>
        </w:tc>
      </w:tr>
      <w:tr>
        <w:trPr>
          <w:trHeight w:val="448"/>
        </w:trPr>
        <w:tc>
          <w:tcPr>
            <w:tcW w:w="49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Supplemental Cash Flow Information</w:t>
            </w:r>
          </w:p>
        </w:tc>
        <w:tc>
          <w:tcPr>
            <w:tcW w:w="1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Three Months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199"/>
              <w:spacing w:after="0"/>
              <w:rPr>
                <w:sz w:val="20"/>
                <w:szCs w:val="20"/>
                <w:color w:val="auto"/>
              </w:rPr>
            </w:pPr>
            <w:r>
              <w:rPr>
                <w:rFonts w:ascii="Times New Roman" w:cs="Times New Roman" w:eastAsia="Times New Roman" w:hAnsi="Times New Roman"/>
                <w:sz w:val="16"/>
                <w:szCs w:val="16"/>
                <w:color w:val="auto"/>
              </w:rPr>
              <w:t>Three Months</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Ended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Ended</w:t>
            </w:r>
          </w:p>
        </w:tc>
        <w:tc>
          <w:tcPr>
            <w:tcW w:w="0" w:type="dxa"/>
            <w:vAlign w:val="bottom"/>
          </w:tcPr>
          <w:p>
            <w:pPr>
              <w:spacing w:after="0"/>
              <w:rPr>
                <w:sz w:val="1"/>
                <w:szCs w:val="1"/>
                <w:color w:val="auto"/>
              </w:rPr>
            </w:pPr>
          </w:p>
        </w:tc>
      </w:tr>
      <w:tr>
        <w:trPr>
          <w:trHeight w:val="219"/>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July 31, 2022</w:t>
            </w: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199"/>
              <w:spacing w:after="0"/>
              <w:rPr>
                <w:sz w:val="20"/>
                <w:szCs w:val="20"/>
                <w:color w:val="auto"/>
              </w:rPr>
            </w:pPr>
            <w:r>
              <w:rPr>
                <w:rFonts w:ascii="Times New Roman" w:cs="Times New Roman" w:eastAsia="Times New Roman" w:hAnsi="Times New Roman"/>
                <w:sz w:val="16"/>
                <w:szCs w:val="16"/>
                <w:color w:val="auto"/>
              </w:rPr>
              <w:t>August 1, 2021</w:t>
            </w:r>
          </w:p>
        </w:tc>
        <w:tc>
          <w:tcPr>
            <w:tcW w:w="0" w:type="dxa"/>
            <w:vAlign w:val="bottom"/>
          </w:tcPr>
          <w:p>
            <w:pPr>
              <w:spacing w:after="0"/>
              <w:rPr>
                <w:sz w:val="1"/>
                <w:szCs w:val="1"/>
                <w:color w:val="auto"/>
              </w:rPr>
            </w:pPr>
          </w:p>
        </w:tc>
      </w:tr>
      <w:tr>
        <w:trPr>
          <w:trHeight w:val="21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liability payments</w:t>
            </w:r>
          </w:p>
        </w:tc>
        <w:tc>
          <w:tcPr>
            <w:tcW w:w="19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920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717</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Right of use assets exchanged for lease liabilities</w:t>
            </w:r>
          </w:p>
        </w:tc>
        <w:tc>
          <w:tcPr>
            <w:tcW w:w="19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547</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Operating lease expense for the three-month periods ended July 31, 2022, and August 1, 2021, was $1.1 million and $876,000, respectively. Short-term lease and variable lease expenses were immaterial for the three-month periods ended July 31, 2022, and August 1, 2021.</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Maturity of our operating lease liabilities for the remainder of fiscal 2023, the subsequent next four fiscal years, and thereafter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2023</w:t>
            </w:r>
          </w:p>
        </w:tc>
        <w:tc>
          <w:tcPr>
            <w:tcW w:w="3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2,376</w:t>
            </w:r>
          </w:p>
        </w:tc>
      </w:tr>
      <w:tr>
        <w:trPr>
          <w:trHeight w:val="213"/>
        </w:trPr>
        <w:tc>
          <w:tcPr>
            <w:tcW w:w="916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360" w:type="dxa"/>
            <w:vAlign w:val="bottom"/>
          </w:tcPr>
          <w:p>
            <w:pPr>
              <w:spacing w:after="0"/>
              <w:rPr>
                <w:sz w:val="18"/>
                <w:szCs w:val="18"/>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2,956</w:t>
            </w:r>
          </w:p>
        </w:tc>
      </w:tr>
      <w:tr>
        <w:trPr>
          <w:trHeight w:val="219"/>
        </w:trPr>
        <w:tc>
          <w:tcPr>
            <w:tcW w:w="9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36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1,925</w:t>
            </w:r>
          </w:p>
        </w:tc>
      </w:tr>
      <w:tr>
        <w:trPr>
          <w:trHeight w:val="213"/>
        </w:trPr>
        <w:tc>
          <w:tcPr>
            <w:tcW w:w="916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360" w:type="dxa"/>
            <w:vAlign w:val="bottom"/>
          </w:tcPr>
          <w:p>
            <w:pPr>
              <w:spacing w:after="0"/>
              <w:rPr>
                <w:sz w:val="18"/>
                <w:szCs w:val="18"/>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493</w:t>
            </w:r>
          </w:p>
        </w:tc>
      </w:tr>
      <w:tr>
        <w:trPr>
          <w:trHeight w:val="219"/>
        </w:trPr>
        <w:tc>
          <w:tcPr>
            <w:tcW w:w="9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36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457</w:t>
            </w:r>
          </w:p>
        </w:tc>
      </w:tr>
      <w:tr>
        <w:trPr>
          <w:trHeight w:val="213"/>
        </w:trPr>
        <w:tc>
          <w:tcPr>
            <w:tcW w:w="9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1,410</w:t>
            </w:r>
          </w:p>
        </w:tc>
      </w:tr>
      <w:tr>
        <w:trPr>
          <w:trHeight w:val="212"/>
        </w:trPr>
        <w:tc>
          <w:tcPr>
            <w:tcW w:w="91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9,617</w:t>
            </w:r>
          </w:p>
        </w:tc>
      </w:tr>
      <w:tr>
        <w:trPr>
          <w:trHeight w:val="213"/>
        </w:trPr>
        <w:tc>
          <w:tcPr>
            <w:tcW w:w="9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w:t>
            </w:r>
          </w:p>
        </w:tc>
      </w:tr>
      <w:tr>
        <w:trPr>
          <w:trHeight w:val="209"/>
        </w:trPr>
        <w:tc>
          <w:tcPr>
            <w:tcW w:w="9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3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9,286</w:t>
            </w:r>
          </w:p>
        </w:tc>
      </w:tr>
      <w:tr>
        <w:trPr>
          <w:trHeight w:val="20"/>
        </w:trPr>
        <w:tc>
          <w:tcPr>
            <w:tcW w:w="9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435"/>
        </w:trPr>
        <w:tc>
          <w:tcPr>
            <w:tcW w:w="9160" w:type="dxa"/>
            <w:vAlign w:val="bottom"/>
          </w:tcPr>
          <w:p>
            <w:pPr>
              <w:spacing w:after="0"/>
              <w:rPr>
                <w:sz w:val="20"/>
                <w:szCs w:val="20"/>
                <w:color w:val="auto"/>
              </w:rPr>
            </w:pPr>
            <w:r>
              <w:rPr>
                <w:rFonts w:ascii="Times New Roman" w:cs="Times New Roman" w:eastAsia="Times New Roman" w:hAnsi="Times New Roman"/>
                <w:sz w:val="20"/>
                <w:szCs w:val="20"/>
                <w:color w:val="auto"/>
                <w:w w:val="99"/>
              </w:rPr>
              <w:t>As of July 31, 2022, the weighted average remaining lease term and discount rate for our operating leases follows:</w:t>
            </w: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0"/>
        </w:trPr>
        <w:tc>
          <w:tcPr>
            <w:tcW w:w="9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r>
      <w:tr>
        <w:trPr>
          <w:trHeight w:val="233"/>
        </w:trPr>
        <w:tc>
          <w:tcPr>
            <w:tcW w:w="9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July 31, 2022</w:t>
            </w:r>
          </w:p>
        </w:tc>
      </w:tr>
      <w:tr>
        <w:trPr>
          <w:trHeight w:val="213"/>
        </w:trPr>
        <w:tc>
          <w:tcPr>
            <w:tcW w:w="9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lease term</w:t>
            </w:r>
          </w:p>
        </w:tc>
        <w:tc>
          <w:tcPr>
            <w:tcW w:w="36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4.4 years</w:t>
            </w:r>
          </w:p>
        </w:tc>
      </w:tr>
      <w:tr>
        <w:trPr>
          <w:trHeight w:val="213"/>
        </w:trPr>
        <w:tc>
          <w:tcPr>
            <w:tcW w:w="9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880"/>
        </w:trPr>
        <w:tc>
          <w:tcPr>
            <w:tcW w:w="9160" w:type="dxa"/>
            <w:vAlign w:val="bottom"/>
          </w:tcPr>
          <w:p>
            <w:pPr>
              <w:ind w:left="5460"/>
              <w:spacing w:after="0"/>
              <w:rPr>
                <w:sz w:val="20"/>
                <w:szCs w:val="20"/>
                <w:color w:val="auto"/>
              </w:rPr>
            </w:pPr>
            <w:r>
              <w:rPr>
                <w:rFonts w:ascii="Times New Roman" w:cs="Times New Roman" w:eastAsia="Times New Roman" w:hAnsi="Times New Roman"/>
                <w:sz w:val="20"/>
                <w:szCs w:val="20"/>
                <w:color w:val="auto"/>
              </w:rPr>
              <w:t>I-22</w:t>
            </w: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09"/>
        </w:trPr>
        <w:tc>
          <w:tcPr>
            <w:tcW w:w="91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15. 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is involved in legal proceedings and claims which have arisen in the ordinary course of business. Management has determined that it is not reasonably possible that these actions, when ultimately concluded and settled, will have a material adverse effect upon the financial position, results of operations, or cash flows of the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Capital Expenditures</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July 31, 2022, August 1, 2021, and May 1, 2022, we had total amounts due regarding capital expenditures totaling $346,000, $48,000, and $473,000, respectively, which pertained to outstanding vendor invoices, none of which were financed.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Commitments – Capital Expenditures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July 31, 2022, we had open purchase commitments to acquire equipment for our mattress fabrics segment totaling $240,000.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Statutory Reserves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July 31, 2022, the statutory surplus reserve fund represents the 50% registered capital requirement, and therefore, our subsidiary located in China is no longer required to transfer 10% of its net income in accordance with PRC accounting rules and regulations.</w:t>
      </w:r>
    </w:p>
    <w:p>
      <w:pPr>
        <w:spacing w:after="0" w:line="1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transfer to this reserve must be made before distributions of any dividend to shareholders. As of July 31, 2022, the company’s statutory surplus reserve was $4.3 million. The statutory surplus reserve fund is non-distributable other than during liquidation and can be used to fund previous years’ losses, if any. The statutory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company’s subsidiary located in China can transfer funds to the parent company, except for the statutory surplus reserve of $4.3 million, to assist with debt repayment, capital expenditures, and other expenses of the company’s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Common Stock Repurchase Program</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first quarter of fiscal 2023, we did not repurchase any shares of our common stock. During the first quarter of fiscal 2022, we repurchased 48,686 shares of our common stock at a cost of $723,000.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July 31, 2022, we had $3.2 million available for additional repurchases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Dividend Program</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June 29, 2022, our board of directors announced the decision to suspend the company’s quarterly cash dividend. Considering the current and expected macroeconomic conditions, we believe that preserving capital and managing our liquidity is in the company’s best interest to support future growth and the long-term interests of our shareholders. Accordingly, we did not make any dividend payments during first quarter of fiscal 2023.</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first quarter of fiscal 2022, dividend payments totaled $1.4 million, which represented a quarterly dividend payment of $0.11 per share.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0"/>
          <w:szCs w:val="20"/>
          <w:b w:val="1"/>
          <w:bCs w:val="1"/>
          <w:color w:val="auto"/>
        </w:rPr>
        <w:t>CAUTIONARY STATEMENT CONCERNING FORWARD-LOOKING INFORMATION</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This report and the exhibits attached hereto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Further, forward looking statements are intended to speak only as of the date on which they are made, and we disclaim any duty to update or alter such statements to reflect any changes in management’s expectations or any change in the assumptions or circumstances on which such statements are based, whether due to new information, future events, or otherwise. Forward-looking statements are statements that include projections, expectations, or beliefs about future events or results or otherwise are not statements of historical fact. Such statements are often but not always characterized by qualifying words such as “expect,” “believe,” “anticipate,” “estimate,” “intend,” “plan,” “project,” and their derivatives, and include but are not limited to statements about expectations for our future operations, production levels, new product launches, sales, profit margins, profitability, operating income, capital expenditures, working capital levels, income taxes, SG&amp;A or other expenses, pre-tax income, earnings, cash flow, and other performance or liquidity measures, as well as any statements regarding potential acquisitions, future economic or industry trends, public health epidemics, or future developments. There can be no assurance that we will realize these expectations or meet our guidance, or that these beliefs will prove correct.</w:t>
      </w:r>
    </w:p>
    <w:p>
      <w:pPr>
        <w:spacing w:after="0" w:line="1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strengthening of currencies in Canada and China can have a negative impact on our sales of products produced in those places. Also, economic or political instability in international areas could affect our operations or sources of goods in those areas, as well as demand for our products in international markets. The impact of public health epidemics on employees, customers, suppliers, and the global economy, such as the global coronavirus pandemic currently affecting countries around the world, could also adversely affect our operations and financial performance. In addition, the impact of potential goodwill or intangible asset impairments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Finally, disruption in our customers’ supply chains for non-fabric components may cause declines in new orders and/or delayed shipping of existing orders while our customers wait for other components, which could adversely affect our financial results. Further information about these factors, as well as other factors that could affect our future operations or financial results and the matters discussed in forward-looking statements, are included in Item 1A “Risk Factors” section in our most recent Form 10-K and Form 10-Q reports filed with the Securities and Exchange Commission. A forward-looking statement is neither a prediction nor a guarantee of future events or circumstances, and those future events or circumstances may not occur.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26" w:name="page27"/>
    <w:bookmarkEnd w:id="26"/>
    <w:p>
      <w:pPr>
        <w:spacing w:after="0"/>
        <w:tabs>
          <w:tab w:leader="none" w:pos="1060" w:val="left"/>
        </w:tabs>
        <w:rPr>
          <w:sz w:val="20"/>
          <w:szCs w:val="20"/>
          <w:color w:val="auto"/>
        </w:rPr>
      </w:pPr>
      <w:r>
        <w:rPr>
          <w:rFonts w:ascii="Times New Roman" w:cs="Times New Roman" w:eastAsia="Times New Roman" w:hAnsi="Times New Roman"/>
          <w:sz w:val="20"/>
          <w:szCs w:val="20"/>
          <w:u w:val="single" w:color="auto"/>
          <w:color w:val="auto"/>
        </w:rPr>
        <w:t>ITEM 2.</w:t>
      </w:r>
      <w:r>
        <w:rPr>
          <w:sz w:val="20"/>
          <w:szCs w:val="20"/>
          <w:color w:val="auto"/>
        </w:rPr>
        <w:tab/>
      </w:r>
      <w:r>
        <w:rPr>
          <w:rFonts w:ascii="Times New Roman" w:cs="Times New Roman" w:eastAsia="Times New Roman" w:hAnsi="Times New Roman"/>
          <w:sz w:val="19"/>
          <w:szCs w:val="19"/>
          <w:u w:val="single" w:color="auto"/>
          <w:color w:val="auto"/>
        </w:rPr>
        <w:t>MANAGEMENT’S DISCUSSION AND ANALYSIS OF FINANCIAL CONDITION AND RESULTS OF OPERATIONS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analysis of financial condition and results of operations should be read in conjunction with the consolidated financial statements and notes and other exhibits included elsewhere in this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fiscal year is the 52 or 53-week period ending on the Sunday closest to April 30. The three months ended July 31, 2022, and August 1, 2021, both represent 13-week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mattress fabrics segment manufactures, sources, and sells fabrics and mattress covers primarily to bedding manufacturers. We have mattress fabric operations located in Stokesdale, NC, High Point, NC, Quebec, Canada, and Ouanaminthe, Haiti.</w:t>
      </w:r>
    </w:p>
    <w:p>
      <w:pPr>
        <w:spacing w:after="0" w:line="1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upholstery fabrics segment develops, sources, manufactures, and sells fabrics primarily to residential and commercial furniture manufacturers. We have upholstery fabric operations located in Shanghai, China, and Burlington, NC. During the third quarter of fiscal 2022, we also commenced operation of a new leased facility in Ouanaminthe, Haiti dedicated to the production of cut and sewn upholstery kits. Additionally, Read Window Products, LLC (“Read”), a wholly-owned subsidiary with operations located in Knoxville, TN, provides window treatments and sourcing of upholstery fabrics and other products, as well as measuring and installation services of Read’s products, to customers in the hospitality and commercial industries. Read also supplies soft goods such as decorative top sheets, coverlets, duvet covers, bed skirts, bolsters, and pillows.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evaluate the operating performance of our business segments based upon (loss) income from operations before certain unallocated corporate expenses and other items that are not expected to occur on a regular basis. Cost of sales for each business segment includes costs to develop, manufacture, or source our products, including costs such as raw material and finished good purchases, direct and indirect labor, overhead, and incoming freight charges. Unallocated corporate expenses primarily represent compensation and benefits for certain executive officers and their support staff, all costs associated with being a public company, amortization of intangible assets, and other miscellaneous expenses.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20" w:type="dxa"/>
            <w:vAlign w:val="bottom"/>
            <w:gridSpan w:val="3"/>
          </w:tcPr>
          <w:p>
            <w:pPr>
              <w:jc w:val="right"/>
              <w:ind w:right="1239"/>
              <w:spacing w:after="0"/>
              <w:rPr>
                <w:sz w:val="20"/>
                <w:szCs w:val="20"/>
                <w:color w:val="auto"/>
              </w:rPr>
            </w:pPr>
            <w:r>
              <w:rPr>
                <w:rFonts w:ascii="Times New Roman" w:cs="Times New Roman" w:eastAsia="Times New Roman" w:hAnsi="Times New Roman"/>
                <w:sz w:val="16"/>
                <w:szCs w:val="16"/>
                <w:color w:val="auto"/>
              </w:rPr>
              <w:t>Three Months Ended</w:t>
            </w:r>
          </w:p>
        </w:tc>
        <w:tc>
          <w:tcPr>
            <w:tcW w:w="1400" w:type="dxa"/>
            <w:vAlign w:val="bottom"/>
          </w:tcPr>
          <w:p>
            <w:pPr>
              <w:spacing w:after="0"/>
              <w:rPr>
                <w:sz w:val="18"/>
                <w:szCs w:val="18"/>
                <w:color w:val="auto"/>
              </w:rPr>
            </w:pPr>
          </w:p>
        </w:tc>
      </w:tr>
      <w:tr>
        <w:trPr>
          <w:trHeight w:val="219"/>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July 31, 2022</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August 1, 2021</w:t>
            </w:r>
          </w:p>
        </w:tc>
        <w:tc>
          <w:tcPr>
            <w:tcW w:w="14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Change</w:t>
            </w:r>
          </w:p>
        </w:tc>
      </w:tr>
      <w:tr>
        <w:trPr>
          <w:trHeight w:val="212"/>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1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62,604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83,047</w:t>
            </w:r>
          </w:p>
        </w:tc>
        <w:tc>
          <w:tcPr>
            <w:tcW w:w="1400" w:type="dxa"/>
            <w:vAlign w:val="bottom"/>
            <w:shd w:val="clear" w:color="auto" w:fill="CFF0FC"/>
          </w:tcPr>
          <w:p>
            <w:pPr>
              <w:jc w:val="center"/>
              <w:ind w:right="119"/>
              <w:spacing w:after="0"/>
              <w:rPr>
                <w:sz w:val="20"/>
                <w:szCs w:val="20"/>
                <w:color w:val="auto"/>
              </w:rPr>
            </w:pPr>
            <w:r>
              <w:rPr>
                <w:rFonts w:ascii="Times New Roman" w:cs="Times New Roman" w:eastAsia="Times New Roman" w:hAnsi="Times New Roman"/>
                <w:sz w:val="16"/>
                <w:szCs w:val="16"/>
                <w:color w:val="auto"/>
                <w:w w:val="99"/>
              </w:rPr>
              <w:t>(24.6)%</w:t>
            </w: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840" w:type="dxa"/>
            <w:vAlign w:val="bottom"/>
          </w:tcPr>
          <w:p>
            <w:pPr>
              <w:spacing w:after="0"/>
              <w:rPr>
                <w:sz w:val="18"/>
                <w:szCs w:val="18"/>
                <w:color w:val="auto"/>
              </w:rPr>
            </w:pPr>
          </w:p>
        </w:tc>
        <w:tc>
          <w:tcPr>
            <w:tcW w:w="15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4,128</w:t>
            </w:r>
          </w:p>
        </w:tc>
        <w:tc>
          <w:tcPr>
            <w:tcW w:w="220" w:type="dxa"/>
            <w:vAlign w:val="bottom"/>
          </w:tcPr>
          <w:p>
            <w:pPr>
              <w:spacing w:after="0"/>
              <w:rPr>
                <w:sz w:val="18"/>
                <w:szCs w:val="18"/>
                <w:color w:val="auto"/>
              </w:rPr>
            </w:pPr>
          </w:p>
        </w:tc>
        <w:tc>
          <w:tcPr>
            <w:tcW w:w="16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12,499</w:t>
            </w:r>
          </w:p>
        </w:tc>
        <w:tc>
          <w:tcPr>
            <w:tcW w:w="14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(67.0)%</w:t>
            </w:r>
          </w:p>
        </w:tc>
      </w:tr>
      <w:tr>
        <w:trPr>
          <w:trHeight w:val="21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margin</w:t>
            </w:r>
          </w:p>
        </w:tc>
        <w:tc>
          <w:tcPr>
            <w:tcW w:w="18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15.1%</w:t>
            </w:r>
          </w:p>
        </w:tc>
        <w:tc>
          <w:tcPr>
            <w:tcW w:w="1400" w:type="dxa"/>
            <w:vAlign w:val="bottom"/>
            <w:shd w:val="clear" w:color="auto" w:fill="CFF0FC"/>
          </w:tcPr>
          <w:p>
            <w:pPr>
              <w:jc w:val="center"/>
              <w:ind w:right="119"/>
              <w:spacing w:after="0"/>
              <w:rPr>
                <w:sz w:val="20"/>
                <w:szCs w:val="20"/>
                <w:color w:val="auto"/>
              </w:rPr>
            </w:pPr>
            <w:r>
              <w:rPr>
                <w:rFonts w:ascii="Times New Roman" w:cs="Times New Roman" w:eastAsia="Times New Roman" w:hAnsi="Times New Roman"/>
                <w:sz w:val="16"/>
                <w:szCs w:val="16"/>
                <w:color w:val="auto"/>
              </w:rPr>
              <w:t>(850)bp</w:t>
            </w: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40" w:type="dxa"/>
            <w:vAlign w:val="bottom"/>
          </w:tcPr>
          <w:p>
            <w:pPr>
              <w:spacing w:after="0"/>
              <w:rPr>
                <w:sz w:val="18"/>
                <w:szCs w:val="18"/>
                <w:color w:val="auto"/>
              </w:rPr>
            </w:pPr>
          </w:p>
        </w:tc>
        <w:tc>
          <w:tcPr>
            <w:tcW w:w="15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8,866</w:t>
            </w:r>
          </w:p>
        </w:tc>
        <w:tc>
          <w:tcPr>
            <w:tcW w:w="220" w:type="dxa"/>
            <w:vAlign w:val="bottom"/>
          </w:tcPr>
          <w:p>
            <w:pPr>
              <w:spacing w:after="0"/>
              <w:rPr>
                <w:sz w:val="18"/>
                <w:szCs w:val="18"/>
                <w:color w:val="auto"/>
              </w:rPr>
            </w:pPr>
          </w:p>
        </w:tc>
        <w:tc>
          <w:tcPr>
            <w:tcW w:w="16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9,181</w:t>
            </w:r>
          </w:p>
        </w:tc>
        <w:tc>
          <w:tcPr>
            <w:tcW w:w="14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(3.4)%</w:t>
            </w:r>
          </w:p>
        </w:tc>
      </w:tr>
      <w:tr>
        <w:trPr>
          <w:trHeight w:val="21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8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(4,738)</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3,318</w:t>
            </w:r>
          </w:p>
        </w:tc>
        <w:tc>
          <w:tcPr>
            <w:tcW w:w="1400" w:type="dxa"/>
            <w:vAlign w:val="bottom"/>
            <w:shd w:val="clear" w:color="auto" w:fill="CFF0FC"/>
          </w:tcPr>
          <w:p>
            <w:pPr>
              <w:jc w:val="center"/>
              <w:ind w:right="119"/>
              <w:spacing w:after="0"/>
              <w:rPr>
                <w:sz w:val="20"/>
                <w:szCs w:val="20"/>
                <w:color w:val="auto"/>
              </w:rPr>
            </w:pPr>
            <w:r>
              <w:rPr>
                <w:rFonts w:ascii="Times New Roman" w:cs="Times New Roman" w:eastAsia="Times New Roman" w:hAnsi="Times New Roman"/>
                <w:sz w:val="16"/>
                <w:szCs w:val="16"/>
                <w:color w:val="auto"/>
                <w:w w:val="99"/>
              </w:rPr>
              <w:t>(242.8)%</w:t>
            </w: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Operating (loss) income margin</w:t>
            </w:r>
          </w:p>
        </w:tc>
        <w:tc>
          <w:tcPr>
            <w:tcW w:w="184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4.0%</w:t>
            </w:r>
          </w:p>
        </w:tc>
        <w:tc>
          <w:tcPr>
            <w:tcW w:w="14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(1160)bp</w:t>
            </w:r>
          </w:p>
        </w:tc>
      </w:tr>
      <w:tr>
        <w:trPr>
          <w:trHeight w:val="21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8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(4,803)</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3,155</w:t>
            </w:r>
          </w:p>
        </w:tc>
        <w:tc>
          <w:tcPr>
            <w:tcW w:w="1400" w:type="dxa"/>
            <w:vAlign w:val="bottom"/>
            <w:shd w:val="clear" w:color="auto" w:fill="CFF0FC"/>
          </w:tcPr>
          <w:p>
            <w:pPr>
              <w:jc w:val="center"/>
              <w:ind w:right="119"/>
              <w:spacing w:after="0"/>
              <w:rPr>
                <w:sz w:val="20"/>
                <w:szCs w:val="20"/>
                <w:color w:val="auto"/>
              </w:rPr>
            </w:pPr>
            <w:r>
              <w:rPr>
                <w:rFonts w:ascii="Times New Roman" w:cs="Times New Roman" w:eastAsia="Times New Roman" w:hAnsi="Times New Roman"/>
                <w:sz w:val="16"/>
                <w:szCs w:val="16"/>
                <w:color w:val="auto"/>
                <w:w w:val="99"/>
              </w:rPr>
              <w:t>(252.2)%</w:t>
            </w: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840" w:type="dxa"/>
            <w:vAlign w:val="bottom"/>
          </w:tcPr>
          <w:p>
            <w:pPr>
              <w:spacing w:after="0"/>
              <w:rPr>
                <w:sz w:val="18"/>
                <w:szCs w:val="18"/>
                <w:color w:val="auto"/>
              </w:rPr>
            </w:pP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(896)</w:t>
            </w:r>
          </w:p>
        </w:tc>
        <w:tc>
          <w:tcPr>
            <w:tcW w:w="220" w:type="dxa"/>
            <w:vAlign w:val="bottom"/>
          </w:tcPr>
          <w:p>
            <w:pPr>
              <w:spacing w:after="0"/>
              <w:rPr>
                <w:sz w:val="18"/>
                <w:szCs w:val="18"/>
                <w:color w:val="auto"/>
              </w:rPr>
            </w:pPr>
          </w:p>
        </w:tc>
        <w:tc>
          <w:tcPr>
            <w:tcW w:w="16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(905)</w:t>
            </w:r>
          </w:p>
        </w:tc>
        <w:tc>
          <w:tcPr>
            <w:tcW w:w="14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(1.0)%</w:t>
            </w:r>
          </w:p>
        </w:tc>
      </w:tr>
      <w:tr>
        <w:trPr>
          <w:trHeight w:val="216"/>
        </w:trPr>
        <w:tc>
          <w:tcPr>
            <w:tcW w:w="45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8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(5,699)</w:t>
            </w:r>
          </w:p>
        </w:tc>
        <w:tc>
          <w:tcPr>
            <w:tcW w:w="2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2,250</w:t>
            </w:r>
          </w:p>
        </w:tc>
        <w:tc>
          <w:tcPr>
            <w:tcW w:w="1400" w:type="dxa"/>
            <w:vAlign w:val="bottom"/>
            <w:tcBorders>
              <w:bottom w:val="single" w:sz="8" w:color="auto"/>
            </w:tcBorders>
            <w:shd w:val="clear" w:color="auto" w:fill="CFF0FC"/>
          </w:tcPr>
          <w:p>
            <w:pPr>
              <w:jc w:val="center"/>
              <w:ind w:right="119"/>
              <w:spacing w:after="0"/>
              <w:rPr>
                <w:sz w:val="20"/>
                <w:szCs w:val="20"/>
                <w:color w:val="auto"/>
              </w:rPr>
            </w:pPr>
            <w:r>
              <w:rPr>
                <w:rFonts w:ascii="Times New Roman" w:cs="Times New Roman" w:eastAsia="Times New Roman" w:hAnsi="Times New Roman"/>
                <w:sz w:val="16"/>
                <w:szCs w:val="16"/>
                <w:color w:val="auto"/>
                <w:w w:val="99"/>
              </w:rPr>
              <w:t>(353.3)%</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Net Sales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Overall, our net sales for the first quarter of fiscal 2023 decreased by 24.6% compared with the same period a year ago, with mattress fabrics sales decreasing 31.8% and upholstery fabrics sales decreasing 16.9%.</w:t>
      </w:r>
    </w:p>
    <w:p>
      <w:pPr>
        <w:spacing w:after="0" w:line="1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decrease in net sales in our mattress fabrics segment reflects an ongoing slowdown in consumer demand in the domestic mattress industry. The impact of this industry softness was exacerbated during the quarter by mattress manufacturers and retailers continuing to work through an excess of inventory, delaying the timing of shipments and new product rollouts. The decrease in net sales was partially offset by pricing and surcharge actions in effect during the period that were not in effect during the same period a year ago. These pricing actions increased net sales for the division by approximately 4.6% during the quarter.</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decrease in net sales for our upholstery fabrics segment reflects reduced demand for our residential upholstery fabrics products, driven by a slowdown in new retail business in the residential home furnishings industry. The decrease in net sales was partially offset by higher sales in our hospitality/contract fabric business, as compared to the prior-year period, as well as pricing</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7" w:name="page28"/>
    <w:bookmarkEnd w:id="27"/>
    <w:p>
      <w:pPr>
        <w:jc w:val="both"/>
        <w:spacing w:after="0" w:line="269" w:lineRule="auto"/>
        <w:rPr>
          <w:sz w:val="20"/>
          <w:szCs w:val="20"/>
          <w:color w:val="auto"/>
        </w:rPr>
      </w:pPr>
      <w:r>
        <w:rPr>
          <w:rFonts w:ascii="Times New Roman" w:cs="Times New Roman" w:eastAsia="Times New Roman" w:hAnsi="Times New Roman"/>
          <w:sz w:val="20"/>
          <w:szCs w:val="20"/>
          <w:color w:val="auto"/>
        </w:rPr>
        <w:t>and surcharge action in effect during the period that were not in effect during the same period a year ago. These pricing actions increased net sales for the division by approximately 4.1% during the quarter.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Before Income Taxes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Overall, our loss before income taxes for the first quarter of fiscal 2023 was $(4.8) million, compared with income before income taxes of $3.2 million for the prior-year period.</w:t>
      </w:r>
    </w:p>
    <w:p>
      <w:pPr>
        <w:spacing w:after="0" w:line="1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Operating performance for the first quarter of fiscal 2023 was significantly affected by lower sales; continued inflationary pressures; and reoccurring labor challenges within both our mattress fabrics and Read businesses that resulted in increased employee training costs and operating inefficiencies. We also had additional costs associated with increasing capacity at our new upholstery fabrics cut and sew facility in Haiti. These pressures were partially offset by lower total SG&amp;A expense for the quarter, due primarily to lower incentive compensation expense.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8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We recorded income tax expense of $896,000, or (18.7%) of loss before income taxes, for the three-month period ended July 31, 2022, compared with income tax expense of $905,000, or 28.7% of income before income taxes, for the three-month period ended August 1, 2021.</w:t>
      </w:r>
    </w:p>
    <w:p>
      <w:pPr>
        <w:spacing w:after="0" w:line="9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consolidated effective income tax rate during the first quarter of fiscal 2023 was much more negatively affected by the mix of earnings between our U.S. operations and foreign subsidiaries, as compared to the first quarter of fiscal 2022. During the first quarter of fiscal 2023, we incurred a significant pre-tax loss from our U.S. operations, and therefore, a significant income tax benefit was not recognized due to a full valuation allowance being applied against our U.S. net deferred income tax assets. In addition, all of our taxable income in the first quarter of fiscal 2023 was earned by our foreign operations located in China and Canada, which have higher income tax rates than the U.S. In comparison, our U.S. operations earned a level of pre-tax income during the first quarter of fiscal 2022 that did not have a significant effect on our full valuation allowance or our consolidated effective income tax rate.</w:t>
      </w:r>
    </w:p>
    <w:p>
      <w:pPr>
        <w:spacing w:after="0" w:line="145" w:lineRule="exact"/>
        <w:rPr>
          <w:sz w:val="20"/>
          <w:szCs w:val="20"/>
          <w:color w:val="auto"/>
        </w:rPr>
      </w:pPr>
    </w:p>
    <w:p>
      <w:pPr>
        <w:ind w:right="1960"/>
        <w:spacing w:after="0" w:line="429" w:lineRule="auto"/>
        <w:rPr>
          <w:sz w:val="20"/>
          <w:szCs w:val="20"/>
          <w:color w:val="auto"/>
        </w:rPr>
      </w:pPr>
      <w:r>
        <w:rPr>
          <w:rFonts w:ascii="Times New Roman" w:cs="Times New Roman" w:eastAsia="Times New Roman" w:hAnsi="Times New Roman"/>
          <w:sz w:val="20"/>
          <w:szCs w:val="20"/>
          <w:color w:val="auto"/>
        </w:rPr>
        <w:t xml:space="preserve">Refer to Note 12 of the consolidated financial statements for further details regarding our provision for income taxes. </w:t>
      </w:r>
      <w:r>
        <w:rPr>
          <w:rFonts w:ascii="Times New Roman" w:cs="Times New Roman" w:eastAsia="Times New Roman" w:hAnsi="Times New Roman"/>
          <w:sz w:val="20"/>
          <w:szCs w:val="20"/>
          <w:u w:val="single" w:color="auto"/>
          <w:color w:val="auto"/>
        </w:rPr>
        <w:t>Liquidity</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July 31, 2022, our cash and cash equivalents (collectively, “cash”) totaled $18.9 million, an increase of $4.3 million, compared with $14.6 million as of May 1, 2022. This increase was mostly due to (i) $5.3 million in net cash provided by operating activities, partially offset by (ii) capital expenditures totaling $711,000.</w:t>
      </w:r>
    </w:p>
    <w:p>
      <w:pPr>
        <w:spacing w:after="0" w:line="1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net cash provided by operating activities was $5.3 million during the first quarter of fiscal 2023, an increase of $3.7 million, compared with net cash provided by operating activities of $1.6 million during the first quarter of fiscal 2022. This trend primarily reflects (i) an increase in accounts payable that primarily related to our upholstery fabrics operations located in China, as the mandated COVID-19 related shutdowns were lifted during the first quarter of fiscal 2023; and (ii) annual incentive payments made during the first quarter of fiscal 2022 that did not recur during the first quarter of fiscal 2023, partially offset by (iii) a decrease in net cash earnings during the first quarter of fiscal 2023 compared with the first quarter of fiscal 2022.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July 31, 2022, there were no outstanding borrowings under our lines of credit.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Dividend Program</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June 29, 2022, our board of directors announced the decision to suspend the company’s quarterly cash dividend. Considering the current and expected macroeconomic conditions, we believe that preserving capital and managing our liquidity is in the company’s best interest to support future growth and the long-term interests of our shareholders. Accordingly, we did not make any dividend payments during the first quarter of fiscal 2023.</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first quarter of fiscal 2022, dividend payments totaled $1.4 million, which represented a quarterly cash dividend payment of $0.11 per share.</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board of directors has sole authority to determine if and when we will declare future dividends, and on what terms. We will continue to reassess our dividend policy each quarter. Future dividend payments will depend on our earnings, capital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8" w:name="page29"/>
    <w:bookmarkEnd w:id="28"/>
    <w:p>
      <w:pPr>
        <w:jc w:val="both"/>
        <w:spacing w:after="0" w:line="269" w:lineRule="auto"/>
        <w:rPr>
          <w:sz w:val="20"/>
          <w:szCs w:val="20"/>
          <w:color w:val="auto"/>
        </w:rPr>
      </w:pPr>
      <w:r>
        <w:rPr>
          <w:rFonts w:ascii="Times New Roman" w:cs="Times New Roman" w:eastAsia="Times New Roman" w:hAnsi="Times New Roman"/>
          <w:sz w:val="20"/>
          <w:szCs w:val="20"/>
          <w:color w:val="auto"/>
        </w:rPr>
        <w:t>requirements, financial condition, excess availability under our lines of credit, market and economic conditions, and other factors we consider relevant.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Common Stock Repurchases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and timing of share purchases are based on working capital requirements, market and general business conditions, and other factors, including alternative investment opportunities.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first quarter of fiscal 2023, we did not purchase any shares of our common stock. As a result, as of July 31, 2022, $3.2 million is available for additional repurchases of our common stock. Despite the current share repurchase authorization, the company does not expect to repurchase any shares through at least the second quarter of fiscal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first quarter of fiscal 2022, we repurchased 48,686 shares of common stock at a cost of $723,000.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Analysis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Mattress Fabrics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80" w:type="dxa"/>
            <w:vAlign w:val="bottom"/>
            <w:gridSpan w:val="3"/>
          </w:tcPr>
          <w:p>
            <w:pPr>
              <w:jc w:val="right"/>
              <w:ind w:right="1059"/>
              <w:spacing w:after="0"/>
              <w:rPr>
                <w:sz w:val="20"/>
                <w:szCs w:val="20"/>
                <w:color w:val="auto"/>
              </w:rPr>
            </w:pPr>
            <w:r>
              <w:rPr>
                <w:rFonts w:ascii="Times New Roman" w:cs="Times New Roman" w:eastAsia="Times New Roman" w:hAnsi="Times New Roman"/>
                <w:sz w:val="16"/>
                <w:szCs w:val="16"/>
                <w:color w:val="auto"/>
              </w:rPr>
              <w:t>Three Months Ended</w:t>
            </w:r>
          </w:p>
        </w:tc>
        <w:tc>
          <w:tcPr>
            <w:tcW w:w="1340" w:type="dxa"/>
            <w:vAlign w:val="bottom"/>
          </w:tcPr>
          <w:p>
            <w:pPr>
              <w:spacing w:after="0"/>
              <w:rPr>
                <w:sz w:val="18"/>
                <w:szCs w:val="18"/>
                <w:color w:val="auto"/>
              </w:rPr>
            </w:pPr>
          </w:p>
        </w:tc>
      </w:tr>
      <w:tr>
        <w:trPr>
          <w:trHeight w:val="219"/>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July 31, 2022</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August 1, 2021</w:t>
            </w:r>
          </w:p>
        </w:tc>
        <w:tc>
          <w:tcPr>
            <w:tcW w:w="13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Change</w:t>
            </w:r>
          </w:p>
        </w:tc>
      </w:tr>
      <w:tr>
        <w:trPr>
          <w:trHeight w:val="212"/>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29,371</w:t>
            </w:r>
          </w:p>
        </w:tc>
        <w:tc>
          <w:tcPr>
            <w:tcW w:w="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43,058</w:t>
            </w:r>
          </w:p>
        </w:tc>
        <w:tc>
          <w:tcPr>
            <w:tcW w:w="1340" w:type="dxa"/>
            <w:vAlign w:val="bottom"/>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color w:val="auto"/>
                <w:w w:val="99"/>
              </w:rPr>
              <w:t>(31.8)%</w:t>
            </w:r>
          </w:p>
        </w:tc>
      </w:tr>
      <w:tr>
        <w:trPr>
          <w:trHeight w:val="21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Gross (loss) profit</w:t>
            </w:r>
          </w:p>
        </w:tc>
        <w:tc>
          <w:tcPr>
            <w:tcW w:w="202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300" w:type="dxa"/>
            <w:vAlign w:val="bottom"/>
          </w:tcPr>
          <w:p>
            <w:pPr>
              <w:spacing w:after="0"/>
              <w:rPr>
                <w:sz w:val="18"/>
                <w:szCs w:val="18"/>
                <w:color w:val="auto"/>
              </w:rPr>
            </w:pPr>
          </w:p>
        </w:tc>
        <w:tc>
          <w:tcPr>
            <w:tcW w:w="15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6,795</w:t>
            </w:r>
          </w:p>
        </w:tc>
        <w:tc>
          <w:tcPr>
            <w:tcW w:w="13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(100.5)%</w:t>
            </w:r>
          </w:p>
        </w:tc>
      </w:tr>
      <w:tr>
        <w:trPr>
          <w:trHeight w:val="21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(loss) profit margin</w:t>
            </w:r>
          </w:p>
        </w:tc>
        <w:tc>
          <w:tcPr>
            <w:tcW w:w="20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15.8%</w:t>
            </w:r>
          </w:p>
        </w:tc>
        <w:tc>
          <w:tcPr>
            <w:tcW w:w="1340" w:type="dxa"/>
            <w:vAlign w:val="bottom"/>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color w:val="auto"/>
              </w:rPr>
              <w:t>(1590)bp</w:t>
            </w:r>
          </w:p>
        </w:tc>
      </w:tr>
      <w:tr>
        <w:trPr>
          <w:trHeight w:val="21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20" w:type="dxa"/>
            <w:vAlign w:val="bottom"/>
          </w:tcPr>
          <w:p>
            <w:pPr>
              <w:spacing w:after="0"/>
              <w:rPr>
                <w:sz w:val="18"/>
                <w:szCs w:val="18"/>
                <w:color w:val="auto"/>
              </w:rPr>
            </w:pPr>
          </w:p>
        </w:tc>
        <w:tc>
          <w:tcPr>
            <w:tcW w:w="12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2,885</w:t>
            </w:r>
          </w:p>
        </w:tc>
        <w:tc>
          <w:tcPr>
            <w:tcW w:w="300" w:type="dxa"/>
            <w:vAlign w:val="bottom"/>
          </w:tcPr>
          <w:p>
            <w:pPr>
              <w:spacing w:after="0"/>
              <w:rPr>
                <w:sz w:val="18"/>
                <w:szCs w:val="18"/>
                <w:color w:val="auto"/>
              </w:rPr>
            </w:pPr>
          </w:p>
        </w:tc>
        <w:tc>
          <w:tcPr>
            <w:tcW w:w="15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3,184</w:t>
            </w:r>
          </w:p>
        </w:tc>
        <w:tc>
          <w:tcPr>
            <w:tcW w:w="13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(9.4)%</w:t>
            </w:r>
          </w:p>
        </w:tc>
      </w:tr>
      <w:tr>
        <w:trPr>
          <w:trHeight w:val="21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20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(2,921)</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3,611</w:t>
            </w:r>
          </w:p>
        </w:tc>
        <w:tc>
          <w:tcPr>
            <w:tcW w:w="1340" w:type="dxa"/>
            <w:vAlign w:val="bottom"/>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color w:val="auto"/>
                <w:w w:val="99"/>
              </w:rPr>
              <w:t>(180.9)%</w:t>
            </w:r>
          </w:p>
        </w:tc>
      </w:tr>
      <w:tr>
        <w:trPr>
          <w:trHeight w:val="213"/>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Operating (loss) income margin</w:t>
            </w:r>
          </w:p>
        </w:tc>
        <w:tc>
          <w:tcPr>
            <w:tcW w:w="20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8.4%</w:t>
            </w:r>
          </w:p>
        </w:tc>
        <w:tc>
          <w:tcPr>
            <w:tcW w:w="13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(1830)bp</w:t>
            </w: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Mattress fabrics sales decreased 31.8% in the first quarter of fiscal 2023 compared to the prior-year period.</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decrease in mattress fabrics net sales for the quarter reflects an ongoing slowdown in consumer demand in the domestic mattress industry. We believe this slowdown is primarily due to inflationary pressures affecting consumer spending. The impact of this industry softness was exacerbated during the quarter by mattress manufacturers and retailers continuing to work through an excess of inventory, delaying the timing of shipments and new product rollouts. The decrease in net sales was partially offset by pricing and surcharge actions in effect during the period that were not in effect during the same period a year ago. These pricing actions increased net sales for the division by approximately 4.6% during the quarter.</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Despite the headwinds, we remained focused on our product-driven strategy during the quarter, with an emphasis on innovation, design creativity, and personalized customer service. The strength and flexibility of our global manufacturing and sourcing operations in the U.S., Canada, Haiti, Asia, and Turkey enabled us to support the evolving needs of our mattress fabrics and cover customers during the period. We also began to see the rollout of a few new product launches during the quarter, although the gains from these launches were offset by industry weakness affecting demand for our traditional business.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Looking ahead, we expect the current macroeconomic environment will continue affecting consumer spending trends for some time, resulting in ongoing industry softness that may reduce demand for our mattress fabrics and cover products and continue to delay the timing of new product rollouts. We expect these conditions are likely to pressure results through at least the third quarter of fiscal 2023. Additionally, the ongoing impacts of the COVID-19 pandemic, as well as the impact of Russia’s invasion of Ukraine, including its effect on petrochemical pricing and consumer spending, remain unknown and depend on factors beyond our knowledge or control. At this time, we cannot reasonably estimate the ongoing impact of the COVID-19 pandemic or the evolving impact of the Russia-Ukraine war on our mattress fabrics segment; however, either of these situations could cause disruption that could adversely affect our operations and financial performance.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 Selling, General &amp; Administrative Expenses, and Operating Income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decrease in mattress fabrics profitability during the first quarter of fiscal 2023, as compared to the prior-year period, was primarily due to operating inefficiencies from lower sales volume; ongoing labor challenges, including inefficiencies due to hiring and training new employees; and ongoing inflationary pressures, including higher raw material costs, among other factors. These pressures were offset slightly by lower SG&amp;A for the quarter, due primarily to lower incentive compensation expense.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9" w:name="page30"/>
    <w:bookmarkEnd w:id="29"/>
    <w:p>
      <w:pPr>
        <w:jc w:val="both"/>
        <w:spacing w:after="0" w:line="245" w:lineRule="auto"/>
        <w:rPr>
          <w:sz w:val="20"/>
          <w:szCs w:val="20"/>
          <w:color w:val="auto"/>
        </w:rPr>
      </w:pPr>
      <w:r>
        <w:rPr>
          <w:rFonts w:ascii="Times New Roman" w:cs="Times New Roman" w:eastAsia="Times New Roman" w:hAnsi="Times New Roman"/>
          <w:sz w:val="20"/>
          <w:szCs w:val="20"/>
          <w:color w:val="auto"/>
        </w:rPr>
        <w:t>Our pricing actions implemented over the course of the prior fiscal year have helped offset a portion of the current inflationary pressures. However, we are implementing an additional targeted price increase during the second quarter of fiscal 2023 to help offset the continued rise in raw material costs. We are also moving and consolidating our domestic mattress cover cut and sew operation during the second quarter of fiscal 2023 from its current location in High Point, NC, to our mattress fabrics facility in Stokesdale, NC. We believe this move will reduce costs and improve operating efficiencies beginning primarily in the third quarter of fiscal 2023. We also continue to make workforce adjustments to align with demand conditions.</w:t>
      </w:r>
    </w:p>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expect the ongoing industry softness affecting sales volumes, as well as continued inflationary pressures, will affect profitability through at least the third quarter of fiscal 2023, although we believe these headwinds will be mitigated to some extent by the additional pricing action being implemented during the second quarter, as well as our ongoing efforts to control internal costs and improve efficiencies. However, we will consider further reasonable pricing actions as necessary to mitigate and manage inflation.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and right of use assets.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July 31, 2022</w:t>
            </w:r>
          </w:p>
        </w:tc>
        <w:tc>
          <w:tcPr>
            <w:tcW w:w="2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August 1, 2021</w:t>
            </w: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8"/>
              </w:rPr>
              <w:t>May 1, 2022</w:t>
            </w:r>
          </w:p>
        </w:tc>
      </w:tr>
      <w:tr>
        <w:trPr>
          <w:trHeight w:val="211"/>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2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12,382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18,016</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9,865</w:t>
            </w:r>
          </w:p>
        </w:tc>
      </w:tr>
      <w:tr>
        <w:trPr>
          <w:trHeight w:val="213"/>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Inventory</w:t>
            </w:r>
          </w:p>
        </w:tc>
        <w:tc>
          <w:tcPr>
            <w:tcW w:w="268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36,471</w:t>
            </w:r>
          </w:p>
        </w:tc>
        <w:tc>
          <w:tcPr>
            <w:tcW w:w="2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31,778</w:t>
            </w:r>
          </w:p>
        </w:tc>
        <w:tc>
          <w:tcPr>
            <w:tcW w:w="2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39,028</w:t>
            </w:r>
          </w:p>
        </w:tc>
      </w:tr>
      <w:tr>
        <w:trPr>
          <w:trHeight w:val="21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6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37,354</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41,311</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38,731</w:t>
            </w:r>
          </w:p>
        </w:tc>
      </w:tr>
      <w:tr>
        <w:trPr>
          <w:trHeight w:val="213"/>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2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3,232</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4,058</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3,469</w:t>
            </w:r>
          </w:p>
        </w:tc>
      </w:tr>
      <w:tr>
        <w:trPr>
          <w:trHeight w:val="209"/>
        </w:trPr>
        <w:tc>
          <w:tcPr>
            <w:tcW w:w="4400" w:type="dxa"/>
            <w:vAlign w:val="bottom"/>
            <w:tcBorders>
              <w:bottom w:val="single" w:sz="8" w:color="auto"/>
            </w:tcBorders>
            <w:shd w:val="clear" w:color="auto" w:fill="CFF0FC"/>
          </w:tcPr>
          <w:p>
            <w:pPr>
              <w:spacing w:after="0"/>
              <w:rPr>
                <w:sz w:val="18"/>
                <w:szCs w:val="18"/>
                <w:color w:val="auto"/>
              </w:rPr>
            </w:pPr>
          </w:p>
        </w:tc>
        <w:tc>
          <w:tcPr>
            <w:tcW w:w="2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89,439</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95,163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91,093</w:t>
            </w:r>
          </w:p>
        </w:tc>
      </w:tr>
    </w:tbl>
    <w:p>
      <w:pPr>
        <w:spacing w:after="0" w:line="342" w:lineRule="exact"/>
        <w:rPr>
          <w:sz w:val="20"/>
          <w:szCs w:val="20"/>
          <w:color w:val="auto"/>
        </w:rPr>
      </w:pPr>
    </w:p>
    <w:p>
      <w:pPr>
        <w:ind w:right="1780"/>
        <w:spacing w:after="0" w:line="429" w:lineRule="auto"/>
        <w:rPr>
          <w:sz w:val="20"/>
          <w:szCs w:val="20"/>
          <w:color w:val="auto"/>
        </w:rPr>
      </w:pPr>
      <w:r>
        <w:rPr>
          <w:rFonts w:ascii="Times New Roman" w:cs="Times New Roman" w:eastAsia="Times New Roman" w:hAnsi="Times New Roman"/>
          <w:sz w:val="20"/>
          <w:szCs w:val="20"/>
          <w:color w:val="auto"/>
        </w:rPr>
        <w:t xml:space="preserve">Refer to Note 11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As of July 31, 2022, accounts receivable decreased by $5.6 million, or 31.3%, compared with August 1, 2021. This trend reflects the significant decrease in net sales during the first quarter of fiscal 2023 compared with the first quarter of fiscal 2022, as described in the </w:t>
      </w:r>
      <w:r>
        <w:rPr>
          <w:rFonts w:ascii="Times New Roman" w:cs="Times New Roman" w:eastAsia="Times New Roman" w:hAnsi="Times New Roman"/>
          <w:sz w:val="20"/>
          <w:szCs w:val="20"/>
          <w:i w:val="1"/>
          <w:iCs w:val="1"/>
          <w:color w:val="auto"/>
        </w:rPr>
        <w:t>Net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Sales </w:t>
      </w:r>
      <w:r>
        <w:rPr>
          <w:rFonts w:ascii="Times New Roman" w:cs="Times New Roman" w:eastAsia="Times New Roman" w:hAnsi="Times New Roman"/>
          <w:sz w:val="20"/>
          <w:szCs w:val="20"/>
          <w:color w:val="auto"/>
        </w:rPr>
        <w:t>section above. Days’ sales outstanding was 38 days for the first quarter of fiscal 2023, compared with 37 days for the first quarter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fiscal 2022.</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July 31, 2022, accounts receivable increased by $2.5 million, or 25.5%, compared with May 1, 2022. This increase reflects the timing of a large cash receipt from a significant customer that occurred at the end of the fourth quarter of fiscal 2022, which did not recur during the first quarter of fiscal 2023. Accordingly, this led to an abnormally low days’ sales outstanding of 30 days for the fourth quarter of fiscal 2022, compared with 38 days for the first quarter of fiscal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July 31, 2022, inventory increased by $4.7 million, or 14.8%, compared with August 1, 2021. This increase in inventory represents higher raw material costs, as well as an increase in inventory purchases during the second and third quarters of fiscal 2022 to protect against supply chain disruption and support our customers.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July 31, 2022, inventory decreased by $2.6 million, or 6.6%, compared with May 1, 2022. This decrease represents management’s focus on obtaining a consistent level of inventory, taking into account (i) current and expected future demand trends, (ii) potential future global supply chain disruptions, and (iii) rising raw material costs.</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3.1 for the first quarter of fiscal 2023, compared with 4.7 for the first quarter of fiscal 2022 and 2.9 for the fourth quarter of fiscal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$37.4 million as of July 31, 2022, represents property, plant, and equipment of $24.7 million, $11.9 million, and $718,000 located in the U.S., Canada, and Haiti, respectively. The $41.3 million as of August 1, 2021, represents property, plant, and equipment of $28.0 million, $12.4 million, and $875,000 located in the U.S., Canada, and Haiti, respectively. The $38.7 million as of May 1, 2022, represents property, plant, and equipment of $25.6 million, $12.4 million, and $757,000 located in the U.S., Canada, and Haiti, respectively.</w:t>
      </w:r>
    </w:p>
    <w:p>
      <w:pPr>
        <w:spacing w:after="0" w:line="13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July 31, 2022, property, plant, and equipment has steadily decreased compared with August 1, 2021, as we have reduced our capital spending as a result of current and expected macroeconomic conditions.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$3.2 million as of July 31, 2022, represents right of use assets of $1.9 million, $1.1 million, and $228,000 located in Haiti, the U.S., and Canada, respectively. The $4.1 million as of August 1, 2021, represents right of use assets of $2.3 million, $1.4 million, and $355,000 located in Haiti, the U.S., and Canada, respectively. The $3.5 million as of May 1, 2022, represents right of use assets of $2.0 million, $1.2 million, and $291,000 located in Haiti, the U.S., and Canada, respectively.</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July 31, 2022, right of use assets has steadily decreased compared with August 1, 2021, due to rent expense recognized over the term of the respective lease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Upholstery Fabrics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60" w:type="dxa"/>
            <w:vAlign w:val="bottom"/>
            <w:gridSpan w:val="3"/>
          </w:tcPr>
          <w:p>
            <w:pPr>
              <w:jc w:val="right"/>
              <w:ind w:right="879"/>
              <w:spacing w:after="0"/>
              <w:rPr>
                <w:sz w:val="20"/>
                <w:szCs w:val="20"/>
                <w:color w:val="auto"/>
              </w:rPr>
            </w:pPr>
            <w:r>
              <w:rPr>
                <w:rFonts w:ascii="Times New Roman" w:cs="Times New Roman" w:eastAsia="Times New Roman" w:hAnsi="Times New Roman"/>
                <w:sz w:val="16"/>
                <w:szCs w:val="16"/>
                <w:color w:val="auto"/>
              </w:rPr>
              <w:t>Three Months Ended</w:t>
            </w: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July 31, 2022</w:t>
            </w: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August 1, 2021</w:t>
            </w:r>
          </w:p>
        </w:tc>
        <w:tc>
          <w:tcPr>
            <w:tcW w:w="8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 Change</w:t>
            </w:r>
          </w:p>
        </w:tc>
      </w:tr>
      <w:tr>
        <w:trPr>
          <w:trHeight w:val="213"/>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Non-U.S. Produced</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31,441</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38,222</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96%</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13"/>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Produced</w:t>
            </w:r>
          </w:p>
        </w:tc>
        <w:tc>
          <w:tcPr>
            <w:tcW w:w="2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1,792</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1,767</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9"/>
        </w:trPr>
        <w:tc>
          <w:tcPr>
            <w:tcW w:w="34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33,233</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39,989</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100%</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r>
    </w:tbl>
    <w:p>
      <w:pPr>
        <w:spacing w:after="0" w:line="3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Upholstery fabrics sales decreased 16.9% in the first quarter of fiscal 2023 compared to the prior-year period, which was an especially strong quarter for this segment.</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decrease in upholstery fabrics net sales for the quarter reflects reduced demand for our residential upholstery fabrics products compared to the prior-year period, driven by a slowdown in new retail business in the residential home furnishings industry. The decrease in net sales was partially offset by higher sales in our hospitality/contract fabric business, as compared to the prior-year period, as well as pricing and surcharge actions in effect during the period that were not in effect during the same period a year ago. These actions increased net sales for the division by approximately 4.1% during the quarter.</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maintained our sustained focus on product innovation during the quarter, including our popular portfolio of LiveSmart® performance products. We also continued to ramp up production at our new Haiti cut and sew facility during the quarter. This facility is now fully staffed, and its output per week continues to rise as our associates gain more experience through extensive training that takes place over the course of several months.</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Looking ahead, we expect the slowdown in new retail business for the residential home furnishings industry may affect demand for our residential business for some period of time. Despite this challenge, we believe our business is well positioned for the long-term with our product-driven strategy and innovative product offerings, as well as our flexible Asian platform, our long-term supplier relationships, and our expanded capacity in Haiti.</w:t>
      </w:r>
    </w:p>
    <w:p>
      <w:pPr>
        <w:spacing w:after="0" w:line="1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Notably, the ongoing economic and health effects of the COVID-19 pandemic, as well as the impact of Russia’s invasion of Ukraine, including its effect on petrochemical pricing and consumer spending, remain unknown and depend on factors beyond our control. At this time, we cannot reasonably estimate the impact on our upholstery fabrics segment, but we note that if conditions worsen in either of these situations, including additional COVID-19-related shutdowns of our China operations, the impact on our operations, and/or on our suppliers, customers, consumers, and the global economy, could adversely affect our financial performance.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 Selling, General &amp; Administrative Expenses, and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5060" w:type="dxa"/>
            <w:vAlign w:val="bottom"/>
            <w:gridSpan w:val="2"/>
          </w:tcPr>
          <w:p>
            <w:pPr>
              <w:jc w:val="right"/>
              <w:ind w:right="1119"/>
              <w:spacing w:after="0"/>
              <w:rPr>
                <w:sz w:val="20"/>
                <w:szCs w:val="20"/>
                <w:color w:val="auto"/>
              </w:rPr>
            </w:pPr>
            <w:r>
              <w:rPr>
                <w:rFonts w:ascii="Times New Roman" w:cs="Times New Roman" w:eastAsia="Times New Roman" w:hAnsi="Times New Roman"/>
                <w:sz w:val="16"/>
                <w:szCs w:val="16"/>
                <w:color w:val="auto"/>
              </w:rPr>
              <w:t>Three Months Ended</w:t>
            </w:r>
          </w:p>
        </w:tc>
        <w:tc>
          <w:tcPr>
            <w:tcW w:w="1300" w:type="dxa"/>
            <w:vAlign w:val="bottom"/>
          </w:tcPr>
          <w:p>
            <w:pPr>
              <w:spacing w:after="0"/>
              <w:rPr>
                <w:sz w:val="18"/>
                <w:szCs w:val="18"/>
                <w:color w:val="auto"/>
              </w:rPr>
            </w:pPr>
          </w:p>
        </w:tc>
      </w:tr>
      <w:tr>
        <w:trPr>
          <w:trHeight w:val="219"/>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July 31, 2022</w:t>
            </w:r>
          </w:p>
        </w:tc>
        <w:tc>
          <w:tcPr>
            <w:tcW w:w="17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August 1, 2021</w:t>
            </w: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Change</w:t>
            </w:r>
          </w:p>
        </w:tc>
      </w:tr>
      <w:tr>
        <w:trPr>
          <w:trHeight w:val="21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3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4,165</w:t>
            </w:r>
          </w:p>
        </w:tc>
        <w:tc>
          <w:tcPr>
            <w:tcW w:w="172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5,704</w:t>
            </w:r>
          </w:p>
        </w:tc>
        <w:tc>
          <w:tcPr>
            <w:tcW w:w="13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(27.0)%</w:t>
            </w:r>
          </w:p>
        </w:tc>
      </w:tr>
      <w:tr>
        <w:trPr>
          <w:trHeight w:val="213"/>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margin</w:t>
            </w:r>
          </w:p>
        </w:tc>
        <w:tc>
          <w:tcPr>
            <w:tcW w:w="3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12.5%</w:t>
            </w: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14.3%</w:t>
            </w:r>
          </w:p>
        </w:tc>
        <w:tc>
          <w:tcPr>
            <w:tcW w:w="1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(180)bp</w:t>
            </w:r>
          </w:p>
        </w:tc>
      </w:tr>
      <w:tr>
        <w:trPr>
          <w:trHeight w:val="21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3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3,622</w:t>
            </w:r>
          </w:p>
        </w:tc>
        <w:tc>
          <w:tcPr>
            <w:tcW w:w="172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3,437</w:t>
            </w:r>
          </w:p>
        </w:tc>
        <w:tc>
          <w:tcPr>
            <w:tcW w:w="13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5.4%</w:t>
            </w:r>
          </w:p>
        </w:tc>
      </w:tr>
      <w:tr>
        <w:trPr>
          <w:trHeight w:val="213"/>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3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542</w:t>
            </w:r>
          </w:p>
        </w:tc>
        <w:tc>
          <w:tcPr>
            <w:tcW w:w="17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2,267</w:t>
            </w:r>
          </w:p>
        </w:tc>
        <w:tc>
          <w:tcPr>
            <w:tcW w:w="13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(76.1)%</w:t>
            </w:r>
          </w:p>
        </w:tc>
      </w:tr>
      <w:tr>
        <w:trPr>
          <w:trHeight w:val="216"/>
        </w:trPr>
        <w:tc>
          <w:tcPr>
            <w:tcW w:w="48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33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172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5.7%</w:t>
            </w:r>
          </w:p>
        </w:tc>
        <w:tc>
          <w:tcPr>
            <w:tcW w:w="1300" w:type="dxa"/>
            <w:vAlign w:val="bottom"/>
            <w:tcBorders>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(410)bp</w:t>
            </w:r>
          </w:p>
        </w:tc>
      </w:tr>
    </w:tbl>
    <w:p>
      <w:pPr>
        <w:spacing w:after="0" w:line="3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decrease in upholstery fabrics profitability for the first quarter of fiscal 2023, as compared to the prior-year period, primarily reflects lower sales; labor challenges and inflationary pressures affecting the Read business; and additional employee training costs and operating inefficiencies in this segment’s new Haiti cut and sew facility as it continues to scale capacity to its full planned output level. Operating performance for the period was positively affected by a favorable foreign exchange rate associated with our operations in China.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31" w:name="page32"/>
    <w:bookmarkEnd w:id="31"/>
    <w:p>
      <w:pPr>
        <w:jc w:val="both"/>
        <w:spacing w:after="0" w:line="249" w:lineRule="auto"/>
        <w:rPr>
          <w:sz w:val="20"/>
          <w:szCs w:val="20"/>
          <w:color w:val="auto"/>
        </w:rPr>
      </w:pPr>
      <w:r>
        <w:rPr>
          <w:rFonts w:ascii="Times New Roman" w:cs="Times New Roman" w:eastAsia="Times New Roman" w:hAnsi="Times New Roman"/>
          <w:sz w:val="20"/>
          <w:szCs w:val="20"/>
          <w:color w:val="auto"/>
        </w:rPr>
        <w:t>Looking ahead, we expect current inflationary pressures, as well as labor availability in our Read operation, may continue to pressure our profitability, but the pricing actions implemented during fiscal 2022 have helped offset rising freight and material costs, as intended. We also expect profitability will be affected over the near-term by additional employee training costs and operating inefficiencies at our new Haiti cut and sew facility, as we continue training our labor force in order to ramp up production to meet customer demand.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and right of use assets.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July 31, 2022</w:t>
            </w: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August 1, 2021</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1, 2022</w:t>
            </w:r>
          </w:p>
        </w:tc>
      </w:tr>
      <w:tr>
        <w:trPr>
          <w:trHeight w:val="211"/>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12,430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16,992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12,361</w:t>
            </w:r>
          </w:p>
        </w:tc>
      </w:tr>
      <w:tr>
        <w:trPr>
          <w:trHeight w:val="213"/>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Inventory</w:t>
            </w:r>
          </w:p>
        </w:tc>
        <w:tc>
          <w:tcPr>
            <w:tcW w:w="26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27,278</w:t>
            </w:r>
          </w:p>
        </w:tc>
        <w:tc>
          <w:tcPr>
            <w:tcW w:w="24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26,835</w:t>
            </w:r>
          </w:p>
        </w:tc>
        <w:tc>
          <w:tcPr>
            <w:tcW w:w="2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27,529</w:t>
            </w:r>
          </w:p>
        </w:tc>
      </w:tr>
      <w:tr>
        <w:trPr>
          <w:trHeight w:val="21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6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2,271</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1,650</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2,030</w:t>
            </w:r>
          </w:p>
        </w:tc>
      </w:tr>
      <w:tr>
        <w:trPr>
          <w:trHeight w:val="213"/>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26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7,520</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5,984</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8,124</w:t>
            </w:r>
          </w:p>
        </w:tc>
      </w:tr>
      <w:tr>
        <w:trPr>
          <w:trHeight w:val="209"/>
        </w:trPr>
        <w:tc>
          <w:tcPr>
            <w:tcW w:w="4380" w:type="dxa"/>
            <w:vAlign w:val="bottom"/>
            <w:tcBorders>
              <w:bottom w:val="single" w:sz="8" w:color="auto"/>
            </w:tcBorders>
            <w:shd w:val="clear" w:color="auto" w:fill="CFF0FC"/>
          </w:tcPr>
          <w:p>
            <w:pPr>
              <w:spacing w:after="0"/>
              <w:rPr>
                <w:sz w:val="18"/>
                <w:szCs w:val="18"/>
                <w:color w:val="auto"/>
              </w:rPr>
            </w:pPr>
          </w:p>
        </w:tc>
        <w:tc>
          <w:tcPr>
            <w:tcW w:w="2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49,499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51,461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50,044</w:t>
            </w:r>
          </w:p>
        </w:tc>
      </w:tr>
    </w:tbl>
    <w:p>
      <w:pPr>
        <w:spacing w:after="0" w:line="342" w:lineRule="exact"/>
        <w:rPr>
          <w:sz w:val="20"/>
          <w:szCs w:val="20"/>
          <w:color w:val="auto"/>
        </w:rPr>
      </w:pPr>
    </w:p>
    <w:p>
      <w:pPr>
        <w:ind w:right="1780"/>
        <w:spacing w:after="0" w:line="422" w:lineRule="auto"/>
        <w:rPr>
          <w:sz w:val="20"/>
          <w:szCs w:val="20"/>
          <w:color w:val="auto"/>
        </w:rPr>
      </w:pPr>
      <w:r>
        <w:rPr>
          <w:rFonts w:ascii="Times New Roman" w:cs="Times New Roman" w:eastAsia="Times New Roman" w:hAnsi="Times New Roman"/>
          <w:sz w:val="20"/>
          <w:szCs w:val="20"/>
          <w:color w:val="auto"/>
        </w:rPr>
        <w:t xml:space="preserve">Refer to Note 11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As of July 31, 2022, accounts receivable decreased by $4.6 million, or 26.8%, compared with August 1, 2021. This trend reflects the significant decrease in net sales during the first quarter of fiscal 2023 compared with the first quarter of fiscal 2022, as described in the </w:t>
      </w:r>
      <w:r>
        <w:rPr>
          <w:rFonts w:ascii="Times New Roman" w:cs="Times New Roman" w:eastAsia="Times New Roman" w:hAnsi="Times New Roman"/>
          <w:sz w:val="20"/>
          <w:szCs w:val="20"/>
          <w:i w:val="1"/>
          <w:iCs w:val="1"/>
          <w:color w:val="auto"/>
        </w:rPr>
        <w:t>Net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Sales </w:t>
      </w:r>
      <w:r>
        <w:rPr>
          <w:rFonts w:ascii="Times New Roman" w:cs="Times New Roman" w:eastAsia="Times New Roman" w:hAnsi="Times New Roman"/>
          <w:sz w:val="20"/>
          <w:szCs w:val="20"/>
          <w:color w:val="auto"/>
        </w:rPr>
        <w:t>section above. In addition, we experienced faster cash collections with a significant customer during the first quarter of fiscal 2023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compared with the first quarter of fiscal 2022, which led to a decline in days’ sales outstanding to 30 days for the first quarter of fiscal 2023, as compared with 38 days during the first quarter of fiscal 2022.</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of July 31, 2022, accounts receivable was comparable with May 1, 2022. This trend reflects the significant increase in net sales related to our upholstery fabrics operations located in China, as the mandated COVID-19 related shutdowns were lifted during the first quarter of fiscal 2023. Net sales for the upholstery fabrics segment were $33.2 million during the first quarter of fiscal 2023, an increase of $6.1 million or 22.4%, compared with net sales of $27.2 million during the fourth quarter of fiscal 2022. The increase in accounts receivable attributable to this increase in net sales was offset by faster cash collections with a significant customer during the first quarter of fiscal 2023, as compared with the fourth quarter of fiscal 2022. This led to a decline in days’ sales outstanding to 30 days for the first quarter of fiscal 2023, as compared with 40 days for the fourth quarter of fiscal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July 31, 2022, inventory levels were comparable with August 1, 2021, and May 1, 2022. This trend reflects management’s ability to maintain a consistent level of inventory, taking into account (i) current and expected future demand trends, (ii) potential future global supply chain disruptions, (iii) rising material costs, and (iv) potential additional COVID-19 related shutdowns mandated by the Chinese government in the future.</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3.8 for the first quarter of fiscal 2023, compared with 4.9 for the first quarter of fiscal 2022 and 3.0 for the fourth quarter of fiscal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$2.3 million as of July 31, 2022, represents property, plant, and equipment of $1.1 million, $988,000, and $232,000 located in the U.S., Haiti, and China, respectively. The $1.7 million as of August 1, 2021, represents property, plant, and equipment of $1.1 million, $400,000, and $130,000 located in the U.S., China, and Haiti, respectively. The $2.0 million as of May 1, 2022, represents property, plant, and equipment of $1.0 million, $756,000, and $255,000 located in the U.S., Haiti, and China, respectively.</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July 31, 2022, property, plant, and equipment increased compared with August 1, 2021, and May 1, 2022, due to the start-up and subsequent increase in production at our new upholstery cut and sew operation located in Haiti that commenced during the third quarter of fiscal 2022.</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$7.5 million as of July 31, 2022, represents right of use assets of $3.4 million, $2.5 million, and $1.6 million located in China, Haiti, and the U.S., respectively. The $6.0 million as of August 1, 2021, represents right of use assets of $4.6 million and $1.4 million located in China and the U.S., respectively. The $8.1 million as of May 1, 2022, represents right of use assets of $3.7 million, $2.6 million, and $1.8 million located in China, Haiti, and the U.S., respectively.</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July 31, 2022, our right of use assets increased $1.5 million, or 25.7%, compared with August 1, 2021. This increase represents our agreement to lease a 90,000 square foot facility located in Haiti that commenced during the third quarter of fiscal 2022, partially offset by rent expense recognized over the term of the respective lease agreements associated with our entire upholstery fabrics segment.</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July 31, 2022, our right of use assets decreased $604,0000, or 7.4%, compared with May 1, 2022, due to rent expense recognized over the term of the respective lease agreements associated with our entire upholstery fabrics segment.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Income Statement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0" w:type="dxa"/>
            <w:vAlign w:val="bottom"/>
            <w:gridSpan w:val="3"/>
          </w:tcPr>
          <w:p>
            <w:pPr>
              <w:jc w:val="right"/>
              <w:ind w:right="939"/>
              <w:spacing w:after="0"/>
              <w:rPr>
                <w:sz w:val="20"/>
                <w:szCs w:val="20"/>
                <w:color w:val="auto"/>
              </w:rPr>
            </w:pPr>
            <w:r>
              <w:rPr>
                <w:rFonts w:ascii="Times New Roman" w:cs="Times New Roman" w:eastAsia="Times New Roman" w:hAnsi="Times New Roman"/>
                <w:sz w:val="16"/>
                <w:szCs w:val="16"/>
                <w:color w:val="auto"/>
              </w:rPr>
              <w:t>Three Months Ended</w:t>
            </w:r>
          </w:p>
        </w:tc>
        <w:tc>
          <w:tcPr>
            <w:tcW w:w="1500" w:type="dxa"/>
            <w:vAlign w:val="bottom"/>
          </w:tcPr>
          <w:p>
            <w:pPr>
              <w:spacing w:after="0"/>
              <w:rPr>
                <w:sz w:val="18"/>
                <w:szCs w:val="18"/>
                <w:color w:val="auto"/>
              </w:rPr>
            </w:pPr>
          </w:p>
        </w:tc>
      </w:tr>
      <w:tr>
        <w:trPr>
          <w:trHeight w:val="21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July 31, 2022</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August 1, 2021</w:t>
            </w:r>
          </w:p>
        </w:tc>
        <w:tc>
          <w:tcPr>
            <w:tcW w:w="15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 Change</w:t>
            </w:r>
          </w:p>
        </w:tc>
      </w:tr>
      <w:tr>
        <w:trPr>
          <w:trHeight w:val="213"/>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2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8,866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9,181</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72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tcPr>
          <w:p>
            <w:pPr>
              <w:spacing w:after="0"/>
              <w:rPr>
                <w:sz w:val="18"/>
                <w:szCs w:val="18"/>
                <w:color w:val="auto"/>
              </w:rPr>
            </w:pPr>
          </w:p>
        </w:tc>
        <w:tc>
          <w:tcPr>
            <w:tcW w:w="14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74</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r>
      <w:tr>
        <w:trPr>
          <w:trHeight w:val="216"/>
        </w:trPr>
        <w:tc>
          <w:tcPr>
            <w:tcW w:w="40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27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w:t>
            </w:r>
          </w:p>
        </w:tc>
        <w:tc>
          <w:tcPr>
            <w:tcW w:w="2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237</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w:t>
            </w: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decrease in selling, general, and administrative expenses during the first quarter of fiscal 2023, as compared with the first quarter of fiscal 2022, is due mostly to lower incentive compensation expense, reflecting weaker financial results for the company in relation to pre-established targets.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decrease in interest income for the first quarter of fiscal 2023, as compared to the first quarter of fiscal 2022, is mostly due to the liquidation of all of our remaining short-term investments classified as available-for-sale and corporate bond investments classified as held-to-maturity during the fourth quarter of fiscal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Expense</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 is required to assess certain economic factors to determine the currency of the primary economic environment in which our foreign subsidiaries operate. Based on our assessments, the U.S. dollar was determined to be the functional currency of our operations located in China and Canada.</w:t>
      </w:r>
    </w:p>
    <w:p>
      <w:pPr>
        <w:spacing w:after="0" w:line="1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decrease in other expense during the first quarter of fiscal 2023, as compared with the first quarter of fiscal 2022, is due mostly to more favorable foreign currency exchange rates applied against balance sheet accounts denominated in Chinese Renminbi to determine the corresponding U.S. dollar financial reporting amounts. During the first quarter of fiscal 2023, we reported a foreign exchange gain associated with our operations located in China of $182,000, compared with a $(9,000) foreign exchange loss reported for the first quarter of fiscal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 &amp; Income Tax Expense</w:t>
      </w:r>
    </w:p>
    <w:p>
      <w:pPr>
        <w:spacing w:after="0" w:line="17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We recorded income tax expense of $896,000, or (18.7%) of loss before income taxes, for the three-month period ending July 31, 2022, compared with income tax expense of $905,000, or 28.7% of income before income taxes, for the three-month period ending August 1, 2021.</w:t>
      </w:r>
    </w:p>
    <w:p>
      <w:pPr>
        <w:spacing w:after="0" w:line="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effective income tax rates for the three-month periods ended July 31, 2022, and August 1, 2021, were based upon the estimated effective income tax rate applicable for the full year after giving effect to any significant items related specifically to interim periods. When calculating the annual estimated effective income tax rate for the three-month periods ended July 31, 2022, and August 1, 2021, we were subject to loss limitation rules. These loss limitation rules require any taxable loss associated with our U.S. or foreign operations to be excluded from the annual estimated effective income tax rate calculation if it was determined that no tax benefit could be recognized during the current fiscal year. The effective income tax rate can be affected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33" w:name="page34"/>
    <w:bookmarkEnd w:id="33"/>
    <w:p>
      <w:pPr>
        <w:jc w:val="both"/>
        <w:spacing w:after="0" w:line="269" w:lineRule="auto"/>
        <w:rPr>
          <w:sz w:val="20"/>
          <w:szCs w:val="20"/>
          <w:color w:val="auto"/>
        </w:rPr>
      </w:pPr>
      <w:r>
        <w:rPr>
          <w:rFonts w:ascii="Times New Roman" w:cs="Times New Roman" w:eastAsia="Times New Roman" w:hAnsi="Times New Roman"/>
          <w:sz w:val="20"/>
          <w:szCs w:val="20"/>
          <w:color w:val="auto"/>
        </w:rPr>
        <w:t>over the fiscal year by the mix and timing of actual earnings from our U.S. operations and foreign subsidiaries located in China, Canada, and Haiti versus annual projections, as well as changes in foreign currency exchange rates in relation to the U.S. dollar.</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at the U.S. federal income tax rate and the effective income tax rate reflected in the consolidated financial statements for the three-month periods ending July 31, 2022, and August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20" w:type="dxa"/>
            <w:vAlign w:val="bottom"/>
          </w:tcPr>
          <w:p>
            <w:pPr>
              <w:spacing w:after="0"/>
              <w:rPr>
                <w:sz w:val="18"/>
                <w:szCs w:val="18"/>
                <w:color w:val="auto"/>
              </w:rPr>
            </w:pPr>
          </w:p>
        </w:tc>
        <w:tc>
          <w:tcPr>
            <w:tcW w:w="4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Three Months Ended</w:t>
            </w:r>
          </w:p>
        </w:tc>
        <w:tc>
          <w:tcPr>
            <w:tcW w:w="1180" w:type="dxa"/>
            <w:vAlign w:val="bottom"/>
          </w:tcPr>
          <w:p>
            <w:pPr>
              <w:spacing w:after="0"/>
              <w:rPr>
                <w:sz w:val="18"/>
                <w:szCs w:val="18"/>
                <w:color w:val="auto"/>
              </w:rPr>
            </w:pPr>
          </w:p>
        </w:tc>
      </w:tr>
      <w:tr>
        <w:trPr>
          <w:trHeight w:val="219"/>
        </w:trPr>
        <w:tc>
          <w:tcPr>
            <w:tcW w:w="592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rPr>
              <w:t>July 31, 2022</w:t>
            </w: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August 1, 2021</w:t>
            </w:r>
          </w:p>
        </w:tc>
      </w:tr>
      <w:tr>
        <w:trPr>
          <w:trHeight w:val="21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41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rPr>
              <w:t>21.0%</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U.S. valuation allowance</w:t>
            </w:r>
          </w:p>
        </w:tc>
        <w:tc>
          <w:tcPr>
            <w:tcW w:w="41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(35.4)</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r>
      <w:tr>
        <w:trPr>
          <w:trHeight w:val="21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41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rPr>
              <w:t>(5.0)</w:t>
            </w:r>
          </w:p>
        </w:tc>
        <w:tc>
          <w:tcPr>
            <w:tcW w:w="11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4.7</w:t>
            </w:r>
          </w:p>
        </w:tc>
      </w:tr>
      <w:tr>
        <w:trPr>
          <w:trHeight w:val="21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414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rPr>
              <w:t>2.7</w:t>
            </w: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41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rPr>
              <w:t>(2.1)</w:t>
            </w:r>
          </w:p>
        </w:tc>
        <w:tc>
          <w:tcPr>
            <w:tcW w:w="11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Global Intangible Low Taxed Income Tax ("GILTI")</w:t>
            </w:r>
          </w:p>
        </w:tc>
        <w:tc>
          <w:tcPr>
            <w:tcW w:w="414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w:t>
            </w:r>
          </w:p>
        </w:tc>
      </w:tr>
      <w:tr>
        <w:trPr>
          <w:trHeight w:val="216"/>
        </w:trPr>
        <w:tc>
          <w:tcPr>
            <w:tcW w:w="5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414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rPr>
              <w:t>0.1</w:t>
            </w:r>
          </w:p>
        </w:tc>
        <w:tc>
          <w:tcPr>
            <w:tcW w:w="11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r>
      <w:tr>
        <w:trPr>
          <w:trHeight w:val="210"/>
        </w:trPr>
        <w:tc>
          <w:tcPr>
            <w:tcW w:w="59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rPr>
              <w:t>(18.7)%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consolidated effective income tax rate during the first quarter of fiscal 2023 was much more negatively affected by the mix of earnings between our U.S. operations and foreign subsidiaries, in comparison with the first quarter of fiscal 2022. During the first quarter of fiscal 2023, we incurred a significant pre-tax loss from our U.S. operations, and therefore, a significant income tax benefit was not recognized due to a full valuation being applied against our U.S. net deferred income tax assets. In addition, all of our taxable income in the first quarter of fiscal 2023 was earned by our foreign operations located in China and Canada, which have higher income tax rates than the U.S. In comparison, our U.S. operations earned a level of pre-tax income during the first quarter of fiscal 2022 that did not have a significant effect on our full valuation allowance or our consolidated effective income tax rate.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Valuation Allowance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July 31, 2022, we evaluated the realizability of our U.S. net deferred income tax assets to determine if a full valuation allowance was required. Based on our assessment, we determined we still have a recent history of significant cumulative U.S. taxable losses, in that we experienced U.S. taxable losses during each of the fiscal years 2020 through 2022, and we are currently expecting significant U.S. pre-tax losses to continue during fiscal 2023. As a result of the significant weight of this negative evidence, we believe it is more likely than not that our U.S. deferred income tax assets will not be fully realizable, and therefore we provided for a full valuation allowance against our U.S. net deferred income tax assets.</w:t>
      </w:r>
    </w:p>
    <w:p>
      <w:pPr>
        <w:spacing w:after="0" w:line="19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Based on our assessments as of July 31, 2022, August 1, 2021, and May 1, 2022, valuation allowances against our net deferred income tax assets pertain to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July 31, 2022</w:t>
            </w: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August 1, 2021</w:t>
            </w: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May 1, 2022</w:t>
            </w:r>
          </w:p>
        </w:tc>
      </w:tr>
      <w:tr>
        <w:trPr>
          <w:trHeight w:val="211"/>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11,006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9,221</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9,527</w:t>
            </w:r>
          </w:p>
        </w:tc>
      </w:tr>
      <w:tr>
        <w:trPr>
          <w:trHeight w:val="213"/>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18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2,330</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2,330</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2,330</w:t>
            </w:r>
          </w:p>
        </w:tc>
      </w:tr>
      <w:tr>
        <w:trPr>
          <w:trHeight w:val="210"/>
        </w:trPr>
        <w:tc>
          <w:tcPr>
            <w:tcW w:w="506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13,336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11,551</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11,857</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Refer to Note 12 of the consolidated financial statements for disclosures regarding our assessments of our recorded deferred income tax liability balances associated with undistributed earnings from our foreign subsidiaries as of July 31, 2022, August 1, 2021, and May 1, 2022,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12 located of the consolidated financial statements for disclosures regarding our assessments of our uncertain income tax positions as of July 31, 2022, August 1, 2021, and May 1, 2022, respectively.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i w:val="1"/>
          <w:iCs w:val="1"/>
          <w:color w:val="auto"/>
        </w:rPr>
        <w:t>Income Taxes Paid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taxes paid by jurisdiction: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Three Months</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Ended</w:t>
            </w: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July 31,</w:t>
            </w: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70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August 1,</w:t>
            </w:r>
          </w:p>
        </w:tc>
        <w:tc>
          <w:tcPr>
            <w:tcW w:w="0" w:type="dxa"/>
            <w:vAlign w:val="bottom"/>
          </w:tcPr>
          <w:p>
            <w:pPr>
              <w:spacing w:after="0"/>
              <w:rPr>
                <w:sz w:val="1"/>
                <w:szCs w:val="1"/>
                <w:color w:val="auto"/>
              </w:rPr>
            </w:pPr>
          </w:p>
        </w:tc>
      </w:tr>
      <w:tr>
        <w:trPr>
          <w:trHeight w:val="235"/>
        </w:trPr>
        <w:tc>
          <w:tcPr>
            <w:tcW w:w="6560" w:type="dxa"/>
            <w:vAlign w:val="bottom"/>
            <w:tcBorders>
              <w:bottom w:val="single" w:sz="8" w:color="CFF0FC"/>
            </w:tcBorders>
            <w:vMerge w:val="continue"/>
          </w:tcPr>
          <w:p>
            <w:pPr>
              <w:spacing w:after="0"/>
              <w:rPr>
                <w:sz w:val="20"/>
                <w:szCs w:val="20"/>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2022</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China - Income Taxes</w:t>
            </w:r>
          </w:p>
        </w:tc>
        <w:tc>
          <w:tcPr>
            <w:tcW w:w="108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46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921</w:t>
            </w:r>
          </w:p>
        </w:tc>
        <w:tc>
          <w:tcPr>
            <w:tcW w:w="0" w:type="dxa"/>
            <w:vAlign w:val="bottom"/>
          </w:tcPr>
          <w:p>
            <w:pPr>
              <w:spacing w:after="0"/>
              <w:rPr>
                <w:sz w:val="1"/>
                <w:szCs w:val="1"/>
                <w:color w:val="auto"/>
              </w:rPr>
            </w:pPr>
          </w:p>
        </w:tc>
      </w:tr>
      <w:tr>
        <w:trPr>
          <w:trHeight w:val="202"/>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China - Withholding Taxes Associated With</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Earnings and Profits Distributed to the U.S.</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Canada - Income Taxes</w:t>
            </w:r>
          </w:p>
        </w:tc>
        <w:tc>
          <w:tcPr>
            <w:tcW w:w="10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46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09"/>
        </w:trPr>
        <w:tc>
          <w:tcPr>
            <w:tcW w:w="656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4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1,688</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Future Liquidity</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are currently projecting annual cash income tax payments of approximately $2.8 million for fiscal 2023, compared with $3.1 million for fiscal 2022. These estimated payments are management’s current projections only and can be affected over the year by actual earnings from our foreign subsidiaries located in China and Canada versus annual projections, changes in the foreign exchange rates associated with our China operations in relation to the U.S. dollar, and the timing of when significant capital projects will be placed into service, which determines the deductibility of accelerated depreciation.</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Additionally, we currently expect to pay minimal income taxes in the U.S. on a cash basis during fiscal 2023 due to the immediate expensing of U.S. capital expenditures and our existing U.S. federal net operating loss carryforwards that totaled $23.7 million as of May 1, 2022, which are expected to increase as a result of the significant U.S. loss carryforward expected to be generated during fiscal 2023.</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addition, in accordance with the 2017 Tax Cuts and Jobs Act (“TCJA”), we will be required to pay annual U.S. federal transition tax payments as follows: FY 2023 - $264,000; FY 2024 - $499,000; FY 2025 - $665,000; and FY 2026 - $831,000.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Currently, our sources of liquidity include cash, cash flow from operations, and amounts available under our revolving credit lines. We believe our cash of $18.9 million as of July 31, 2022, cash flow from operations, and the current availability under our revolving credit lines (Refer to Note 8 of the consolidated financial statements for further details) will be sufficient to fund our foreseeable business needs, commitments, and our contractual obligations.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July 31, 2022, our cash totaled $18.9 million, an increase of $4.3 million, compared with $14.6 million as of May 1, 2022. This increase was mostly due to (i) $5.3 million in net cash provided by operating activities, partially offset by (ii) capital expenditures totaling $711,000.</w:t>
      </w:r>
    </w:p>
    <w:p>
      <w:pPr>
        <w:spacing w:after="0" w:line="1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net cash provided by operating activities was $5.3 million during the first quarter of fiscal 2023, an increase of $3.7 million, compared with net cash provided by operating activities of $1.6 million during the first quarter of fiscal 2022. This trend primarily reflects (i) an increase in accounts payable that primarily related to our upholstery fabrics operations located in China, as the mandated COVID-19 related shutdowns were lifted during the first quarter of fiscal 2023; and (ii) annual incentive payments made during the first quarter of fiscal 2022 that did not recur during the first quarter of fiscal 2023, partially offset by (iii) a decrease in net cash earnings during the first quarter of fiscal 2023 compared with the first quarter of fiscal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July 31, 2022, there were no outstanding borrowings under our lines of credit.</w:t>
      </w:r>
    </w:p>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The income taxes we pay also affect our liquidity. See the above section titled </w:t>
      </w:r>
      <w:r>
        <w:rPr>
          <w:rFonts w:ascii="Times New Roman" w:cs="Times New Roman" w:eastAsia="Times New Roman" w:hAnsi="Times New Roman"/>
          <w:sz w:val="20"/>
          <w:szCs w:val="20"/>
          <w:i w:val="1"/>
          <w:iCs w:val="1"/>
          <w:color w:val="auto"/>
        </w:rPr>
        <w:t>“Income Taxes Paid”</w:t>
      </w:r>
      <w:r>
        <w:rPr>
          <w:rFonts w:ascii="Times New Roman" w:cs="Times New Roman" w:eastAsia="Times New Roman" w:hAnsi="Times New Roman"/>
          <w:sz w:val="20"/>
          <w:szCs w:val="20"/>
          <w:color w:val="auto"/>
        </w:rPr>
        <w:t xml:space="preserve"> of this Item 7 – MANAGEMENT’S DISCUSSION AND ANALYSIS OF FINANCIAL CONDITION for further detail.</w:t>
      </w:r>
    </w:p>
    <w:p>
      <w:pPr>
        <w:spacing w:after="0" w:line="15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Our cash balance may be adversely affected by factors beyond our control, such as (i) recent customer demand trends, (ii) supply chain disruptions, (iii) rising interest rates and inflation, (iv) world events (including the Russian-Ukraine war), and (v) the continuing uncertainty associated with COVID-19. These factors could cause delays in receipt of payment on accounts receivable and could increase inventory purchases to protect against supply chain disruptions and inflation.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i w:val="1"/>
          <w:iCs w:val="1"/>
          <w:color w:val="auto"/>
        </w:rPr>
        <w:t>By Geographic Area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our cash and investments by geographic area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(1)</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3"/>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9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July 31, 2022</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August 1, 2021</w:t>
            </w:r>
          </w:p>
        </w:tc>
        <w:tc>
          <w:tcPr>
            <w:tcW w:w="118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May 1, 2022</w:t>
            </w:r>
          </w:p>
        </w:tc>
      </w:tr>
      <w:tr>
        <w:trPr>
          <w:trHeight w:val="212"/>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11,552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35,727</w:t>
            </w:r>
          </w:p>
        </w:tc>
        <w:tc>
          <w:tcPr>
            <w:tcW w:w="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4,430</w:t>
            </w:r>
          </w:p>
        </w:tc>
      </w:tr>
      <w:tr>
        <w:trPr>
          <w:trHeight w:val="21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China</w:t>
            </w:r>
          </w:p>
        </w:tc>
        <w:tc>
          <w:tcPr>
            <w:tcW w:w="294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5,323</w:t>
            </w:r>
          </w:p>
        </w:tc>
        <w:tc>
          <w:tcPr>
            <w:tcW w:w="2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5,864</w:t>
            </w:r>
          </w:p>
        </w:tc>
        <w:tc>
          <w:tcPr>
            <w:tcW w:w="4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9,502</w:t>
            </w:r>
          </w:p>
        </w:tc>
      </w:tr>
      <w:tr>
        <w:trPr>
          <w:trHeight w:val="21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Canada</w:t>
            </w:r>
          </w:p>
        </w:tc>
        <w:tc>
          <w:tcPr>
            <w:tcW w:w="29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1,545</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2,031</w:t>
            </w: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267</w:t>
            </w:r>
          </w:p>
        </w:tc>
      </w:tr>
      <w:tr>
        <w:trPr>
          <w:trHeight w:val="21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Haiti</w:t>
            </w:r>
          </w:p>
        </w:tc>
        <w:tc>
          <w:tcPr>
            <w:tcW w:w="294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445</w:t>
            </w:r>
          </w:p>
        </w:tc>
        <w:tc>
          <w:tcPr>
            <w:tcW w:w="2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416</w:t>
            </w:r>
          </w:p>
        </w:tc>
        <w:tc>
          <w:tcPr>
            <w:tcW w:w="4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341</w:t>
            </w:r>
          </w:p>
        </w:tc>
      </w:tr>
      <w:tr>
        <w:trPr>
          <w:trHeight w:val="216"/>
        </w:trPr>
        <w:tc>
          <w:tcPr>
            <w:tcW w:w="4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Cayman Islands</w:t>
            </w:r>
          </w:p>
        </w:tc>
        <w:tc>
          <w:tcPr>
            <w:tcW w:w="29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c>
          <w:tcPr>
            <w:tcW w:w="4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4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18,874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44,049</w:t>
            </w:r>
          </w:p>
        </w:tc>
        <w:tc>
          <w:tcPr>
            <w:tcW w:w="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14,550</w:t>
            </w:r>
          </w:p>
        </w:tc>
      </w:tr>
    </w:tbl>
    <w:p>
      <w:pPr>
        <w:spacing w:after="0" w:line="342" w:lineRule="exact"/>
        <w:rPr>
          <w:sz w:val="20"/>
          <w:szCs w:val="20"/>
          <w:color w:val="auto"/>
        </w:rPr>
      </w:pPr>
    </w:p>
    <w:p>
      <w:pPr>
        <w:jc w:val="both"/>
        <w:ind w:left="360" w:hanging="352"/>
        <w:spacing w:after="0" w:line="254" w:lineRule="auto"/>
        <w:tabs>
          <w:tab w:leader="none" w:pos="3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balance as of August 1, 2021, includes short-term investments classified as available-for-sale and short-term and long-term investments classified as held-to-maturity that were liquidated in their entirety during the fourth quarter of fiscal 2022, and therefore, the total balances as of July 31, 2022, and May 1, 2022, solely represent cash.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Repurchase Program</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first quarter of fiscal 2023, we did not purchase any shares of our common stock. As a result, as of July 31, 2022, $3.2 million is available for additional repurchases of our common stock. Despite the current share repurchase authorization, the company does not expect to repurchase any shares through at least the second quarter of fiscal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first quarter of fiscal 2022, we repurchased 48,686 shares of common stock at a cost of $723,000.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 Program</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June 29, 2022, our board of directors announced the decision to suspend the company’s quarterly cash dividend. Considering the current and expected macroeconomic conditions, we believe that preserving capital and managing our liquidity is in the company’s best interest to support future growth and the long-term interests of our shareholders. Accordingly, we did not make any dividend payments during the first quarter of fiscal 2023.</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first quarter of fiscal 2022, dividend payments totaled $1.4 million, which represented a quarterly cash dividend payment of $0.11 per share.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board of directors has sole authority to determine if and when we will declare future dividends, and on what terms. We will continue to reassess our dividend policy each quarter. Future dividend payments will depend on our earnings, capital requirements, financial condition, excess availability under our lines of credit, market and economic conditions, and other factors we consider relevant.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Working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Working Capital</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Operating working capital (accounts receivable and inventories, less accounts payable-trade, accounts payable-capital expenditures, and deferred revenue) was $57.8 million as of July 31, 2022, compared with $47.6 million as of August 1, 2021, and $67.7 million as of May 1, 2022. Operating working capital turnover was 4.7 during the first quarter of fiscal 2023, compared with 6.9 during the first quarter of fiscal 2022 and 5.2 during the fourth quarter of fiscal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Receivable</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Accounts receivable were $24.8 million as of July 31, 2022, a decrease of $10.2 million, or 29.1%, compared with $35.0 million as of August 1, 2021. This trend reflects the significant decrease in net sales during the first quarter of fiscal 2023 as compared with the first quarter of fiscal 2022. Net sales were $62.6 million during the first quarter of fiscal 2023, a decrease of $20.4 million, or 24.6%, compared with net sales of $83.1 million during the first quarter of fiscal 2022. In addition, we experienced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36" w:name="page37"/>
    <w:bookmarkEnd w:id="36"/>
    <w:p>
      <w:pPr>
        <w:jc w:val="both"/>
        <w:spacing w:after="0" w:line="254" w:lineRule="auto"/>
        <w:rPr>
          <w:sz w:val="20"/>
          <w:szCs w:val="20"/>
          <w:color w:val="auto"/>
        </w:rPr>
      </w:pPr>
      <w:r>
        <w:rPr>
          <w:rFonts w:ascii="Times New Roman" w:cs="Times New Roman" w:eastAsia="Times New Roman" w:hAnsi="Times New Roman"/>
          <w:sz w:val="20"/>
          <w:szCs w:val="20"/>
          <w:color w:val="auto"/>
        </w:rPr>
        <w:t>faster cash collections with a significant customer associated with our upholstery fabrics segment during the first quarter of fiscal 2023, as compared with the first quarter of fiscal 2022, which led to a decline in days’ sales outstanding to 34 days for the first quarter of fiscal 2023, compared with 38 days during the first quarter of fiscal 2022.</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Accounts receivable were $24.8 million as of July 31, 2022, an increase of $2.6 million, or 11.6%, compared with $22.2 million as of May 1, 2022. This trend reflects an increase in net sales during the first quarter of fiscal 2023 as compared with the fourth quarter of fiscal 2022. Net sales were $62.6 million during the first quarter of fiscal 2023, an increase of $5.7 million, or 10.0%, compared with net sales of $56.9 million during the fourth quarter of fiscal 2022. Days’ sales outstanding was 34 days for the first quarter of fiscal 2023, compared with 35 days for the fourth quarter of fiscal 2022.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Inventory was $63.7 million as of July 31, 2022, an increase of $5.1 million, or 8.8%, compared with $58.6 million as of August 1, 2021. This increase pertains to our mattress fabrics segment and stems from higher raw material costs, as well as an increase in inventory purchases during the second and third quarters of fiscal 2022 to protect against supply chain disruptions and support our customers.</w:t>
      </w:r>
    </w:p>
    <w:p>
      <w:pPr>
        <w:spacing w:after="0" w:line="1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Inventories as of July 31, 2022, decreased by $2.8 million, or 4.2%, compared with $66.6 million as of May 1, 2022. This decrease is associated with our mattress fabrics segment and represents management’s focus on obtaining a consistent level of inventory, taking into account (i) current and expected future demand trends, (ii) potential future global supply chain disruptions, and (iii) rising raw material costs.</w:t>
      </w:r>
    </w:p>
    <w:p>
      <w:pPr>
        <w:spacing w:after="0" w:line="1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3.6 for the first quarter of fiscal 2023, as compared with 4.9 for the first quarter of fiscal 2022 and 3.1 for the fourth quarter of fiscal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Trade</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Accounts payable - trade was $29.1 million as of July 31, 2022, a decrease of $16.2 million, or 35.7%, compared with $45.3 million as of August 1, 2021. This decrease mostly represents the significant decrease in net sales during the first quarter of fiscal 2023, as compared with the first quarter of fiscal 2022. Net sales were $62.6 million during the first quarter of fiscal 2023, a decrease of $20.4 million, or 24.6%, compared with net sales of $83.1 million during the first quarter of fiscal 2022.</w:t>
      </w:r>
    </w:p>
    <w:p>
      <w:pPr>
        <w:spacing w:after="0" w:line="1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Accounts payable - trade totaling $29.1 million as of July 31, 2022, increased by $9.0 million, or 44.8%, compared with $20.1 million as of May 1, 2022. This trend reflects the significant sequential increase in net sales related to our upholstery fabrics operations located in China during the first quarter of fiscal 2023, as the mandated COVID-19 related shutdowns that were in place during the fourth quarter of fiscal 2022 were lifted during the quarter. Net sales for the upholstery fabrics segment were $33.2 million during the first quarter of fiscal 2023, an increase of $6.1 million, or 22.4%, compared with net sales of $27.2 million during the fourth quarter of fiscal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Financing Arrangements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Currently, we have revolving credit agreements with banks for our U.S parent company and our operations located in China. The purposes of our revolving lines of credit are to support potential short-term cash needs in different jurisdictions, mitigate our risk associated with foreign currency exchange rate fluctuations, and ultimately repatriate earnings and profits from our foreign subsidiaries to our U.S. parent company to take advantage of the TCJA, which allows a U.S. corporation a 100% dividend received income tax deduction on earnings and profits repatriated to the U.S. from 10% owned foreign corporations.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July 31, 2022, we did not have any outstanding borrowings associated with our revolving credit agreements.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loan agreements require, among other things, that we maintain compliance with certain financial covenants. As of July 31, 2022, we were in compliance with these financial covenants.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8 of the consolidated financial statements for further disclosure regarding our revolving credit agreements.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Capital Expenditures and Depreciation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Capital expenditures on a cash basis were $711,000 during the first quarter of fiscal 2023, compared with $2.0 million for the same period a year ago. Capital expenditures on a cash basis during the first quarter of fiscal 2023 pertained to machinery and equipment associated with our new upholstery cut and sew operation located in Haiti, as well as our mattress fabrics facility located in Canada. Capital expenditures on a cash basis during the first quarter of fiscal 2022 mostly related to our mattress fabrics segment.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color w:val="auto"/>
        </w:rPr>
        <w:t>Depreciation expense was $1.8 million during the first quarter of fisca1 2023, compared with $1.7 million for the same period a year ago.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expense mostly related to our mattress fabrics segment for both periods.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Capital Expenditures</w:t>
      </w:r>
    </w:p>
    <w:p>
      <w:pPr>
        <w:spacing w:after="0" w:line="1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As of July 31, 2022, we had total amounts due regarding capital expenditures totaling $346,000 that pertained to outstanding vendor invoices, none of which were financed. The total amount outstanding of $346,000 is required to be paid based on normal credit terms.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Commitments – Capital Expenditures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July 31, 2022, we had open purchase commitments to acquire equipment for our mattress fabrics segment totaling $240,000.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Recent Accounting Developments</w:t>
      </w:r>
    </w:p>
    <w:p>
      <w:pPr>
        <w:spacing w:after="0" w:line="1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As of July 31, 2022, there were no changes in our significant accounting policies or the application of those policies from those reported in our annual report on Form 10-K for the year ended May 1, 2022.</w:t>
      </w:r>
    </w:p>
    <w:p>
      <w:pPr>
        <w:spacing w:after="0" w:line="13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Refer to Note 2 of the consolidated financial statements for recently adopted and issued accounting pronouncements, if any, since the filing of our Form 10-K for the year ended May 1,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17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There were no significant or new contractual obligations from those reported in our annual report on Form 10-K for the year ended May 1, 2022.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1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Any significant increase in our raw material costs, utility/energy costs, and general economic inflation could have a material adverse impact on the company, because competitive conditions have limited our ability to pass significant operating cost increases on to customers.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8" w:name="page39"/>
    <w:bookmarkEnd w:id="38"/>
    <w:p>
      <w:pPr>
        <w:spacing w:after="0"/>
        <w:tabs>
          <w:tab w:leader="none" w:pos="1320" w:val="left"/>
        </w:tabs>
        <w:rPr>
          <w:sz w:val="20"/>
          <w:szCs w:val="20"/>
          <w:color w:val="auto"/>
        </w:rPr>
      </w:pPr>
      <w:r>
        <w:rPr>
          <w:rFonts w:ascii="Times New Roman" w:cs="Times New Roman" w:eastAsia="Times New Roman" w:hAnsi="Times New Roman"/>
          <w:sz w:val="20"/>
          <w:szCs w:val="20"/>
          <w:u w:val="single" w:color="auto"/>
          <w:color w:val="auto"/>
        </w:rPr>
        <w:t>ITEM 3.</w:t>
      </w:r>
      <w:r>
        <w:rPr>
          <w:sz w:val="20"/>
          <w:szCs w:val="20"/>
          <w:color w:val="auto"/>
        </w:rPr>
        <w:tab/>
      </w:r>
      <w:r>
        <w:rPr>
          <w:rFonts w:ascii="Times New Roman" w:cs="Times New Roman" w:eastAsia="Times New Roman" w:hAnsi="Times New Roman"/>
          <w:sz w:val="19"/>
          <w:szCs w:val="19"/>
          <w:u w:val="single" w:color="auto"/>
          <w:color w:val="auto"/>
        </w:rPr>
        <w:t>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exposed to market risk from changes in interest rates with regards to our revolving credit agreements.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June 24, 2022, we entered into an amended and restated U.S. revolving credit agreement (“Amended Agreement”) that required interest to be charged at a rate (applicable interest rate of 2.88% as of July 31, 2022) calculated using an applicable margin over the Federal Reserve Bank of New York’s secured overnight fund rate (SOFR) as defined in the Amended Agreement. As of July 31, 2022, there were no outstanding borrowings under the Amended Agreement.</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revolving credit lines associated with our operations located in China bear interest at a rate determined by the Chinese government at the time of borrowing. As of July 31, 2022, there were no borrowings outstanding under our revolving credit agreements associated with our operations located in China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are exposed to market risk from changes in the value of foreign currencies for our subsidiaries domiciled in Canada and China. We try to maintain a natural hedge by keeping a balance of our assets and liabilities denominated in the local currency of our subsidiaries domiciled in Canada and China. However, there is no assurance that we will be able to continually maintain this natural hedge. Our foreign subsidiaries use the United States dollar as their functional currency. A substantial portion of the company’s imports purchased outside the United States are denominated in U.S. dollars. A 10% change in the above exchange rates as of July 31, 2022, would not have materially affected our results of operations or financial position.</w:t>
      </w:r>
    </w:p>
    <w:p>
      <w:pPr>
        <w:spacing w:after="0" w:line="15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u w:val="single" w:color="auto"/>
          <w:color w:val="auto"/>
        </w:rPr>
        <w:t>ITEM 4.</w:t>
      </w:r>
      <w:r>
        <w:rPr>
          <w:sz w:val="20"/>
          <w:szCs w:val="20"/>
          <w:color w:val="auto"/>
        </w:rPr>
        <w:tab/>
      </w:r>
      <w:r>
        <w:rPr>
          <w:rFonts w:ascii="Times New Roman" w:cs="Times New Roman" w:eastAsia="Times New Roman" w:hAnsi="Times New Roman"/>
          <w:sz w:val="19"/>
          <w:szCs w:val="19"/>
          <w:u w:val="single" w:color="auto"/>
          <w:color w:val="auto"/>
        </w:rPr>
        <w:t>CONTROLS AND PROCEDURES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July 31, 2022, we conducted an evaluation of the effectiveness of our disclosure controls and procedures, as defined in Rules 13a-15(e) and 15d-15(e) under the Securities Exchange Act of 1934, as amended (the “Exchange Act”). This evaluation was conducted under the supervision and with the participation of our management, including our Chief Executive Officer and Chief Financial Officer. Based upon that evaluation, our Chief Executive Officer and Chief Financial Officer concluded that these disclosure controls and procedures were effective as of such date, in all material respects, to ensure that information required to be disclosed in the reports filed by us and submitted under the Exchange Act, is recorded, processed, summarized, and reported as and when required, and that these disclosure controls and procedures were effective as of such date to ensure that information required to be disclosed in reports filed by us under the Exchange Act is accumulated and communicated to management, including our Chief Executive Officer and Chief Financial Officer, in a manner to allow timely decisions regarding the required disclosure.</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quarter ended July 31, 2022,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 II – Other Information</w:t>
      </w:r>
    </w:p>
    <w:p>
      <w:pPr>
        <w:spacing w:after="0" w:line="17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u w:val="single" w:color="auto"/>
          <w:color w:val="auto"/>
        </w:rPr>
        <w:t>Item 1.</w:t>
      </w:r>
      <w:r>
        <w:rPr>
          <w:sz w:val="20"/>
          <w:szCs w:val="20"/>
          <w:color w:val="auto"/>
        </w:rPr>
        <w:tab/>
      </w:r>
      <w:r>
        <w:rPr>
          <w:rFonts w:ascii="Times New Roman" w:cs="Times New Roman" w:eastAsia="Times New Roman" w:hAnsi="Times New Roman"/>
          <w:sz w:val="19"/>
          <w:szCs w:val="19"/>
          <w:u w:val="single" w:color="auto"/>
          <w:color w:val="auto"/>
        </w:rPr>
        <w:t>Legal Proceedings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legal proceedings during the three months ended July 31, 2022. Our legal proceedings are disclosed in the company’s annual report on Form 10-K filed with the Securities and Exchange Commission on July 15, 2022, for the fiscal year ended May 1, 2022.</w:t>
      </w:r>
    </w:p>
    <w:p>
      <w:pPr>
        <w:spacing w:after="0" w:line="13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u w:val="single" w:color="auto"/>
          <w:color w:val="auto"/>
        </w:rPr>
        <w:t>Item 1A.</w:t>
      </w:r>
      <w:r>
        <w:rPr>
          <w:sz w:val="20"/>
          <w:szCs w:val="20"/>
          <w:color w:val="auto"/>
        </w:rPr>
        <w:tab/>
      </w:r>
      <w:r>
        <w:rPr>
          <w:rFonts w:ascii="Times New Roman" w:cs="Times New Roman" w:eastAsia="Times New Roman" w:hAnsi="Times New Roman"/>
          <w:sz w:val="19"/>
          <w:szCs w:val="19"/>
          <w:u w:val="single" w:color="auto"/>
          <w:color w:val="auto"/>
        </w:rPr>
        <w:t>Risk Factors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risk factors during the three months ended July 31, 2022. Our risk factors are disclosed in Item 1A “Risk Factors” of the company’s annual report on Form 10-K filed with the Securities and Exchange Commission on July 15, 2022, for the fiscal year ended May 1, 2022.</w:t>
      </w:r>
    </w:p>
    <w:p>
      <w:pPr>
        <w:spacing w:after="0" w:line="14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u w:val="single" w:color="auto"/>
          <w:color w:val="auto"/>
        </w:rPr>
        <w:t>Item 2.</w:t>
      </w:r>
      <w:r>
        <w:rPr>
          <w:sz w:val="20"/>
          <w:szCs w:val="20"/>
          <w:color w:val="auto"/>
        </w:rPr>
        <w:tab/>
      </w:r>
      <w:r>
        <w:rPr>
          <w:rFonts w:ascii="Times New Roman" w:cs="Times New Roman" w:eastAsia="Times New Roman" w:hAnsi="Times New Roman"/>
          <w:sz w:val="19"/>
          <w:szCs w:val="19"/>
          <w:u w:val="single" w:color="auto"/>
          <w:color w:val="auto"/>
        </w:rPr>
        <w:t>Unregistered Sales of Equity Securities and Use of Proceeds</w:t>
      </w:r>
    </w:p>
    <w:p>
      <w:pPr>
        <w:spacing w:after="0" w:line="17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5640" w:type="dxa"/>
            <w:vAlign w:val="bottom"/>
            <w:tcBorders>
              <w:top w:val="single" w:sz="8" w:color="auto"/>
              <w:left w:val="single" w:sz="8" w:color="auto"/>
              <w:right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340" w:type="dxa"/>
            <w:vAlign w:val="bottom"/>
            <w:tcBorders>
              <w:top w:val="single" w:sz="8" w:color="auto"/>
              <w:right w:val="single" w:sz="8" w:color="auto"/>
            </w:tcBorders>
          </w:tcPr>
          <w:p>
            <w:pPr>
              <w:spacing w:after="0"/>
              <w:rPr>
                <w:sz w:val="21"/>
                <w:szCs w:val="21"/>
                <w:color w:val="auto"/>
              </w:rPr>
            </w:pPr>
          </w:p>
        </w:tc>
        <w:tc>
          <w:tcPr>
            <w:tcW w:w="1380" w:type="dxa"/>
            <w:vAlign w:val="bottom"/>
            <w:tcBorders>
              <w:top w:val="single" w:sz="8" w:color="auto"/>
              <w:right w:val="single" w:sz="8" w:color="auto"/>
            </w:tcBorders>
          </w:tcPr>
          <w:p>
            <w:pPr>
              <w:spacing w:after="0"/>
              <w:rPr>
                <w:sz w:val="21"/>
                <w:szCs w:val="21"/>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(d)</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Total Number of</w:t>
            </w:r>
          </w:p>
        </w:tc>
        <w:tc>
          <w:tcPr>
            <w:tcW w:w="220" w:type="dxa"/>
            <w:vAlign w:val="bottom"/>
          </w:tcPr>
          <w:p>
            <w:pPr>
              <w:spacing w:after="0"/>
              <w:rPr>
                <w:sz w:val="18"/>
                <w:szCs w:val="18"/>
                <w:color w:val="auto"/>
              </w:rPr>
            </w:pPr>
          </w:p>
        </w:tc>
        <w:tc>
          <w:tcPr>
            <w:tcW w:w="124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Approximate</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(a)</w:t>
            </w:r>
          </w:p>
        </w:tc>
        <w:tc>
          <w:tcPr>
            <w:tcW w:w="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Shares Purchased</w:t>
            </w:r>
          </w:p>
        </w:tc>
        <w:tc>
          <w:tcPr>
            <w:tcW w:w="220" w:type="dxa"/>
            <w:vAlign w:val="bottom"/>
          </w:tcPr>
          <w:p>
            <w:pPr>
              <w:spacing w:after="0"/>
              <w:rPr>
                <w:sz w:val="18"/>
                <w:szCs w:val="18"/>
                <w:color w:val="auto"/>
              </w:rPr>
            </w:pPr>
          </w:p>
        </w:tc>
        <w:tc>
          <w:tcPr>
            <w:tcW w:w="1240" w:type="dxa"/>
            <w:vAlign w:val="bottom"/>
            <w:tcBorders>
              <w:right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w w:val="99"/>
              </w:rPr>
              <w:t>Dollar Value of</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4"/>
              </w:rPr>
              <w:t>Total</w:t>
            </w:r>
          </w:p>
        </w:tc>
        <w:tc>
          <w:tcPr>
            <w:tcW w:w="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as Part of</w:t>
            </w:r>
          </w:p>
        </w:tc>
        <w:tc>
          <w:tcPr>
            <w:tcW w:w="14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Shares that May</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Number</w:t>
            </w:r>
          </w:p>
        </w:tc>
        <w:tc>
          <w:tcPr>
            <w:tcW w:w="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Average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Publicly</w:t>
            </w:r>
          </w:p>
        </w:tc>
        <w:tc>
          <w:tcPr>
            <w:tcW w:w="14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Yet Be Purchased</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of Shares</w:t>
            </w:r>
          </w:p>
        </w:tc>
        <w:tc>
          <w:tcPr>
            <w:tcW w:w="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Price Paid</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Announced Plans</w:t>
            </w:r>
          </w:p>
        </w:tc>
        <w:tc>
          <w:tcPr>
            <w:tcW w:w="14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Under the Plans or</w:t>
            </w:r>
          </w:p>
        </w:tc>
      </w:tr>
      <w:tr>
        <w:trPr>
          <w:trHeight w:val="219"/>
        </w:trPr>
        <w:tc>
          <w:tcPr>
            <w:tcW w:w="5640" w:type="dxa"/>
            <w:vAlign w:val="bottom"/>
            <w:tcBorders>
              <w:left w:val="single" w:sz="8" w:color="auto"/>
              <w:bottom w:val="single" w:sz="8" w:color="auto"/>
              <w:right w:val="single" w:sz="8" w:color="auto"/>
            </w:tcBorders>
          </w:tcPr>
          <w:p>
            <w:pPr>
              <w:ind w:left="2600"/>
              <w:spacing w:after="0"/>
              <w:rPr>
                <w:sz w:val="20"/>
                <w:szCs w:val="20"/>
                <w:color w:val="auto"/>
              </w:rPr>
            </w:pPr>
            <w:r>
              <w:rPr>
                <w:rFonts w:ascii="Times New Roman" w:cs="Times New Roman" w:eastAsia="Times New Roman" w:hAnsi="Times New Roman"/>
                <w:sz w:val="16"/>
                <w:szCs w:val="16"/>
                <w:color w:val="auto"/>
              </w:rPr>
              <w:t>Period</w:t>
            </w:r>
          </w:p>
        </w:tc>
        <w:tc>
          <w:tcPr>
            <w:tcW w:w="104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6"/>
                <w:szCs w:val="16"/>
                <w:color w:val="auto"/>
              </w:rPr>
              <w:t>Purchased</w:t>
            </w:r>
          </w:p>
        </w:tc>
        <w:tc>
          <w:tcPr>
            <w:tcW w:w="34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per Share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or Programs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w w:val="99"/>
              </w:rPr>
              <w:t>Programs (1)</w:t>
            </w:r>
          </w:p>
        </w:tc>
      </w:tr>
      <w:tr>
        <w:trPr>
          <w:trHeight w:val="210"/>
        </w:trPr>
        <w:tc>
          <w:tcPr>
            <w:tcW w:w="564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May 2, 2022 to June 4, 2022</w:t>
            </w:r>
          </w:p>
        </w:tc>
        <w:tc>
          <w:tcPr>
            <w:tcW w:w="10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3,248,094</w:t>
            </w:r>
          </w:p>
        </w:tc>
      </w:tr>
      <w:tr>
        <w:trPr>
          <w:trHeight w:val="210"/>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June 5, 2022 to July 3, 2022</w:t>
            </w: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3,248,094</w:t>
            </w:r>
          </w:p>
        </w:tc>
      </w:tr>
      <w:tr>
        <w:trPr>
          <w:trHeight w:val="209"/>
        </w:trPr>
        <w:tc>
          <w:tcPr>
            <w:tcW w:w="564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July 4, 2022 to July 31, 2022</w:t>
            </w:r>
          </w:p>
        </w:tc>
        <w:tc>
          <w:tcPr>
            <w:tcW w:w="10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3,248,094</w:t>
            </w:r>
          </w:p>
        </w:tc>
      </w:tr>
      <w:tr>
        <w:trPr>
          <w:trHeight w:val="20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3,248,094</w:t>
            </w:r>
          </w:p>
        </w:tc>
      </w:tr>
    </w:tbl>
    <w:p>
      <w:pPr>
        <w:spacing w:after="0" w:line="202"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2020, our board of directors approved an authorization for us to acquire up to $5.0 million of our common stock.</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0" w:name="page41"/>
    <w:bookmarkEnd w:id="40"/>
    <w:p>
      <w:pPr>
        <w:spacing w:after="0"/>
        <w:tabs>
          <w:tab w:leader="none" w:pos="1200" w:val="left"/>
        </w:tabs>
        <w:rPr>
          <w:sz w:val="20"/>
          <w:szCs w:val="20"/>
          <w:color w:val="auto"/>
        </w:rPr>
      </w:pPr>
      <w:r>
        <w:rPr>
          <w:rFonts w:ascii="Times New Roman" w:cs="Times New Roman" w:eastAsia="Times New Roman" w:hAnsi="Times New Roman"/>
          <w:sz w:val="20"/>
          <w:szCs w:val="20"/>
          <w:u w:val="single" w:color="auto"/>
          <w:color w:val="auto"/>
        </w:rPr>
        <w:t>Item 6.</w:t>
      </w:r>
      <w:r>
        <w:rPr>
          <w:sz w:val="20"/>
          <w:szCs w:val="20"/>
          <w:color w:val="auto"/>
        </w:rPr>
        <w:tab/>
      </w:r>
      <w:r>
        <w:rPr>
          <w:rFonts w:ascii="Times New Roman" w:cs="Times New Roman" w:eastAsia="Times New Roman" w:hAnsi="Times New Roman"/>
          <w:sz w:val="19"/>
          <w:szCs w:val="19"/>
          <w:u w:val="single" w:color="auto"/>
          <w:color w:val="auto"/>
        </w:rPr>
        <w:t>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exhibits are submitted as part of this report.</w:t>
      </w:r>
    </w:p>
    <w:p>
      <w:pPr>
        <w:spacing w:after="0" w:line="301" w:lineRule="exact"/>
        <w:rPr>
          <w:sz w:val="20"/>
          <w:szCs w:val="20"/>
          <w:color w:val="auto"/>
        </w:rPr>
      </w:pPr>
    </w:p>
    <w:p>
      <w:pPr>
        <w:ind w:left="840" w:hanging="737"/>
        <w:spacing w:after="0" w:line="254" w:lineRule="auto"/>
        <w:tabs>
          <w:tab w:leader="none" w:pos="820" w:val="left"/>
        </w:tabs>
        <w:rPr>
          <w:rFonts w:ascii="Times New Roman" w:cs="Times New Roman" w:eastAsia="Times New Roman" w:hAnsi="Times New Roman"/>
          <w:sz w:val="20"/>
          <w:szCs w:val="20"/>
          <w:color w:val="0000EE"/>
        </w:rPr>
      </w:pPr>
      <w:r>
        <w:rPr>
          <w:rFonts w:ascii="Times New Roman" w:cs="Times New Roman" w:eastAsia="Times New Roman" w:hAnsi="Times New Roman"/>
          <w:sz w:val="20"/>
          <w:szCs w:val="20"/>
          <w:color w:val="auto"/>
        </w:rPr>
        <w:t>10.1</w:t>
      </w:r>
      <w:r>
        <w:rPr>
          <w:sz w:val="20"/>
          <w:szCs w:val="20"/>
          <w:color w:val="auto"/>
        </w:rPr>
        <w:tab/>
      </w:r>
      <w:hyperlink r:id="rId76">
        <w:r>
          <w:rPr>
            <w:rFonts w:ascii="Times New Roman" w:cs="Times New Roman" w:eastAsia="Times New Roman" w:hAnsi="Times New Roman"/>
            <w:sz w:val="20"/>
            <w:szCs w:val="20"/>
            <w:u w:val="single" w:color="auto"/>
            <w:color w:val="0000EE"/>
          </w:rPr>
          <w:t>Amended and Restated Credit Agreement by and between Culp, Inc. and Wells Fargo Bank, N.A., dated June 24, 2022, was filed</w:t>
        </w:r>
      </w:hyperlink>
      <w:r>
        <w:rPr>
          <w:rFonts w:ascii="Times New Roman" w:cs="Times New Roman" w:eastAsia="Times New Roman" w:hAnsi="Times New Roman"/>
          <w:sz w:val="20"/>
          <w:szCs w:val="20"/>
          <w:u w:val="single" w:color="auto"/>
          <w:color w:val="0000EE"/>
        </w:rPr>
        <w:t xml:space="preserve"> </w:t>
      </w:r>
      <w:hyperlink r:id="rId76">
        <w:r>
          <w:rPr>
            <w:rFonts w:ascii="Times New Roman" w:cs="Times New Roman" w:eastAsia="Times New Roman" w:hAnsi="Times New Roman"/>
            <w:sz w:val="20"/>
            <w:szCs w:val="20"/>
            <w:u w:val="single" w:color="auto"/>
            <w:color w:val="0000EE"/>
          </w:rPr>
          <w:t>as exhibit 10.1 to the company’s Form 8-K filed June 29, 2022 (Commission File no. 001-12597), and is incorporated herein by</w:t>
        </w:r>
      </w:hyperlink>
      <w:r>
        <w:rPr>
          <w:rFonts w:ascii="Times New Roman" w:cs="Times New Roman" w:eastAsia="Times New Roman" w:hAnsi="Times New Roman"/>
          <w:sz w:val="20"/>
          <w:szCs w:val="20"/>
          <w:u w:val="single" w:color="auto"/>
          <w:color w:val="0000EE"/>
        </w:rPr>
        <w:t xml:space="preserve"> </w:t>
      </w:r>
      <w:hyperlink r:id="rId76">
        <w:r>
          <w:rPr>
            <w:rFonts w:ascii="Times New Roman" w:cs="Times New Roman" w:eastAsia="Times New Roman" w:hAnsi="Times New Roman"/>
            <w:sz w:val="20"/>
            <w:szCs w:val="20"/>
            <w:u w:val="single" w:color="auto"/>
            <w:color w:val="0000EE"/>
          </w:rPr>
          <w:t>reference</w:t>
        </w:r>
        <w:r>
          <w:rPr>
            <w:rFonts w:ascii="Times New Roman" w:cs="Times New Roman" w:eastAsia="Times New Roman" w:hAnsi="Times New Roman"/>
            <w:sz w:val="20"/>
            <w:szCs w:val="20"/>
            <w:color w:val="000000"/>
          </w:rPr>
          <w:t>.</w:t>
        </w:r>
      </w:hyperlink>
    </w:p>
    <w:p>
      <w:pPr>
        <w:spacing w:after="0" w:line="39" w:lineRule="exact"/>
        <w:rPr>
          <w:rFonts w:ascii="Times New Roman" w:cs="Times New Roman" w:eastAsia="Times New Roman" w:hAnsi="Times New Roman"/>
          <w:sz w:val="20"/>
          <w:szCs w:val="20"/>
          <w:u w:val="single" w:color="auto"/>
          <w:color w:val="0000EE"/>
        </w:rPr>
      </w:pPr>
    </w:p>
    <w:p>
      <w:pPr>
        <w:ind w:left="100"/>
        <w:spacing w:after="0"/>
        <w:tabs>
          <w:tab w:leader="none" w:pos="82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u w:val="single" w:color="auto"/>
          <w:color w:val="0000EE"/>
        </w:rPr>
        <w:t>Certification of Chief Executive Officer Pursuant to Rule 13a-14(a)/15d-14(a).</w:t>
      </w:r>
    </w:p>
    <w:p>
      <w:pPr>
        <w:spacing w:after="0" w:line="81" w:lineRule="exact"/>
        <w:rPr>
          <w:rFonts w:ascii="Times New Roman" w:cs="Times New Roman" w:eastAsia="Times New Roman" w:hAnsi="Times New Roman"/>
          <w:sz w:val="20"/>
          <w:szCs w:val="20"/>
          <w:u w:val="single" w:color="auto"/>
          <w:color w:val="0000EE"/>
        </w:rPr>
      </w:pPr>
    </w:p>
    <w:p>
      <w:pPr>
        <w:ind w:left="100"/>
        <w:spacing w:after="0"/>
        <w:tabs>
          <w:tab w:leader="none" w:pos="82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19"/>
          <w:szCs w:val="19"/>
          <w:u w:val="single" w:color="auto"/>
          <w:color w:val="0000EE"/>
        </w:rPr>
        <w:t>Certification of Chief Financial Officer Pursuant to Rule 13a-14(a)/15d-14(a)</w:t>
      </w:r>
      <w:r>
        <w:rPr>
          <w:rFonts w:ascii="Times New Roman" w:cs="Times New Roman" w:eastAsia="Times New Roman" w:hAnsi="Times New Roman"/>
          <w:sz w:val="15"/>
          <w:szCs w:val="15"/>
          <w:u w:val="single" w:color="auto"/>
          <w:color w:val="0000EE"/>
        </w:rPr>
        <w:t>.</w:t>
      </w:r>
    </w:p>
    <w:p>
      <w:pPr>
        <w:spacing w:after="0" w:line="81" w:lineRule="exact"/>
        <w:rPr>
          <w:rFonts w:ascii="Times New Roman" w:cs="Times New Roman" w:eastAsia="Times New Roman" w:hAnsi="Times New Roman"/>
          <w:sz w:val="20"/>
          <w:szCs w:val="20"/>
          <w:u w:val="single" w:color="auto"/>
          <w:color w:val="0000EE"/>
        </w:rPr>
      </w:pPr>
    </w:p>
    <w:p>
      <w:pPr>
        <w:ind w:left="100"/>
        <w:spacing w:after="0"/>
        <w:tabs>
          <w:tab w:leader="none" w:pos="82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19"/>
          <w:szCs w:val="19"/>
          <w:u w:val="single" w:color="auto"/>
          <w:color w:val="0000EE"/>
        </w:rPr>
        <w:t>Certification of Chief Executive Officer Pursuant to 18 U.S.C. Section 1350.</w:t>
      </w:r>
    </w:p>
    <w:p>
      <w:pPr>
        <w:spacing w:after="0" w:line="81" w:lineRule="exact"/>
        <w:rPr>
          <w:rFonts w:ascii="Times New Roman" w:cs="Times New Roman" w:eastAsia="Times New Roman" w:hAnsi="Times New Roman"/>
          <w:sz w:val="20"/>
          <w:szCs w:val="20"/>
          <w:u w:val="single" w:color="auto"/>
          <w:color w:val="0000EE"/>
        </w:rPr>
      </w:pPr>
    </w:p>
    <w:p>
      <w:pPr>
        <w:ind w:left="100"/>
        <w:spacing w:after="0"/>
        <w:tabs>
          <w:tab w:leader="none" w:pos="82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19"/>
          <w:szCs w:val="19"/>
          <w:u w:val="single" w:color="auto"/>
          <w:color w:val="0000EE"/>
        </w:rPr>
        <w:t>Certification of Chief Financial Officer Pursuant to 18 U.S.C. Section 1350.</w:t>
      </w:r>
    </w:p>
    <w:p>
      <w:pPr>
        <w:spacing w:after="0" w:line="81" w:lineRule="exact"/>
        <w:rPr>
          <w:rFonts w:ascii="Times New Roman" w:cs="Times New Roman" w:eastAsia="Times New Roman" w:hAnsi="Times New Roman"/>
          <w:sz w:val="20"/>
          <w:szCs w:val="20"/>
          <w:u w:val="single" w:color="auto"/>
          <w:color w:val="0000EE"/>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101.INS</w:t>
      </w:r>
      <w:r>
        <w:rPr>
          <w:sz w:val="20"/>
          <w:szCs w:val="20"/>
          <w:color w:val="auto"/>
        </w:rPr>
        <w:tab/>
      </w:r>
      <w:r>
        <w:rPr>
          <w:rFonts w:ascii="Times New Roman" w:cs="Times New Roman" w:eastAsia="Times New Roman" w:hAnsi="Times New Roman"/>
          <w:sz w:val="19"/>
          <w:szCs w:val="19"/>
          <w:color w:val="auto"/>
        </w:rPr>
        <w:t>Inline XBRL Instance Document</w:t>
      </w:r>
    </w:p>
    <w:p>
      <w:pPr>
        <w:spacing w:after="0" w:line="81" w:lineRule="exact"/>
        <w:rPr>
          <w:rFonts w:ascii="Times New Roman" w:cs="Times New Roman" w:eastAsia="Times New Roman" w:hAnsi="Times New Roman"/>
          <w:sz w:val="20"/>
          <w:szCs w:val="20"/>
          <w:u w:val="single" w:color="auto"/>
          <w:color w:val="0000EE"/>
        </w:rPr>
      </w:pPr>
    </w:p>
    <w:p>
      <w:pPr>
        <w:spacing w:after="0"/>
        <w:rPr>
          <w:sz w:val="20"/>
          <w:szCs w:val="20"/>
          <w:color w:val="auto"/>
        </w:rPr>
      </w:pPr>
      <w:r>
        <w:rPr>
          <w:rFonts w:ascii="Times New Roman" w:cs="Times New Roman" w:eastAsia="Times New Roman" w:hAnsi="Times New Roman"/>
          <w:sz w:val="20"/>
          <w:szCs w:val="20"/>
          <w:color w:val="auto"/>
        </w:rPr>
        <w:t>101.SCH Inline XBRL Taxonomy Extension Schema Document</w:t>
      </w:r>
    </w:p>
    <w:p>
      <w:pPr>
        <w:spacing w:after="0" w:line="81" w:lineRule="exact"/>
        <w:rPr>
          <w:rFonts w:ascii="Times New Roman" w:cs="Times New Roman" w:eastAsia="Times New Roman" w:hAnsi="Times New Roman"/>
          <w:sz w:val="20"/>
          <w:szCs w:val="20"/>
          <w:u w:val="single" w:color="auto"/>
          <w:color w:val="0000EE"/>
        </w:rPr>
      </w:pPr>
    </w:p>
    <w:p>
      <w:pPr>
        <w:spacing w:after="0"/>
        <w:rPr>
          <w:sz w:val="20"/>
          <w:szCs w:val="20"/>
          <w:color w:val="auto"/>
        </w:rPr>
      </w:pPr>
      <w:r>
        <w:rPr>
          <w:rFonts w:ascii="Times New Roman" w:cs="Times New Roman" w:eastAsia="Times New Roman" w:hAnsi="Times New Roman"/>
          <w:sz w:val="20"/>
          <w:szCs w:val="20"/>
          <w:color w:val="auto"/>
        </w:rPr>
        <w:t>101.CAL Inline XBRL Taxonomy Extension Calculation Linkbase Document</w:t>
      </w:r>
    </w:p>
    <w:p>
      <w:pPr>
        <w:spacing w:after="0" w:line="81" w:lineRule="exact"/>
        <w:rPr>
          <w:rFonts w:ascii="Times New Roman" w:cs="Times New Roman" w:eastAsia="Times New Roman" w:hAnsi="Times New Roman"/>
          <w:sz w:val="20"/>
          <w:szCs w:val="20"/>
          <w:u w:val="single" w:color="auto"/>
          <w:color w:val="0000EE"/>
        </w:rPr>
      </w:pPr>
    </w:p>
    <w:p>
      <w:pPr>
        <w:spacing w:after="0"/>
        <w:rPr>
          <w:sz w:val="20"/>
          <w:szCs w:val="20"/>
          <w:color w:val="auto"/>
        </w:rPr>
      </w:pPr>
      <w:r>
        <w:rPr>
          <w:rFonts w:ascii="Times New Roman" w:cs="Times New Roman" w:eastAsia="Times New Roman" w:hAnsi="Times New Roman"/>
          <w:sz w:val="20"/>
          <w:szCs w:val="20"/>
          <w:color w:val="auto"/>
        </w:rPr>
        <w:t>101.LAB Inline XBRL Taxonomy Extension Label Linkbase Document</w:t>
      </w:r>
    </w:p>
    <w:p>
      <w:pPr>
        <w:spacing w:after="0" w:line="81" w:lineRule="exact"/>
        <w:rPr>
          <w:rFonts w:ascii="Times New Roman" w:cs="Times New Roman" w:eastAsia="Times New Roman" w:hAnsi="Times New Roman"/>
          <w:sz w:val="20"/>
          <w:szCs w:val="20"/>
          <w:u w:val="single" w:color="auto"/>
          <w:color w:val="0000EE"/>
        </w:rPr>
      </w:pPr>
    </w:p>
    <w:p>
      <w:pPr>
        <w:spacing w:after="0"/>
        <w:rPr>
          <w:sz w:val="20"/>
          <w:szCs w:val="20"/>
          <w:color w:val="auto"/>
        </w:rPr>
      </w:pPr>
      <w:r>
        <w:rPr>
          <w:rFonts w:ascii="Times New Roman" w:cs="Times New Roman" w:eastAsia="Times New Roman" w:hAnsi="Times New Roman"/>
          <w:sz w:val="20"/>
          <w:szCs w:val="20"/>
          <w:color w:val="auto"/>
        </w:rPr>
        <w:t>101.PRE Inline XBRL Taxonomy Extension Presentation Linkbase Document</w:t>
      </w:r>
    </w:p>
    <w:p>
      <w:pPr>
        <w:spacing w:after="0" w:line="81" w:lineRule="exact"/>
        <w:rPr>
          <w:rFonts w:ascii="Times New Roman" w:cs="Times New Roman" w:eastAsia="Times New Roman" w:hAnsi="Times New Roman"/>
          <w:sz w:val="20"/>
          <w:szCs w:val="20"/>
          <w:u w:val="single" w:color="auto"/>
          <w:color w:val="0000EE"/>
        </w:rPr>
      </w:pPr>
    </w:p>
    <w:p>
      <w:pPr>
        <w:spacing w:after="0"/>
        <w:rPr>
          <w:sz w:val="20"/>
          <w:szCs w:val="20"/>
          <w:color w:val="auto"/>
        </w:rPr>
      </w:pPr>
      <w:r>
        <w:rPr>
          <w:rFonts w:ascii="Times New Roman" w:cs="Times New Roman" w:eastAsia="Times New Roman" w:hAnsi="Times New Roman"/>
          <w:sz w:val="20"/>
          <w:szCs w:val="20"/>
          <w:color w:val="auto"/>
        </w:rPr>
        <w:t>101.DEF Inline XBRL Taxonomy Extension Definition Linkbase Document</w:t>
      </w:r>
    </w:p>
    <w:p>
      <w:pPr>
        <w:spacing w:after="0" w:line="81" w:lineRule="exact"/>
        <w:rPr>
          <w:rFonts w:ascii="Times New Roman" w:cs="Times New Roman" w:eastAsia="Times New Roman" w:hAnsi="Times New Roman"/>
          <w:sz w:val="20"/>
          <w:szCs w:val="20"/>
          <w:u w:val="single" w:color="auto"/>
          <w:color w:val="0000EE"/>
        </w:rPr>
      </w:pPr>
    </w:p>
    <w:p>
      <w:pPr>
        <w:ind w:left="840" w:right="520" w:hanging="832"/>
        <w:spacing w:after="0" w:line="269" w:lineRule="auto"/>
        <w:tabs>
          <w:tab w:leader="none" w:pos="8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with applicable taxonomy extension information contained in Exhibits 101).</w:t>
      </w:r>
    </w:p>
    <w:p>
      <w:pPr>
        <w:spacing w:after="0" w:line="375" w:lineRule="exact"/>
        <w:rPr>
          <w:rFonts w:ascii="Times New Roman" w:cs="Times New Roman" w:eastAsia="Times New Roman" w:hAnsi="Times New Roman"/>
          <w:sz w:val="20"/>
          <w:szCs w:val="20"/>
          <w:u w:val="single" w:color="auto"/>
          <w:color w:val="0000EE"/>
        </w:rPr>
      </w:pPr>
    </w:p>
    <w:p>
      <w:pPr>
        <w:jc w:val="center"/>
        <w:ind w:right="-179"/>
        <w:spacing w:after="0"/>
        <w:rPr>
          <w:sz w:val="20"/>
          <w:szCs w:val="20"/>
          <w:color w:val="auto"/>
        </w:rPr>
      </w:pPr>
      <w:r>
        <w:rPr>
          <w:rFonts w:ascii="Times New Roman" w:cs="Times New Roman" w:eastAsia="Times New Roman" w:hAnsi="Times New Roman"/>
          <w:sz w:val="20"/>
          <w:szCs w:val="20"/>
          <w:color w:val="auto"/>
        </w:rPr>
        <w:t>II-2</w:t>
      </w:r>
    </w:p>
    <w:p>
      <w:pPr>
        <w:spacing w:after="0" w:line="20" w:lineRule="exact"/>
        <w:rPr>
          <w:rFonts w:ascii="Times New Roman" w:cs="Times New Roman" w:eastAsia="Times New Roman" w:hAnsi="Times New Roman"/>
          <w:sz w:val="20"/>
          <w:szCs w:val="20"/>
          <w:u w:val="single" w:color="auto"/>
          <w:color w:val="0000EE"/>
        </w:rPr>
      </w:pPr>
      <w:r>
        <w:rPr>
          <w:rFonts w:ascii="Times New Roman" w:cs="Times New Roman" w:eastAsia="Times New Roman" w:hAnsi="Times New Roman"/>
          <w:sz w:val="20"/>
          <w:szCs w:val="20"/>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76" w:right="5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CULP, INC.</w:t>
            </w:r>
          </w:p>
        </w:tc>
      </w:tr>
      <w:tr>
        <w:trPr>
          <w:trHeight w:val="262"/>
        </w:trPr>
        <w:tc>
          <w:tcPr>
            <w:tcW w:w="37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(Registrant)</w:t>
            </w:r>
          </w:p>
        </w:tc>
      </w:tr>
      <w:tr>
        <w:trPr>
          <w:trHeight w:val="426"/>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Date: September 9, 2022</w:t>
            </w:r>
          </w:p>
        </w:tc>
        <w:tc>
          <w:tcPr>
            <w:tcW w:w="2480" w:type="dxa"/>
            <w:vAlign w:val="bottom"/>
          </w:tcPr>
          <w:p>
            <w:pPr>
              <w:ind w:left="1920"/>
              <w:spacing w:after="0"/>
              <w:rPr>
                <w:sz w:val="20"/>
                <w:szCs w:val="20"/>
                <w:color w:val="auto"/>
              </w:rPr>
            </w:pPr>
            <w:r>
              <w:rPr>
                <w:rFonts w:ascii="Times New Roman" w:cs="Times New Roman" w:eastAsia="Times New Roman" w:hAnsi="Times New Roman"/>
                <w:sz w:val="20"/>
                <w:szCs w:val="20"/>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Kenneth R. Bowling</w:t>
            </w:r>
          </w:p>
        </w:tc>
      </w:tr>
      <w:tr>
        <w:trPr>
          <w:trHeight w:val="200"/>
        </w:trPr>
        <w:tc>
          <w:tcPr>
            <w:tcW w:w="37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0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Kenneth R. Bowling</w:t>
            </w:r>
          </w:p>
        </w:tc>
      </w:tr>
      <w:tr>
        <w:trPr>
          <w:trHeight w:val="230"/>
        </w:trPr>
        <w:tc>
          <w:tcPr>
            <w:tcW w:w="37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r>
      <w:tr>
        <w:trPr>
          <w:trHeight w:val="229"/>
        </w:trPr>
        <w:tc>
          <w:tcPr>
            <w:tcW w:w="37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w w:val="99"/>
              </w:rPr>
              <w:t>(Authorized to sign on behalf of the registrant and also signing</w:t>
            </w:r>
          </w:p>
        </w:tc>
      </w:tr>
      <w:tr>
        <w:trPr>
          <w:trHeight w:val="258"/>
        </w:trPr>
        <w:tc>
          <w:tcPr>
            <w:tcW w:w="37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as principal financial officer)</w:t>
            </w:r>
          </w:p>
        </w:tc>
      </w:tr>
      <w:tr>
        <w:trPr>
          <w:trHeight w:val="628"/>
        </w:trPr>
        <w:tc>
          <w:tcPr>
            <w:tcW w:w="3720" w:type="dxa"/>
            <w:vAlign w:val="bottom"/>
          </w:tcPr>
          <w:p>
            <w:pPr>
              <w:spacing w:after="0"/>
              <w:rPr>
                <w:sz w:val="24"/>
                <w:szCs w:val="24"/>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20"/>
                <w:szCs w:val="20"/>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Thomas B. Gallagher, Jr.</w:t>
            </w:r>
          </w:p>
        </w:tc>
      </w:tr>
      <w:tr>
        <w:trPr>
          <w:trHeight w:val="200"/>
        </w:trPr>
        <w:tc>
          <w:tcPr>
            <w:tcW w:w="37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0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Thomas B. Gallagher, Jr.</w:t>
            </w:r>
          </w:p>
        </w:tc>
      </w:tr>
      <w:tr>
        <w:trPr>
          <w:trHeight w:val="230"/>
        </w:trPr>
        <w:tc>
          <w:tcPr>
            <w:tcW w:w="37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Vice President of Finance</w:t>
            </w:r>
          </w:p>
        </w:tc>
      </w:tr>
      <w:tr>
        <w:trPr>
          <w:trHeight w:val="229"/>
        </w:trPr>
        <w:tc>
          <w:tcPr>
            <w:tcW w:w="37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w w:val="99"/>
              </w:rPr>
              <w:t>(Authorized to sign on behalf of the registrant and also signing</w:t>
            </w:r>
          </w:p>
        </w:tc>
      </w:tr>
      <w:tr>
        <w:trPr>
          <w:trHeight w:val="258"/>
        </w:trPr>
        <w:tc>
          <w:tcPr>
            <w:tcW w:w="37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as principal accounting officer)</w:t>
            </w:r>
          </w:p>
        </w:tc>
      </w:tr>
      <w:tr>
        <w:trPr>
          <w:trHeight w:val="837"/>
        </w:trPr>
        <w:tc>
          <w:tcPr>
            <w:tcW w:w="3720" w:type="dxa"/>
            <w:vAlign w:val="bottom"/>
          </w:tcPr>
          <w:p>
            <w:pPr>
              <w:spacing w:after="0"/>
              <w:rPr>
                <w:sz w:val="24"/>
                <w:szCs w:val="24"/>
                <w:color w:val="auto"/>
              </w:rPr>
            </w:pPr>
          </w:p>
        </w:tc>
        <w:tc>
          <w:tcPr>
            <w:tcW w:w="2480" w:type="dxa"/>
            <w:vAlign w:val="bottom"/>
          </w:tcPr>
          <w:p>
            <w:pPr>
              <w:ind w:left="1760"/>
              <w:spacing w:after="0"/>
              <w:rPr>
                <w:sz w:val="20"/>
                <w:szCs w:val="20"/>
                <w:color w:val="auto"/>
              </w:rPr>
            </w:pPr>
            <w:r>
              <w:rPr>
                <w:rFonts w:ascii="Times New Roman" w:cs="Times New Roman" w:eastAsia="Times New Roman" w:hAnsi="Times New Roman"/>
                <w:sz w:val="20"/>
                <w:szCs w:val="20"/>
                <w:color w:val="auto"/>
              </w:rPr>
              <w:t>II-3</w:t>
            </w:r>
          </w:p>
        </w:tc>
        <w:tc>
          <w:tcPr>
            <w:tcW w:w="5040" w:type="dxa"/>
            <w:vAlign w:val="bottom"/>
          </w:tcPr>
          <w:p>
            <w:pPr>
              <w:spacing w:after="0"/>
              <w:rPr>
                <w:sz w:val="24"/>
                <w:szCs w:val="24"/>
                <w:color w:val="auto"/>
              </w:rPr>
            </w:pPr>
          </w:p>
        </w:tc>
      </w:tr>
    </w:tbl>
    <w:p>
      <w:pPr>
        <w:sectPr>
          <w:pgSz w:w="11900" w:h="16838" w:orient="portrait"/>
          <w:cols w:equalWidth="0" w:num="1">
            <w:col w:w="11240"/>
          </w:cols>
          <w:pgMar w:left="320" w:top="572"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 Robert G. Culp, IV, certify that:</w:t>
      </w:r>
    </w:p>
    <w:p>
      <w:pPr>
        <w:spacing w:after="0" w:line="189" w:lineRule="exact"/>
        <w:rPr>
          <w:sz w:val="20"/>
          <w:szCs w:val="20"/>
          <w:color w:val="auto"/>
        </w:rPr>
      </w:pPr>
    </w:p>
    <w:p>
      <w:pPr>
        <w:ind w:left="620" w:hanging="612"/>
        <w:spacing w:after="0"/>
        <w:tabs>
          <w:tab w:leader="none" w:pos="6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194" w:lineRule="exact"/>
        <w:rPr>
          <w:rFonts w:ascii="Times New Roman" w:cs="Times New Roman" w:eastAsia="Times New Roman" w:hAnsi="Times New Roman"/>
          <w:sz w:val="16"/>
          <w:szCs w:val="16"/>
          <w:color w:val="auto"/>
        </w:rPr>
      </w:pPr>
    </w:p>
    <w:p>
      <w:pPr>
        <w:ind w:left="620" w:right="40" w:hanging="612"/>
        <w:spacing w:after="0" w:line="298" w:lineRule="auto"/>
        <w:tabs>
          <w:tab w:leader="none" w:pos="6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620" w:right="560" w:hanging="612"/>
        <w:spacing w:after="0" w:line="298" w:lineRule="auto"/>
        <w:tabs>
          <w:tab w:leader="none" w:pos="6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6"/>
          <w:szCs w:val="16"/>
          <w:color w:val="auto"/>
        </w:rPr>
      </w:pPr>
    </w:p>
    <w:p>
      <w:pPr>
        <w:ind w:left="620" w:right="240" w:hanging="612"/>
        <w:spacing w:after="0" w:line="281" w:lineRule="auto"/>
        <w:tabs>
          <w:tab w:leader="none" w:pos="6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6"/>
          <w:szCs w:val="16"/>
          <w:color w:val="auto"/>
        </w:rPr>
      </w:pPr>
    </w:p>
    <w:p>
      <w:pPr>
        <w:ind w:left="1220" w:right="80" w:hanging="605"/>
        <w:spacing w:after="0" w:line="281" w:lineRule="auto"/>
        <w:tabs>
          <w:tab w:leader="none" w:pos="122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6"/>
          <w:szCs w:val="16"/>
          <w:color w:val="auto"/>
        </w:rPr>
      </w:pPr>
    </w:p>
    <w:p>
      <w:pPr>
        <w:ind w:left="1220" w:right="180" w:hanging="605"/>
        <w:spacing w:after="0" w:line="281" w:lineRule="auto"/>
        <w:tabs>
          <w:tab w:leader="none" w:pos="122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6"/>
          <w:szCs w:val="16"/>
          <w:color w:val="auto"/>
        </w:rPr>
      </w:pPr>
    </w:p>
    <w:p>
      <w:pPr>
        <w:ind w:left="1220" w:right="220" w:hanging="605"/>
        <w:spacing w:after="0" w:line="298" w:lineRule="auto"/>
        <w:tabs>
          <w:tab w:leader="none" w:pos="122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6"/>
          <w:szCs w:val="16"/>
          <w:color w:val="auto"/>
        </w:rPr>
      </w:pPr>
    </w:p>
    <w:p>
      <w:pPr>
        <w:ind w:left="1220" w:right="280" w:hanging="605"/>
        <w:spacing w:after="0" w:line="281" w:lineRule="auto"/>
        <w:tabs>
          <w:tab w:leader="none" w:pos="122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6"/>
          <w:szCs w:val="16"/>
          <w:color w:val="auto"/>
        </w:rPr>
      </w:pPr>
    </w:p>
    <w:p>
      <w:pPr>
        <w:ind w:left="620" w:right="160" w:hanging="612"/>
        <w:spacing w:after="0" w:line="298" w:lineRule="auto"/>
        <w:tabs>
          <w:tab w:leader="none" w:pos="6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6"/>
          <w:szCs w:val="16"/>
          <w:color w:val="auto"/>
        </w:rPr>
      </w:pPr>
    </w:p>
    <w:p>
      <w:pPr>
        <w:ind w:left="1220" w:right="160" w:hanging="605"/>
        <w:spacing w:after="0" w:line="298" w:lineRule="auto"/>
        <w:tabs>
          <w:tab w:leader="none" w:pos="122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6"/>
          <w:szCs w:val="16"/>
          <w:color w:val="auto"/>
        </w:rPr>
      </w:pPr>
    </w:p>
    <w:p>
      <w:pPr>
        <w:ind w:left="1220" w:right="380" w:hanging="605"/>
        <w:spacing w:after="0" w:line="298" w:lineRule="auto"/>
        <w:tabs>
          <w:tab w:leader="none" w:pos="122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9, 2022</w:t>
      </w:r>
    </w:p>
    <w:p>
      <w:pPr>
        <w:sectPr>
          <w:pgSz w:w="11900" w:h="16838" w:orient="portrait"/>
          <w:cols w:equalWidth="0" w:num="1">
            <w:col w:w="11240"/>
          </w:cols>
          <w:pgMar w:left="32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 Kenneth R. Bowling, certify that:</w:t>
      </w:r>
    </w:p>
    <w:p>
      <w:pPr>
        <w:spacing w:after="0" w:line="189" w:lineRule="exact"/>
        <w:rPr>
          <w:sz w:val="20"/>
          <w:szCs w:val="20"/>
          <w:color w:val="auto"/>
        </w:rPr>
      </w:pPr>
    </w:p>
    <w:p>
      <w:pPr>
        <w:ind w:left="620" w:hanging="612"/>
        <w:spacing w:after="0"/>
        <w:tabs>
          <w:tab w:leader="none" w:pos="6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194" w:lineRule="exact"/>
        <w:rPr>
          <w:rFonts w:ascii="Times New Roman" w:cs="Times New Roman" w:eastAsia="Times New Roman" w:hAnsi="Times New Roman"/>
          <w:sz w:val="16"/>
          <w:szCs w:val="16"/>
          <w:color w:val="auto"/>
        </w:rPr>
      </w:pPr>
    </w:p>
    <w:p>
      <w:pPr>
        <w:ind w:left="620" w:right="40" w:hanging="612"/>
        <w:spacing w:after="0" w:line="298" w:lineRule="auto"/>
        <w:tabs>
          <w:tab w:leader="none" w:pos="6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620" w:right="560" w:hanging="612"/>
        <w:spacing w:after="0" w:line="298" w:lineRule="auto"/>
        <w:tabs>
          <w:tab w:leader="none" w:pos="6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6"/>
          <w:szCs w:val="16"/>
          <w:color w:val="auto"/>
        </w:rPr>
      </w:pPr>
    </w:p>
    <w:p>
      <w:pPr>
        <w:ind w:left="620" w:right="240" w:hanging="612"/>
        <w:spacing w:after="0" w:line="281" w:lineRule="auto"/>
        <w:tabs>
          <w:tab w:leader="none" w:pos="6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6"/>
          <w:szCs w:val="16"/>
          <w:color w:val="auto"/>
        </w:rPr>
      </w:pPr>
    </w:p>
    <w:p>
      <w:pPr>
        <w:ind w:left="1220" w:right="80" w:hanging="605"/>
        <w:spacing w:after="0" w:line="281" w:lineRule="auto"/>
        <w:tabs>
          <w:tab w:leader="none" w:pos="122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6"/>
          <w:szCs w:val="16"/>
          <w:color w:val="auto"/>
        </w:rPr>
      </w:pPr>
    </w:p>
    <w:p>
      <w:pPr>
        <w:ind w:left="1220" w:right="180" w:hanging="605"/>
        <w:spacing w:after="0" w:line="281" w:lineRule="auto"/>
        <w:tabs>
          <w:tab w:leader="none" w:pos="122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6"/>
          <w:szCs w:val="16"/>
          <w:color w:val="auto"/>
        </w:rPr>
      </w:pPr>
    </w:p>
    <w:p>
      <w:pPr>
        <w:ind w:left="1220" w:right="220" w:hanging="605"/>
        <w:spacing w:after="0" w:line="298" w:lineRule="auto"/>
        <w:tabs>
          <w:tab w:leader="none" w:pos="122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6"/>
          <w:szCs w:val="16"/>
          <w:color w:val="auto"/>
        </w:rPr>
      </w:pPr>
    </w:p>
    <w:p>
      <w:pPr>
        <w:ind w:left="1220" w:right="280" w:hanging="605"/>
        <w:spacing w:after="0" w:line="281" w:lineRule="auto"/>
        <w:tabs>
          <w:tab w:leader="none" w:pos="122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6"/>
          <w:szCs w:val="16"/>
          <w:color w:val="auto"/>
        </w:rPr>
      </w:pPr>
    </w:p>
    <w:p>
      <w:pPr>
        <w:ind w:left="620" w:right="160" w:hanging="612"/>
        <w:spacing w:after="0" w:line="298" w:lineRule="auto"/>
        <w:tabs>
          <w:tab w:leader="none" w:pos="6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6"/>
          <w:szCs w:val="16"/>
          <w:color w:val="auto"/>
        </w:rPr>
      </w:pPr>
    </w:p>
    <w:p>
      <w:pPr>
        <w:ind w:left="1220" w:right="160" w:hanging="605"/>
        <w:spacing w:after="0" w:line="298" w:lineRule="auto"/>
        <w:tabs>
          <w:tab w:leader="none" w:pos="122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6"/>
          <w:szCs w:val="16"/>
          <w:color w:val="auto"/>
        </w:rPr>
      </w:pPr>
    </w:p>
    <w:p>
      <w:pPr>
        <w:ind w:left="1220" w:right="380" w:hanging="605"/>
        <w:spacing w:after="0" w:line="298" w:lineRule="auto"/>
        <w:tabs>
          <w:tab w:leader="none" w:pos="122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9, 2022</w:t>
      </w:r>
    </w:p>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440" w:firstLine="58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July 31, 2022, as filed with the Securities and Exchange Commission on the date hereof (the “Report”), I, Robert G. Culp, IV, certify, pursuant to 18 U.S.C. Section 1350, as adopted pursuant to Section 906 of the Sarbanes-Oxley Act of 2002, that, to my knowledge:</w:t>
      </w:r>
    </w:p>
    <w:p>
      <w:pPr>
        <w:spacing w:after="0" w:line="149" w:lineRule="exact"/>
        <w:rPr>
          <w:sz w:val="20"/>
          <w:szCs w:val="20"/>
          <w:color w:val="auto"/>
        </w:rPr>
      </w:pPr>
    </w:p>
    <w:p>
      <w:pPr>
        <w:ind w:left="860" w:hanging="263"/>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860" w:hanging="263"/>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946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G. Culp, IV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2022</w:t>
      </w:r>
    </w:p>
    <w:p>
      <w:pPr>
        <w:spacing w:after="0" w:line="185" w:lineRule="exact"/>
        <w:rPr>
          <w:sz w:val="20"/>
          <w:szCs w:val="20"/>
          <w:color w:val="auto"/>
        </w:rPr>
      </w:pPr>
    </w:p>
    <w:p>
      <w:pPr>
        <w:ind w:right="60" w:firstLine="58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ectPr>
          <w:pgSz w:w="11900" w:h="16838" w:orient="portrait"/>
          <w:cols w:equalWidth="0" w:num="1">
            <w:col w:w="11240"/>
          </w:cols>
          <w:pgMar w:left="320" w:top="33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320" w:firstLine="58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July 31, 2022, as filed with the Securities and Exchange Commission on the date hereof (the “Report”), I, Kenneth R. Bowling, certify, pursuant to 18 U.S.C. Section 1350, as adopted pursuant to Section 906 of the Sarbanes-Oxley Act of 2002, that, to my knowledge:</w:t>
      </w:r>
    </w:p>
    <w:p>
      <w:pPr>
        <w:spacing w:after="0" w:line="149" w:lineRule="exact"/>
        <w:rPr>
          <w:sz w:val="20"/>
          <w:szCs w:val="20"/>
          <w:color w:val="auto"/>
        </w:rPr>
      </w:pPr>
    </w:p>
    <w:p>
      <w:pPr>
        <w:ind w:left="860" w:hanging="263"/>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860" w:hanging="263"/>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946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2022</w:t>
      </w:r>
    </w:p>
    <w:p>
      <w:pPr>
        <w:spacing w:after="0" w:line="185" w:lineRule="exact"/>
        <w:rPr>
          <w:sz w:val="20"/>
          <w:szCs w:val="20"/>
          <w:color w:val="auto"/>
        </w:rPr>
      </w:pPr>
    </w:p>
    <w:p>
      <w:pPr>
        <w:ind w:right="60" w:firstLine="58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lvl w:ilvl="1">
      <w:lvlJc w:val="left"/>
      <w:lvlText w:val="(%2)"/>
      <w:numFmt w:val="decimal"/>
      <w:start w:val="4"/>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04"/>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76" Type="http://schemas.openxmlformats.org/officeDocument/2006/relationships/hyperlink" Target="http://www.sec.gov/Archives/edgar/data/723603/000156459022024770/culp-ex101_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2022-09-09T08:19:34Z</dcterms:created>
  <dcterms:modified xsi:type="dcterms:W3CDTF">2022-09-09T08:19:34Z</dcterms:modified>
</cp:coreProperties>
</file>