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81280</wp:posOffset>
            </wp:positionV>
            <wp:extent cx="1602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100965</wp:posOffset>
            </wp:positionV>
            <wp:extent cx="1602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317"/>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February 2,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460" w:right="260" w:hanging="317"/>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1-12597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94615</wp:posOffset>
            </wp:positionV>
            <wp:extent cx="1602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CULP,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90170</wp:posOffset>
            </wp:positionV>
            <wp:extent cx="1602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60" w:type="dxa"/>
            <w:vAlign w:val="bottom"/>
            <w:gridSpan w:val="3"/>
          </w:tcPr>
          <w:p>
            <w:pPr>
              <w:jc w:val="center"/>
              <w:ind w:left="1684"/>
              <w:spacing w:after="0"/>
              <w:rPr>
                <w:sz w:val="20"/>
                <w:szCs w:val="20"/>
                <w:color w:val="auto"/>
              </w:rPr>
            </w:pPr>
            <w:r>
              <w:rPr>
                <w:rFonts w:ascii="Arial" w:cs="Arial" w:eastAsia="Arial" w:hAnsi="Arial"/>
                <w:sz w:val="16"/>
                <w:szCs w:val="16"/>
                <w:b w:val="1"/>
                <w:bCs w:val="1"/>
                <w:color w:val="auto"/>
              </w:rPr>
              <w:t>NORTH CAROLINA</w:t>
            </w: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Pr>
          <w:p>
            <w:pPr>
              <w:jc w:val="center"/>
              <w:ind w:right="2067"/>
              <w:spacing w:after="0"/>
              <w:rPr>
                <w:sz w:val="20"/>
                <w:szCs w:val="20"/>
                <w:color w:val="auto"/>
              </w:rPr>
            </w:pPr>
            <w:r>
              <w:rPr>
                <w:rFonts w:ascii="Arial" w:cs="Arial" w:eastAsia="Arial" w:hAnsi="Arial"/>
                <w:sz w:val="16"/>
                <w:szCs w:val="16"/>
                <w:b w:val="1"/>
                <w:bCs w:val="1"/>
                <w:color w:val="auto"/>
                <w:w w:val="91"/>
              </w:rPr>
              <w:t>56-1001967</w:t>
            </w:r>
          </w:p>
        </w:tc>
      </w:tr>
      <w:tr>
        <w:trPr>
          <w:trHeight w:val="148"/>
        </w:trPr>
        <w:tc>
          <w:tcPr>
            <w:tcW w:w="4360" w:type="dxa"/>
            <w:vAlign w:val="bottom"/>
            <w:gridSpan w:val="3"/>
          </w:tcPr>
          <w:p>
            <w:pPr>
              <w:jc w:val="center"/>
              <w:ind w:left="1684"/>
              <w:spacing w:after="0"/>
              <w:rPr>
                <w:sz w:val="20"/>
                <w:szCs w:val="20"/>
                <w:color w:val="auto"/>
              </w:rPr>
            </w:pPr>
            <w:r>
              <w:rPr>
                <w:rFonts w:ascii="Arial" w:cs="Arial" w:eastAsia="Arial" w:hAnsi="Arial"/>
                <w:sz w:val="13"/>
                <w:szCs w:val="13"/>
                <w:b w:val="1"/>
                <w:bCs w:val="1"/>
                <w:color w:val="auto"/>
                <w:w w:val="94"/>
              </w:rPr>
              <w:t>(State or other jurisdiction of</w:t>
            </w:r>
          </w:p>
        </w:tc>
        <w:tc>
          <w:tcPr>
            <w:tcW w:w="2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80" w:type="dxa"/>
            <w:vAlign w:val="bottom"/>
          </w:tcPr>
          <w:p>
            <w:pPr>
              <w:jc w:val="center"/>
              <w:ind w:right="2047"/>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4360" w:type="dxa"/>
            <w:vAlign w:val="bottom"/>
            <w:gridSpan w:val="3"/>
          </w:tcPr>
          <w:p>
            <w:pPr>
              <w:jc w:val="center"/>
              <w:ind w:left="1684"/>
              <w:spacing w:after="0"/>
              <w:rPr>
                <w:sz w:val="20"/>
                <w:szCs w:val="20"/>
                <w:color w:val="auto"/>
              </w:rPr>
            </w:pPr>
            <w:r>
              <w:rPr>
                <w:rFonts w:ascii="Arial" w:cs="Arial" w:eastAsia="Arial" w:hAnsi="Arial"/>
                <w:sz w:val="13"/>
                <w:szCs w:val="13"/>
                <w:b w:val="1"/>
                <w:bCs w:val="1"/>
                <w:color w:val="auto"/>
                <w:w w:val="95"/>
              </w:rPr>
              <w:t>incorporation or other organization)</w:t>
            </w:r>
          </w:p>
        </w:tc>
        <w:tc>
          <w:tcPr>
            <w:tcW w:w="2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jc w:val="center"/>
              <w:ind w:right="2067"/>
              <w:spacing w:after="0"/>
              <w:rPr>
                <w:sz w:val="20"/>
                <w:szCs w:val="20"/>
                <w:color w:val="auto"/>
              </w:rPr>
            </w:pPr>
            <w:r>
              <w:rPr>
                <w:rFonts w:ascii="Arial" w:cs="Arial" w:eastAsia="Arial" w:hAnsi="Arial"/>
                <w:sz w:val="13"/>
                <w:szCs w:val="13"/>
                <w:b w:val="1"/>
                <w:bCs w:val="1"/>
                <w:color w:val="auto"/>
                <w:w w:val="96"/>
              </w:rPr>
              <w:t>Identification No.)</w:t>
            </w:r>
          </w:p>
        </w:tc>
      </w:tr>
      <w:tr>
        <w:trPr>
          <w:trHeight w:val="297"/>
        </w:trPr>
        <w:tc>
          <w:tcPr>
            <w:tcW w:w="4360" w:type="dxa"/>
            <w:vAlign w:val="bottom"/>
            <w:gridSpan w:val="3"/>
          </w:tcPr>
          <w:p>
            <w:pPr>
              <w:jc w:val="center"/>
              <w:ind w:left="1684"/>
              <w:spacing w:after="0"/>
              <w:rPr>
                <w:sz w:val="20"/>
                <w:szCs w:val="20"/>
                <w:color w:val="auto"/>
              </w:rPr>
            </w:pPr>
            <w:r>
              <w:rPr>
                <w:rFonts w:ascii="Arial" w:cs="Arial" w:eastAsia="Arial" w:hAnsi="Arial"/>
                <w:sz w:val="16"/>
                <w:szCs w:val="16"/>
                <w:b w:val="1"/>
                <w:bCs w:val="1"/>
                <w:color w:val="auto"/>
                <w:w w:val="91"/>
              </w:rPr>
              <w:t>1823 Eastchester Drive</w:t>
            </w: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4"/>
        </w:trPr>
        <w:tc>
          <w:tcPr>
            <w:tcW w:w="4360" w:type="dxa"/>
            <w:vAlign w:val="bottom"/>
            <w:gridSpan w:val="3"/>
          </w:tcPr>
          <w:p>
            <w:pPr>
              <w:jc w:val="center"/>
              <w:ind w:left="1684"/>
              <w:spacing w:after="0"/>
              <w:rPr>
                <w:sz w:val="20"/>
                <w:szCs w:val="20"/>
                <w:color w:val="auto"/>
              </w:rPr>
            </w:pPr>
            <w:r>
              <w:rPr>
                <w:rFonts w:ascii="Arial" w:cs="Arial" w:eastAsia="Arial" w:hAnsi="Arial"/>
                <w:sz w:val="16"/>
                <w:szCs w:val="16"/>
                <w:b w:val="1"/>
                <w:bCs w:val="1"/>
                <w:color w:val="auto"/>
                <w:w w:val="93"/>
              </w:rPr>
              <w:t>High Point, North Carolina</w:t>
            </w: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Pr>
          <w:p>
            <w:pPr>
              <w:jc w:val="center"/>
              <w:ind w:right="2067"/>
              <w:spacing w:after="0"/>
              <w:rPr>
                <w:sz w:val="20"/>
                <w:szCs w:val="20"/>
                <w:color w:val="auto"/>
              </w:rPr>
            </w:pPr>
            <w:r>
              <w:rPr>
                <w:rFonts w:ascii="Arial" w:cs="Arial" w:eastAsia="Arial" w:hAnsi="Arial"/>
                <w:sz w:val="16"/>
                <w:szCs w:val="16"/>
                <w:b w:val="1"/>
                <w:bCs w:val="1"/>
                <w:color w:val="auto"/>
                <w:w w:val="91"/>
              </w:rPr>
              <w:t>27265-1402</w:t>
            </w:r>
          </w:p>
        </w:tc>
      </w:tr>
      <w:tr>
        <w:trPr>
          <w:trHeight w:val="174"/>
        </w:trPr>
        <w:tc>
          <w:tcPr>
            <w:tcW w:w="4360" w:type="dxa"/>
            <w:vAlign w:val="bottom"/>
            <w:gridSpan w:val="3"/>
          </w:tcPr>
          <w:p>
            <w:pPr>
              <w:jc w:val="center"/>
              <w:ind w:left="1684"/>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jc w:val="center"/>
              <w:ind w:right="2047"/>
              <w:spacing w:after="0"/>
              <w:rPr>
                <w:sz w:val="20"/>
                <w:szCs w:val="20"/>
                <w:color w:val="auto"/>
              </w:rPr>
            </w:pPr>
            <w:r>
              <w:rPr>
                <w:rFonts w:ascii="Arial" w:cs="Arial" w:eastAsia="Arial" w:hAnsi="Arial"/>
                <w:sz w:val="13"/>
                <w:szCs w:val="13"/>
                <w:b w:val="1"/>
                <w:bCs w:val="1"/>
                <w:color w:val="auto"/>
                <w:w w:val="92"/>
              </w:rPr>
              <w:t>(zip code)</w:t>
            </w:r>
          </w:p>
        </w:tc>
      </w:tr>
      <w:tr>
        <w:trPr>
          <w:trHeight w:val="288"/>
        </w:trPr>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(336) 889-5161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6"/>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80" w:type="dxa"/>
            <w:vAlign w:val="bottom"/>
          </w:tcPr>
          <w:p>
            <w:pPr>
              <w:spacing w:after="0"/>
              <w:rPr>
                <w:sz w:val="16"/>
                <w:szCs w:val="16"/>
                <w:color w:val="auto"/>
              </w:rPr>
            </w:pPr>
          </w:p>
        </w:tc>
      </w:tr>
      <w:tr>
        <w:trPr>
          <w:trHeight w:val="107"/>
        </w:trPr>
        <w:tc>
          <w:tcPr>
            <w:tcW w:w="3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800" w:type="dxa"/>
            <w:vAlign w:val="bottom"/>
            <w:gridSpan w:val="2"/>
          </w:tcPr>
          <w:p>
            <w:pPr>
              <w:spacing w:after="0"/>
              <w:rPr>
                <w:sz w:val="9"/>
                <w:szCs w:val="9"/>
                <w:color w:val="auto"/>
              </w:rPr>
            </w:pPr>
          </w:p>
        </w:tc>
      </w:tr>
      <w:tr>
        <w:trPr>
          <w:trHeight w:val="304"/>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7"/>
        </w:trPr>
        <w:tc>
          <w:tcPr>
            <w:tcW w:w="3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6"/>
              </w:rPr>
              <w:t>Trading</w:t>
            </w: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w w:val="92"/>
              </w:rPr>
              <w:t>Name of Each Exchange</w:t>
            </w:r>
          </w:p>
        </w:tc>
      </w:tr>
      <w:tr>
        <w:trPr>
          <w:trHeight w:val="161"/>
        </w:trPr>
        <w:tc>
          <w:tcPr>
            <w:tcW w:w="4360" w:type="dxa"/>
            <w:vAlign w:val="bottom"/>
            <w:gridSpan w:val="3"/>
          </w:tcPr>
          <w:p>
            <w:pPr>
              <w:jc w:val="center"/>
              <w:ind w:right="568"/>
              <w:spacing w:after="0"/>
              <w:rPr>
                <w:sz w:val="20"/>
                <w:szCs w:val="20"/>
                <w:color w:val="auto"/>
              </w:rPr>
            </w:pPr>
            <w:r>
              <w:rPr>
                <w:rFonts w:ascii="Arial" w:cs="Arial" w:eastAsia="Arial" w:hAnsi="Arial"/>
                <w:sz w:val="13"/>
                <w:szCs w:val="13"/>
                <w:b w:val="1"/>
                <w:bCs w:val="1"/>
                <w:color w:val="auto"/>
                <w:w w:val="93"/>
              </w:rPr>
              <w:t>Title of Each Class</w:t>
            </w:r>
          </w:p>
        </w:tc>
        <w:tc>
          <w:tcPr>
            <w:tcW w:w="320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2"/>
              </w:rPr>
              <w:t>Symbol(s)</w:t>
            </w: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w w:val="94"/>
              </w:rPr>
              <w:t>On Which Registered</w:t>
            </w:r>
          </w:p>
        </w:tc>
      </w:tr>
      <w:tr>
        <w:trPr>
          <w:trHeight w:val="20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$0.05/Share</w:t>
            </w: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6"/>
                <w:szCs w:val="16"/>
                <w:b w:val="1"/>
                <w:bCs w:val="1"/>
                <w:color w:val="auto"/>
              </w:rPr>
              <w:t>CULP</w:t>
            </w:r>
          </w:p>
        </w:tc>
        <w:tc>
          <w:tcPr>
            <w:tcW w:w="12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41" w:lineRule="exact"/>
        <w:rPr>
          <w:sz w:val="24"/>
          <w:szCs w:val="24"/>
          <w:color w:val="auto"/>
        </w:rPr>
      </w:pPr>
    </w:p>
    <w:p>
      <w:pPr>
        <w:ind w:right="60"/>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 NO </w:t>
      </w:r>
      <w:r>
        <w:rPr>
          <w:rFonts w:ascii="MS PGothic" w:cs="MS PGothic" w:eastAsia="MS PGothic" w:hAnsi="MS PGothic"/>
          <w:sz w:val="18"/>
          <w:szCs w:val="18"/>
          <w:color w:val="auto"/>
        </w:rPr>
        <w:t>☐</w:t>
      </w:r>
    </w:p>
    <w:p>
      <w:pPr>
        <w:spacing w:after="0" w:line="30" w:lineRule="exact"/>
        <w:rPr>
          <w:sz w:val="24"/>
          <w:szCs w:val="24"/>
          <w:color w:val="auto"/>
        </w:rPr>
      </w:pPr>
    </w:p>
    <w:p>
      <w:pPr>
        <w:ind w:right="80"/>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 NO </w:t>
      </w:r>
      <w:r>
        <w:rPr>
          <w:rFonts w:ascii="MS PGothic" w:cs="MS PGothic" w:eastAsia="MS PGothic" w:hAnsi="MS PGothic"/>
          <w:sz w:val="18"/>
          <w:szCs w:val="18"/>
          <w:color w:val="auto"/>
        </w:rPr>
        <w:t>☐</w:t>
      </w:r>
    </w:p>
    <w:p>
      <w:pPr>
        <w:spacing w:after="0" w:line="43" w:lineRule="exact"/>
        <w:rPr>
          <w:sz w:val="24"/>
          <w:szCs w:val="24"/>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780"/>
              <w:spacing w:after="0"/>
              <w:rPr>
                <w:sz w:val="20"/>
                <w:szCs w:val="20"/>
                <w:color w:val="auto"/>
              </w:rPr>
            </w:pPr>
            <w:r>
              <w:rPr>
                <w:rFonts w:ascii="Arial" w:cs="Arial" w:eastAsia="Arial" w:hAnsi="Arial"/>
                <w:sz w:val="16"/>
                <w:szCs w:val="16"/>
                <w:b w:val="1"/>
                <w:bCs w:val="1"/>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98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780"/>
              <w:spacing w:after="0"/>
              <w:rPr>
                <w:sz w:val="20"/>
                <w:szCs w:val="20"/>
                <w:color w:val="auto"/>
              </w:rPr>
            </w:pPr>
            <w:r>
              <w:rPr>
                <w:rFonts w:ascii="Arial" w:cs="Arial" w:eastAsia="Arial" w:hAnsi="Arial"/>
                <w:sz w:val="16"/>
                <w:szCs w:val="16"/>
                <w:b w:val="1"/>
                <w:bCs w:val="1"/>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tcPr>
          <w:p>
            <w:pPr>
              <w:ind w:left="2780"/>
              <w:spacing w:after="0"/>
              <w:rPr>
                <w:sz w:val="20"/>
                <w:szCs w:val="20"/>
                <w:color w:val="auto"/>
              </w:rPr>
            </w:pPr>
            <w:r>
              <w:rPr>
                <w:rFonts w:ascii="Arial" w:cs="Arial" w:eastAsia="Arial" w:hAnsi="Arial"/>
                <w:sz w:val="16"/>
                <w:szCs w:val="16"/>
                <w:b w:val="1"/>
                <w:bCs w:val="1"/>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7" w:lineRule="exact"/>
        <w:rPr>
          <w:sz w:val="24"/>
          <w:szCs w:val="24"/>
          <w:color w:val="auto"/>
        </w:rPr>
      </w:pPr>
    </w:p>
    <w:p>
      <w:pPr>
        <w:ind w:right="120"/>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8840" w:val="left"/>
        </w:tabs>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YES  NO</w:t>
      </w:r>
      <w:r>
        <w:rPr>
          <w:rFonts w:ascii="MS PGothic" w:cs="MS PGothic" w:eastAsia="MS PGothic" w:hAnsi="MS PGothic"/>
          <w:sz w:val="18"/>
          <w:szCs w:val="18"/>
          <w:color w:val="auto"/>
        </w:rPr>
        <w:t xml:space="preserve"> ☒</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the number of shares outstanding of each of the issuer’s classes of common stock, as of the latest practicable date: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 outstanding at March 12, 2020: 12,274,434</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507365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period ended February 2,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80" w:type="dxa"/>
            <w:vAlign w:val="bottom"/>
            <w:gridSpan w:val="15"/>
            <w:vMerge w:val="restart"/>
          </w:tcPr>
          <w:p>
            <w:pPr>
              <w:jc w:val="center"/>
              <w:ind w:right="3160"/>
              <w:spacing w:after="0"/>
              <w:rPr>
                <w:sz w:val="20"/>
                <w:szCs w:val="20"/>
                <w:color w:val="auto"/>
              </w:rPr>
            </w:pPr>
            <w:r>
              <w:rPr>
                <w:rFonts w:ascii="Arial" w:cs="Arial" w:eastAsia="Arial" w:hAnsi="Arial"/>
                <w:sz w:val="16"/>
                <w:szCs w:val="16"/>
                <w:b w:val="1"/>
                <w:bCs w:val="1"/>
                <w:color w:val="auto"/>
                <w:w w:val="92"/>
              </w:rPr>
              <w:t>Part I - Financial Statements</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Page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780" w:type="dxa"/>
            <w:vAlign w:val="bottom"/>
            <w:gridSpan w:val="15"/>
            <w:vMerge w:val="continue"/>
          </w:tcPr>
          <w:p>
            <w:pPr>
              <w:spacing w:after="0"/>
              <w:rPr>
                <w:sz w:val="13"/>
                <w:szCs w:val="13"/>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318"/>
        </w:trPr>
        <w:tc>
          <w:tcPr>
            <w:tcW w:w="2740" w:type="dxa"/>
            <w:vAlign w:val="bottom"/>
            <w:tcBorders>
              <w:bottom w:val="single" w:sz="8" w:color="0000EE"/>
            </w:tcBorders>
            <w:gridSpan w:val="7"/>
          </w:tcPr>
          <w:p>
            <w:pPr>
              <w:spacing w:after="0"/>
              <w:rPr>
                <w:rFonts w:ascii="Arial" w:cs="Arial" w:eastAsia="Arial" w:hAnsi="Arial"/>
                <w:sz w:val="16"/>
                <w:szCs w:val="16"/>
                <w:color w:val="0000EE"/>
                <w:w w:val="92"/>
              </w:rPr>
            </w:pPr>
            <w:hyperlink w:anchor="page3">
              <w:r>
                <w:rPr>
                  <w:rFonts w:ascii="Arial" w:cs="Arial" w:eastAsia="Arial" w:hAnsi="Arial"/>
                  <w:sz w:val="16"/>
                  <w:szCs w:val="16"/>
                  <w:color w:val="0000EE"/>
                  <w:w w:val="92"/>
                </w:rPr>
                <w:t>Item 1. Financial Statements: (Unaudited)</w:t>
              </w:r>
            </w:hyperlink>
          </w:p>
        </w:tc>
        <w:tc>
          <w:tcPr>
            <w:tcW w:w="1240" w:type="dxa"/>
            <w:vAlign w:val="bottom"/>
            <w:gridSpan w:val="2"/>
          </w:tcPr>
          <w:p>
            <w:pPr>
              <w:spacing w:after="0"/>
              <w:rPr>
                <w:sz w:val="24"/>
                <w:szCs w:val="24"/>
                <w:color w:val="auto"/>
              </w:rPr>
            </w:pPr>
          </w:p>
        </w:tc>
        <w:tc>
          <w:tcPr>
            <w:tcW w:w="1980" w:type="dxa"/>
            <w:vAlign w:val="bottom"/>
            <w:tcBorders>
              <w:top w:val="single" w:sz="8" w:color="auto"/>
            </w:tcBorders>
            <w:gridSpan w:val="6"/>
          </w:tcPr>
          <w:p>
            <w:pPr>
              <w:spacing w:after="0"/>
              <w:rPr>
                <w:sz w:val="24"/>
                <w:szCs w:val="24"/>
                <w:color w:val="auto"/>
              </w:rPr>
            </w:pPr>
          </w:p>
        </w:tc>
        <w:tc>
          <w:tcPr>
            <w:tcW w:w="3980" w:type="dxa"/>
            <w:vAlign w:val="bottom"/>
            <w:gridSpan w:val="8"/>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9600" w:type="dxa"/>
            <w:vAlign w:val="bottom"/>
            <w:gridSpan w:val="22"/>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 xml:space="preserve">Consolidated Statements of Net (Loss) Income — Three and Nine Months Ended February 2, 2020 and </w:t>
              </w:r>
            </w:hyperlink>
            <w:r>
              <w:rPr>
                <w:rFonts w:ascii="Arial" w:cs="Arial" w:eastAsia="Arial" w:hAnsi="Arial"/>
                <w:sz w:val="16"/>
                <w:szCs w:val="16"/>
                <w:color w:val="000000"/>
              </w:rPr>
              <w:t>January</w:t>
            </w:r>
            <w:r>
              <w:rPr>
                <w:rFonts w:ascii="Arial" w:cs="Arial" w:eastAsia="Arial" w:hAnsi="Arial"/>
                <w:sz w:val="16"/>
                <w:szCs w:val="16"/>
                <w:color w:val="0000EE"/>
              </w:rPr>
              <w:t xml:space="preserve"> </w:t>
            </w:r>
            <w:r>
              <w:rPr>
                <w:rFonts w:ascii="Arial" w:cs="Arial" w:eastAsia="Arial" w:hAnsi="Arial"/>
                <w:sz w:val="16"/>
                <w:szCs w:val="16"/>
                <w:color w:val="000000"/>
              </w:rPr>
              <w:t>27, 2019</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I-2</w:t>
            </w: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9600" w:type="dxa"/>
            <w:vAlign w:val="bottom"/>
            <w:gridSpan w:val="2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Consolidated Statements of Comprehensive (Loss) Income – Three and Nine Months Ended February 2, 2020 and </w:t>
              </w:r>
            </w:hyperlink>
            <w:r>
              <w:rPr>
                <w:rFonts w:ascii="Arial" w:cs="Arial" w:eastAsia="Arial" w:hAnsi="Arial"/>
                <w:sz w:val="16"/>
                <w:szCs w:val="16"/>
                <w:color w:val="000000"/>
              </w:rPr>
              <w:t>January</w:t>
            </w:r>
            <w:r>
              <w:rPr>
                <w:rFonts w:ascii="Arial" w:cs="Arial" w:eastAsia="Arial" w:hAnsi="Arial"/>
                <w:sz w:val="16"/>
                <w:szCs w:val="16"/>
                <w:color w:val="0000EE"/>
              </w:rPr>
              <w:t xml:space="preserve"> </w:t>
            </w:r>
            <w:r>
              <w:rPr>
                <w:rFonts w:ascii="Arial" w:cs="Arial" w:eastAsia="Arial" w:hAnsi="Arial"/>
                <w:sz w:val="16"/>
                <w:szCs w:val="16"/>
                <w:color w:val="000000"/>
              </w:rPr>
              <w:t>27, 2019</w:t>
            </w: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7440" w:type="dxa"/>
            <w:vAlign w:val="bottom"/>
            <w:tcBorders>
              <w:top w:val="single" w:sz="8" w:color="0000EE"/>
            </w:tcBorders>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 February 2, 2020, January 27, 2019, and April 28, 2019</w:t>
              </w:r>
            </w:hyperlink>
          </w:p>
        </w:tc>
        <w:tc>
          <w:tcPr>
            <w:tcW w:w="1100" w:type="dxa"/>
            <w:vAlign w:val="bottom"/>
            <w:tcBorders>
              <w:top w:val="single" w:sz="8" w:color="auto"/>
            </w:tcBorders>
            <w:gridSpan w:val="2"/>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I-4</w:t>
            </w: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9600" w:type="dxa"/>
            <w:vAlign w:val="bottom"/>
            <w:gridSpan w:val="22"/>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 xml:space="preserve">Consolidated Statements of Cash Flows — Nine Months Ended February 2, 2020 and </w:t>
              </w:r>
            </w:hyperlink>
            <w:r>
              <w:rPr>
                <w:rFonts w:ascii="Arial" w:cs="Arial" w:eastAsia="Arial" w:hAnsi="Arial"/>
                <w:sz w:val="16"/>
                <w:szCs w:val="16"/>
                <w:color w:val="000000"/>
              </w:rPr>
              <w:t>January</w:t>
            </w:r>
            <w:r>
              <w:rPr>
                <w:rFonts w:ascii="Arial" w:cs="Arial" w:eastAsia="Arial" w:hAnsi="Arial"/>
                <w:sz w:val="16"/>
                <w:szCs w:val="16"/>
                <w:color w:val="0000EE"/>
              </w:rPr>
              <w:t xml:space="preserve"> </w:t>
            </w:r>
            <w:r>
              <w:rPr>
                <w:rFonts w:ascii="Arial" w:cs="Arial" w:eastAsia="Arial" w:hAnsi="Arial"/>
                <w:sz w:val="16"/>
                <w:szCs w:val="16"/>
                <w:color w:val="000000"/>
              </w:rPr>
              <w:t>27, 2019</w:t>
            </w: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auto"/>
            </w:tcBorders>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I-5</w:t>
            </w: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9600" w:type="dxa"/>
            <w:vAlign w:val="bottom"/>
            <w:gridSpan w:val="2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 xml:space="preserve">Consolidated Statements of Shareholders’ Equity – Nine Months Ended </w:t>
              </w:r>
            </w:hyperlink>
            <w:r>
              <w:rPr>
                <w:rFonts w:ascii="Arial" w:cs="Arial" w:eastAsia="Arial" w:hAnsi="Arial"/>
                <w:sz w:val="16"/>
                <w:szCs w:val="16"/>
                <w:color w:val="000000"/>
              </w:rPr>
              <w:t>February</w:t>
            </w:r>
            <w:r>
              <w:rPr>
                <w:rFonts w:ascii="Arial" w:cs="Arial" w:eastAsia="Arial" w:hAnsi="Arial"/>
                <w:sz w:val="16"/>
                <w:szCs w:val="16"/>
                <w:color w:val="0000EE"/>
              </w:rPr>
              <w:t xml:space="preserve"> </w:t>
            </w:r>
            <w:r>
              <w:rPr>
                <w:rFonts w:ascii="Arial" w:cs="Arial" w:eastAsia="Arial" w:hAnsi="Arial"/>
                <w:sz w:val="16"/>
                <w:szCs w:val="16"/>
                <w:color w:val="000000"/>
              </w:rPr>
              <w:t>2, 2020</w:t>
            </w: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I-6</w:t>
            </w: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9600" w:type="dxa"/>
            <w:vAlign w:val="bottom"/>
            <w:gridSpan w:val="2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 xml:space="preserve">Consolidated Statements of Shareholders’ Equity – Nine Months Ended </w:t>
              </w:r>
            </w:hyperlink>
            <w:r>
              <w:rPr>
                <w:rFonts w:ascii="Arial" w:cs="Arial" w:eastAsia="Arial" w:hAnsi="Arial"/>
                <w:sz w:val="16"/>
                <w:szCs w:val="16"/>
                <w:color w:val="000000"/>
              </w:rPr>
              <w:t>January</w:t>
            </w:r>
            <w:r>
              <w:rPr>
                <w:rFonts w:ascii="Arial" w:cs="Arial" w:eastAsia="Arial" w:hAnsi="Arial"/>
                <w:sz w:val="16"/>
                <w:szCs w:val="16"/>
                <w:color w:val="0000EE"/>
              </w:rPr>
              <w:t xml:space="preserve"> </w:t>
            </w:r>
            <w:r>
              <w:rPr>
                <w:rFonts w:ascii="Arial" w:cs="Arial" w:eastAsia="Arial" w:hAnsi="Arial"/>
                <w:sz w:val="16"/>
                <w:szCs w:val="16"/>
                <w:color w:val="000000"/>
              </w:rPr>
              <w:t>27, 2010</w:t>
            </w: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4700" w:type="dxa"/>
            <w:vAlign w:val="bottom"/>
            <w:tcBorders>
              <w:top w:val="single" w:sz="8" w:color="0000EE"/>
            </w:tcBorders>
            <w:gridSpan w:val="13"/>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Notes to Consolidated Financial Statements</w:t>
              </w:r>
            </w:hyperlink>
          </w:p>
        </w:tc>
        <w:tc>
          <w:tcPr>
            <w:tcW w:w="1100" w:type="dxa"/>
            <w:vAlign w:val="bottom"/>
            <w:tcBorders>
              <w:top w:val="single" w:sz="8" w:color="auto"/>
            </w:tcBorders>
            <w:gridSpan w:val="3"/>
          </w:tcPr>
          <w:p>
            <w:pPr>
              <w:spacing w:after="0"/>
              <w:rPr>
                <w:sz w:val="24"/>
                <w:szCs w:val="24"/>
                <w:color w:val="auto"/>
              </w:rPr>
            </w:pPr>
          </w:p>
        </w:tc>
        <w:tc>
          <w:tcPr>
            <w:tcW w:w="3800" w:type="dxa"/>
            <w:vAlign w:val="bottom"/>
            <w:gridSpan w:val="6"/>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I-30</w:t>
            </w:r>
          </w:p>
        </w:tc>
        <w:tc>
          <w:tcPr>
            <w:tcW w:w="0" w:type="dxa"/>
            <w:vAlign w:val="bottom"/>
          </w:tcPr>
          <w:p>
            <w:pPr>
              <w:spacing w:after="0" w:line="20" w:lineRule="exact"/>
              <w:rPr>
                <w:sz w:val="1"/>
                <w:szCs w:val="1"/>
                <w:color w:val="auto"/>
              </w:rPr>
            </w:pPr>
          </w:p>
        </w:tc>
      </w:tr>
      <w:tr>
        <w:trPr>
          <w:trHeight w:val="318"/>
        </w:trPr>
        <w:tc>
          <w:tcPr>
            <w:tcW w:w="4220" w:type="dxa"/>
            <w:vAlign w:val="bottom"/>
            <w:tcBorders>
              <w:bottom w:val="single" w:sz="8" w:color="0000EE"/>
            </w:tcBorders>
            <w:gridSpan w:val="11"/>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Cautionary Statement Concerning Forward-Looking Information</w:t>
              </w:r>
            </w:hyperlink>
          </w:p>
        </w:tc>
        <w:tc>
          <w:tcPr>
            <w:tcW w:w="5720" w:type="dxa"/>
            <w:vAlign w:val="bottom"/>
            <w:gridSpan w:val="12"/>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940" w:type="dxa"/>
            <w:vAlign w:val="bottom"/>
            <w:gridSpan w:val="23"/>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Item 2. Management’s Discussion and Analysis of Financial Condition and Results of Operations</w:t>
              </w:r>
            </w:hyperlink>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I-31</w:t>
            </w:r>
          </w:p>
        </w:tc>
        <w:tc>
          <w:tcPr>
            <w:tcW w:w="0" w:type="dxa"/>
            <w:vAlign w:val="bottom"/>
          </w:tcPr>
          <w:p>
            <w:pPr>
              <w:spacing w:after="0"/>
              <w:rPr>
                <w:sz w:val="1"/>
                <w:szCs w:val="1"/>
                <w:color w:val="auto"/>
              </w:rPr>
            </w:pPr>
          </w:p>
        </w:tc>
      </w:tr>
      <w:tr>
        <w:trPr>
          <w:trHeight w:val="318"/>
        </w:trPr>
        <w:tc>
          <w:tcPr>
            <w:tcW w:w="444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3"/>
              </w:rPr>
            </w:pPr>
            <w:hyperlink w:anchor="page48">
              <w:r>
                <w:rPr>
                  <w:rFonts w:ascii="Arial" w:cs="Arial" w:eastAsia="Arial" w:hAnsi="Arial"/>
                  <w:sz w:val="16"/>
                  <w:szCs w:val="16"/>
                  <w:color w:val="0000EE"/>
                  <w:w w:val="93"/>
                </w:rPr>
                <w:t>Item 3. Quantitative and Qualitative Disclosures About Market Risk</w:t>
              </w:r>
            </w:hyperlink>
          </w:p>
        </w:tc>
        <w:tc>
          <w:tcPr>
            <w:tcW w:w="1880" w:type="dxa"/>
            <w:vAlign w:val="bottom"/>
            <w:tcBorders>
              <w:top w:val="single" w:sz="8" w:color="0000EE"/>
            </w:tcBorders>
            <w:gridSpan w:val="5"/>
          </w:tcPr>
          <w:p>
            <w:pPr>
              <w:spacing w:after="0"/>
              <w:rPr>
                <w:sz w:val="24"/>
                <w:szCs w:val="24"/>
                <w:color w:val="auto"/>
              </w:rPr>
            </w:pPr>
          </w:p>
        </w:tc>
        <w:tc>
          <w:tcPr>
            <w:tcW w:w="3620" w:type="dxa"/>
            <w:vAlign w:val="bottom"/>
            <w:gridSpan w:val="5"/>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I-46</w:t>
            </w:r>
          </w:p>
        </w:tc>
        <w:tc>
          <w:tcPr>
            <w:tcW w:w="0" w:type="dxa"/>
            <w:vAlign w:val="bottom"/>
          </w:tcPr>
          <w:p>
            <w:pPr>
              <w:spacing w:after="0"/>
              <w:rPr>
                <w:sz w:val="1"/>
                <w:szCs w:val="1"/>
                <w:color w:val="auto"/>
              </w:rPr>
            </w:pPr>
          </w:p>
        </w:tc>
      </w:tr>
      <w:tr>
        <w:trPr>
          <w:trHeight w:val="318"/>
        </w:trPr>
        <w:tc>
          <w:tcPr>
            <w:tcW w:w="9940" w:type="dxa"/>
            <w:vAlign w:val="bottom"/>
            <w:gridSpan w:val="23"/>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4. Controls and Procedures</w:t>
              </w:r>
            </w:hyperlink>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I-47</w:t>
            </w:r>
          </w:p>
        </w:tc>
        <w:tc>
          <w:tcPr>
            <w:tcW w:w="0" w:type="dxa"/>
            <w:vAlign w:val="bottom"/>
          </w:tcPr>
          <w:p>
            <w:pPr>
              <w:spacing w:after="0"/>
              <w:rPr>
                <w:sz w:val="1"/>
                <w:szCs w:val="1"/>
                <w:color w:val="auto"/>
              </w:rPr>
            </w:pPr>
          </w:p>
        </w:tc>
      </w:tr>
      <w:tr>
        <w:trPr>
          <w:trHeight w:val="318"/>
        </w:trPr>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20" w:type="dxa"/>
            <w:vAlign w:val="bottom"/>
            <w:gridSpan w:val="13"/>
          </w:tcPr>
          <w:p>
            <w:pPr>
              <w:jc w:val="center"/>
              <w:ind w:right="4020"/>
              <w:spacing w:after="0"/>
              <w:rPr>
                <w:sz w:val="20"/>
                <w:szCs w:val="20"/>
                <w:color w:val="auto"/>
              </w:rPr>
            </w:pPr>
            <w:r>
              <w:rPr>
                <w:rFonts w:ascii="Arial" w:cs="Arial" w:eastAsia="Arial" w:hAnsi="Arial"/>
                <w:sz w:val="16"/>
                <w:szCs w:val="16"/>
                <w:b w:val="1"/>
                <w:bCs w:val="1"/>
                <w:color w:val="auto"/>
                <w:w w:val="98"/>
              </w:rPr>
              <w:t>Part II - Other Information</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5"/>
          </w:tcPr>
          <w:p>
            <w:pPr>
              <w:spacing w:after="0" w:line="176" w:lineRule="exact"/>
              <w:rPr>
                <w:rFonts w:ascii="Arial" w:cs="Arial" w:eastAsia="Arial" w:hAnsi="Arial"/>
                <w:sz w:val="16"/>
                <w:szCs w:val="16"/>
                <w:color w:val="0000EE"/>
                <w:w w:val="90"/>
              </w:rPr>
            </w:pPr>
            <w:hyperlink w:anchor="page50">
              <w:r>
                <w:rPr>
                  <w:rFonts w:ascii="Arial" w:cs="Arial" w:eastAsia="Arial" w:hAnsi="Arial"/>
                  <w:sz w:val="16"/>
                  <w:szCs w:val="16"/>
                  <w:color w:val="0000EE"/>
                  <w:w w:val="90"/>
                </w:rPr>
                <w:t>Item 1. Legal Proceedings</w:t>
              </w:r>
            </w:hyperlink>
          </w:p>
        </w:tc>
        <w:tc>
          <w:tcPr>
            <w:tcW w:w="2320" w:type="dxa"/>
            <w:vAlign w:val="bottom"/>
            <w:gridSpan w:val="5"/>
          </w:tcPr>
          <w:p>
            <w:pPr>
              <w:spacing w:after="0"/>
              <w:rPr>
                <w:sz w:val="17"/>
                <w:szCs w:val="17"/>
                <w:color w:val="auto"/>
              </w:rPr>
            </w:pPr>
          </w:p>
        </w:tc>
        <w:tc>
          <w:tcPr>
            <w:tcW w:w="400" w:type="dxa"/>
            <w:vAlign w:val="bottom"/>
            <w:tcBorders>
              <w:top w:val="single" w:sz="8" w:color="auto"/>
            </w:tcBorders>
            <w:gridSpan w:val="2"/>
          </w:tcPr>
          <w:p>
            <w:pPr>
              <w:spacing w:after="0"/>
              <w:rPr>
                <w:sz w:val="17"/>
                <w:szCs w:val="17"/>
                <w:color w:val="auto"/>
              </w:rPr>
            </w:pPr>
          </w:p>
        </w:tc>
        <w:tc>
          <w:tcPr>
            <w:tcW w:w="1540" w:type="dxa"/>
            <w:vAlign w:val="bottom"/>
            <w:tcBorders>
              <w:top w:val="single" w:sz="8" w:color="auto"/>
            </w:tcBorders>
            <w:gridSpan w:val="3"/>
          </w:tcPr>
          <w:p>
            <w:pPr>
              <w:spacing w:after="0"/>
              <w:rPr>
                <w:sz w:val="17"/>
                <w:szCs w:val="17"/>
                <w:color w:val="auto"/>
              </w:rPr>
            </w:pPr>
          </w:p>
        </w:tc>
        <w:tc>
          <w:tcPr>
            <w:tcW w:w="3980" w:type="dxa"/>
            <w:vAlign w:val="bottom"/>
            <w:gridSpan w:val="8"/>
          </w:tcPr>
          <w:p>
            <w:pPr>
              <w:spacing w:after="0"/>
              <w:rPr>
                <w:sz w:val="17"/>
                <w:szCs w:val="17"/>
                <w:color w:val="auto"/>
              </w:rPr>
            </w:pPr>
          </w:p>
        </w:tc>
        <w:tc>
          <w:tcPr>
            <w:tcW w:w="13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18"/>
        </w:trPr>
        <w:tc>
          <w:tcPr>
            <w:tcW w:w="144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50">
              <w:r>
                <w:rPr>
                  <w:rFonts w:ascii="Arial" w:cs="Arial" w:eastAsia="Arial" w:hAnsi="Arial"/>
                  <w:sz w:val="16"/>
                  <w:szCs w:val="16"/>
                  <w:color w:val="0000EE"/>
                  <w:w w:val="92"/>
                </w:rPr>
                <w:t>Item 1A. Risk Factors</w:t>
              </w:r>
            </w:hyperlink>
          </w:p>
        </w:tc>
        <w:tc>
          <w:tcPr>
            <w:tcW w:w="8500" w:type="dxa"/>
            <w:vAlign w:val="bottom"/>
            <w:gridSpan w:val="19"/>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18"/>
        </w:trPr>
        <w:tc>
          <w:tcPr>
            <w:tcW w:w="9940" w:type="dxa"/>
            <w:vAlign w:val="bottom"/>
            <w:gridSpan w:val="23"/>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2. Unregistered Sales of Equity Securities and Use of Proceeds</w:t>
              </w:r>
            </w:hyperlink>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18"/>
        </w:trPr>
        <w:tc>
          <w:tcPr>
            <w:tcW w:w="4420" w:type="dxa"/>
            <w:vAlign w:val="bottom"/>
            <w:tcBorders>
              <w:top w:val="single" w:sz="8" w:color="0000EE"/>
            </w:tcBorders>
            <w:gridSpan w:val="12"/>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Item 6. Exhibits</w:t>
              </w:r>
            </w:hyperlink>
          </w:p>
        </w:tc>
        <w:tc>
          <w:tcPr>
            <w:tcW w:w="5520" w:type="dxa"/>
            <w:vAlign w:val="bottom"/>
            <w:gridSpan w:val="11"/>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r>
        <w:trPr>
          <w:trHeight w:val="318"/>
        </w:trPr>
        <w:tc>
          <w:tcPr>
            <w:tcW w:w="1040" w:type="dxa"/>
            <w:vAlign w:val="bottom"/>
            <w:tcBorders>
              <w:top w:val="single" w:sz="8" w:color="0000EE"/>
            </w:tcBorders>
            <w:gridSpan w:val="3"/>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Signatures</w:t>
              </w:r>
            </w:hyperlink>
          </w:p>
        </w:tc>
        <w:tc>
          <w:tcPr>
            <w:tcW w:w="8900" w:type="dxa"/>
            <w:vAlign w:val="bottom"/>
            <w:gridSpan w:val="20"/>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1229"/>
        </w:trPr>
        <w:tc>
          <w:tcPr>
            <w:tcW w:w="34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FEBRUARY 2, 2020 AND JANUARY 27,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for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5"/>
              </w:rPr>
              <w:t>February 2,</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96"/>
              <w:spacing w:after="0" w:line="133" w:lineRule="exact"/>
              <w:rPr>
                <w:sz w:val="20"/>
                <w:szCs w:val="20"/>
                <w:color w:val="auto"/>
              </w:rPr>
            </w:pPr>
            <w:r>
              <w:rPr>
                <w:rFonts w:ascii="Arial" w:cs="Arial" w:eastAsia="Arial" w:hAnsi="Arial"/>
                <w:sz w:val="14"/>
                <w:szCs w:val="14"/>
                <w:color w:val="auto"/>
                <w:w w:val="90"/>
              </w:rPr>
              <w:t>January 27,</w:t>
            </w:r>
          </w:p>
        </w:tc>
        <w:tc>
          <w:tcPr>
            <w:tcW w:w="120" w:type="dxa"/>
            <w:vAlign w:val="bottom"/>
          </w:tcPr>
          <w:p>
            <w:pPr>
              <w:spacing w:after="0"/>
              <w:rPr>
                <w:sz w:val="11"/>
                <w:szCs w:val="1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sales</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71,998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77,226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sales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59,614</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63,103</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12,384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14,123</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9,952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10,038</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Asset impairments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13,639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Reversal of contingent consideration - earn-out obligation</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(6,081)</w:t>
            </w:r>
          </w:p>
        </w:tc>
        <w:tc>
          <w:tcPr>
            <w:tcW w:w="2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Restructuring credit</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(35)</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(214)</w:t>
            </w:r>
          </w:p>
        </w:tc>
      </w:tr>
      <w:tr>
        <w:trPr>
          <w:trHeight w:val="210"/>
        </w:trPr>
        <w:tc>
          <w:tcPr>
            <w:tcW w:w="7720" w:type="dxa"/>
            <w:vAlign w:val="bottom"/>
          </w:tcPr>
          <w:p>
            <w:pPr>
              <w:ind w:left="500"/>
              <w:spacing w:after="0"/>
              <w:rPr>
                <w:sz w:val="20"/>
                <w:szCs w:val="20"/>
                <w:color w:val="auto"/>
              </w:rPr>
            </w:pPr>
            <w:r>
              <w:rPr>
                <w:rFonts w:ascii="Arial" w:cs="Arial" w:eastAsia="Arial" w:hAnsi="Arial"/>
                <w:sz w:val="17"/>
                <w:szCs w:val="17"/>
                <w:color w:val="auto"/>
              </w:rPr>
              <w:t>(Loss) income from operations</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(5,091)</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(242)</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(251)</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expense</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267</w:t>
            </w:r>
          </w:p>
        </w:tc>
        <w:tc>
          <w:tcPr>
            <w:tcW w:w="2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288</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ind w:left="500"/>
              <w:spacing w:after="0"/>
              <w:rPr>
                <w:sz w:val="20"/>
                <w:szCs w:val="20"/>
                <w:color w:val="auto"/>
              </w:rPr>
            </w:pPr>
            <w:r>
              <w:rPr>
                <w:rFonts w:ascii="Arial" w:cs="Arial" w:eastAsia="Arial" w:hAnsi="Arial"/>
                <w:sz w:val="17"/>
                <w:szCs w:val="17"/>
                <w:color w:val="auto"/>
              </w:rPr>
              <w:t>(Loss) income before income taxes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(5,124)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4,262</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 expense</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(973)</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Loss (income) from investment in unconsolidated joint venture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income</w:t>
            </w: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(4,207)</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3,060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Net loss attributable to non-controlling interest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4,149</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income attributable to Culp, Inc. common shareholders</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(58)</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0"/>
        </w:trPr>
        <w:tc>
          <w:tcPr>
            <w:tcW w:w="7720" w:type="dxa"/>
            <w:vAlign w:val="bottom"/>
          </w:tcPr>
          <w:p>
            <w:pPr>
              <w:spacing w:after="0"/>
              <w:rPr>
                <w:sz w:val="20"/>
                <w:szCs w:val="20"/>
                <w:color w:val="auto"/>
              </w:rPr>
            </w:pPr>
            <w:r>
              <w:rPr>
                <w:rFonts w:ascii="Arial" w:cs="Arial" w:eastAsia="Arial" w:hAnsi="Arial"/>
                <w:sz w:val="17"/>
                <w:szCs w:val="17"/>
                <w:color w:val="auto"/>
              </w:rPr>
              <w:t>Net (loss) income attributable to Culp Inc. common shareholders per share - basic</w:t>
            </w: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0.00</w:t>
            </w:r>
          </w:p>
        </w:tc>
        <w:tc>
          <w:tcPr>
            <w:tcW w:w="280" w:type="dxa"/>
            <w:vAlign w:val="bottom"/>
          </w:tcPr>
          <w:p>
            <w:pPr>
              <w:spacing w:after="0"/>
              <w:rPr>
                <w:sz w:val="24"/>
                <w:szCs w:val="24"/>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24"/>
                <w:szCs w:val="24"/>
                <w:color w:val="auto"/>
              </w:rPr>
            </w:pPr>
          </w:p>
        </w:tc>
      </w:tr>
      <w:tr>
        <w:trPr>
          <w:trHeight w:val="218"/>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(loss) income attributable to Culp Inc. common shareholders per share - diluted</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Average shares outstanding, basic</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12,409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12,438</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Average shares outstanding, diluted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12,409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12,465</w:t>
            </w:r>
          </w:p>
        </w:tc>
        <w:tc>
          <w:tcPr>
            <w:tcW w:w="120" w:type="dxa"/>
            <w:vAlign w:val="bottom"/>
            <w:shd w:val="clear" w:color="auto" w:fill="CFF0FC"/>
          </w:tcPr>
          <w:p>
            <w:pPr>
              <w:spacing w:after="0"/>
              <w:rPr>
                <w:sz w:val="18"/>
                <w:szCs w:val="18"/>
                <w:color w:val="auto"/>
              </w:rPr>
            </w:pPr>
          </w:p>
        </w:tc>
      </w:tr>
      <w:tr>
        <w:trPr>
          <w:trHeight w:val="473"/>
        </w:trPr>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5"/>
              </w:rPr>
              <w:t>February 2,</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96"/>
              <w:spacing w:after="0" w:line="133" w:lineRule="exact"/>
              <w:rPr>
                <w:sz w:val="20"/>
                <w:szCs w:val="20"/>
                <w:color w:val="auto"/>
              </w:rPr>
            </w:pPr>
            <w:r>
              <w:rPr>
                <w:rFonts w:ascii="Arial" w:cs="Arial" w:eastAsia="Arial" w:hAnsi="Arial"/>
                <w:sz w:val="14"/>
                <w:szCs w:val="14"/>
                <w:color w:val="auto"/>
                <w:w w:val="90"/>
              </w:rPr>
              <w:t>January 27,</w:t>
            </w:r>
          </w:p>
        </w:tc>
        <w:tc>
          <w:tcPr>
            <w:tcW w:w="120" w:type="dxa"/>
            <w:vAlign w:val="bottom"/>
          </w:tcPr>
          <w:p>
            <w:pPr>
              <w:spacing w:after="0"/>
              <w:rPr>
                <w:sz w:val="11"/>
                <w:szCs w:val="1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sales</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219,465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225,705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sales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179,612</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187,697</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39,853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38,008</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30,783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28,174</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Asset impairments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13,639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Reversal of contingent consideration - earn-out obligation</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(6,081)</w:t>
            </w:r>
          </w:p>
        </w:tc>
        <w:tc>
          <w:tcPr>
            <w:tcW w:w="2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Restructuring credit</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(70)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(825)</w:t>
            </w:r>
          </w:p>
        </w:tc>
      </w:tr>
      <w:tr>
        <w:trPr>
          <w:trHeight w:val="210"/>
        </w:trPr>
        <w:tc>
          <w:tcPr>
            <w:tcW w:w="7720" w:type="dxa"/>
            <w:vAlign w:val="bottom"/>
          </w:tcPr>
          <w:p>
            <w:pPr>
              <w:ind w:left="500"/>
              <w:spacing w:after="0"/>
              <w:rPr>
                <w:sz w:val="20"/>
                <w:szCs w:val="20"/>
                <w:color w:val="auto"/>
              </w:rPr>
            </w:pPr>
            <w:r>
              <w:rPr>
                <w:rFonts w:ascii="Arial" w:cs="Arial" w:eastAsia="Arial" w:hAnsi="Arial"/>
                <w:sz w:val="17"/>
                <w:szCs w:val="17"/>
                <w:color w:val="auto"/>
              </w:rPr>
              <w:t>Income from operations</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1,582</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10,659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(732)</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(552)</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expense</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441</w:t>
            </w:r>
          </w:p>
        </w:tc>
        <w:tc>
          <w:tcPr>
            <w:tcW w:w="2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688</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Pr>
          <w:p>
            <w:pPr>
              <w:ind w:left="500"/>
              <w:spacing w:after="0"/>
              <w:rPr>
                <w:sz w:val="20"/>
                <w:szCs w:val="20"/>
                <w:color w:val="auto"/>
              </w:rPr>
            </w:pPr>
            <w:r>
              <w:rPr>
                <w:rFonts w:ascii="Arial" w:cs="Arial" w:eastAsia="Arial" w:hAnsi="Arial"/>
                <w:sz w:val="17"/>
                <w:szCs w:val="17"/>
                <w:color w:val="auto"/>
              </w:rPr>
              <w:t>Income before income taxes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1,826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10,485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2,607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Loss from investment in unconsolidated joint venture</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(loss) income</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(841)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6,969</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Net loss attributable to non-controlling interest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4,421</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attributable to Culp, Inc. common shareholders</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3,580</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7,044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0"/>
        </w:trPr>
        <w:tc>
          <w:tcPr>
            <w:tcW w:w="7720" w:type="dxa"/>
            <w:vAlign w:val="bottom"/>
          </w:tcPr>
          <w:p>
            <w:pPr>
              <w:spacing w:after="0"/>
              <w:rPr>
                <w:sz w:val="20"/>
                <w:szCs w:val="20"/>
                <w:color w:val="auto"/>
              </w:rPr>
            </w:pPr>
            <w:r>
              <w:rPr>
                <w:rFonts w:ascii="Arial" w:cs="Arial" w:eastAsia="Arial" w:hAnsi="Arial"/>
                <w:sz w:val="17"/>
                <w:szCs w:val="17"/>
                <w:color w:val="auto"/>
              </w:rPr>
              <w:t>Net income attributable to Culp Inc. common shareholders per share - basic</w:t>
            </w: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0.29</w:t>
            </w:r>
          </w:p>
        </w:tc>
        <w:tc>
          <w:tcPr>
            <w:tcW w:w="280" w:type="dxa"/>
            <w:vAlign w:val="bottom"/>
          </w:tcPr>
          <w:p>
            <w:pPr>
              <w:spacing w:after="0"/>
              <w:rPr>
                <w:sz w:val="24"/>
                <w:szCs w:val="24"/>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0.56</w:t>
            </w:r>
          </w:p>
        </w:tc>
        <w:tc>
          <w:tcPr>
            <w:tcW w:w="120" w:type="dxa"/>
            <w:vAlign w:val="bottom"/>
          </w:tcPr>
          <w:p>
            <w:pPr>
              <w:spacing w:after="0"/>
              <w:rPr>
                <w:sz w:val="24"/>
                <w:szCs w:val="24"/>
                <w:color w:val="auto"/>
              </w:rPr>
            </w:pPr>
          </w:p>
        </w:tc>
      </w:tr>
      <w:tr>
        <w:trPr>
          <w:trHeight w:val="218"/>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income attributable to Culp Inc. common shareholders per share - diluted</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0.29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Average shares outstanding, basic</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12,405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12,488</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Average shares outstanding, diluted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12,421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12,593</w:t>
            </w:r>
          </w:p>
        </w:tc>
        <w:tc>
          <w:tcPr>
            <w:tcW w:w="120" w:type="dxa"/>
            <w:vAlign w:val="bottom"/>
            <w:shd w:val="clear" w:color="auto" w:fill="CFF0FC"/>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FEBRUARY 2, 2020 AND JANUARY 27,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5"/>
              </w:rPr>
              <w:t>February 2,</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13"/>
              <w:spacing w:after="0" w:line="133" w:lineRule="exact"/>
              <w:rPr>
                <w:sz w:val="20"/>
                <w:szCs w:val="20"/>
                <w:color w:val="auto"/>
              </w:rPr>
            </w:pPr>
            <w:r>
              <w:rPr>
                <w:rFonts w:ascii="Arial" w:cs="Arial" w:eastAsia="Arial" w:hAnsi="Arial"/>
                <w:sz w:val="14"/>
                <w:szCs w:val="14"/>
                <w:color w:val="auto"/>
                <w:w w:val="90"/>
              </w:rPr>
              <w:t>January 27,</w:t>
            </w:r>
          </w:p>
        </w:tc>
        <w:tc>
          <w:tcPr>
            <w:tcW w:w="120" w:type="dxa"/>
            <w:vAlign w:val="bottom"/>
          </w:tcPr>
          <w:p>
            <w:pPr>
              <w:spacing w:after="0"/>
              <w:rPr>
                <w:sz w:val="11"/>
                <w:szCs w:val="1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(4,207)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120" w:type="dxa"/>
            <w:vAlign w:val="bottom"/>
            <w:shd w:val="clear" w:color="auto" w:fill="CFF0FC"/>
          </w:tcPr>
          <w:p>
            <w:pPr>
              <w:spacing w:after="0"/>
              <w:rPr>
                <w:sz w:val="19"/>
                <w:szCs w:val="19"/>
                <w:color w:val="auto"/>
              </w:rPr>
            </w:pPr>
          </w:p>
        </w:tc>
      </w:tr>
      <w:tr>
        <w:trPr>
          <w:trHeight w:val="459"/>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Unrealized holding gains (losses) on investments, net of tax</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Reclassification adjustment for realized loss on investments</w:t>
            </w:r>
          </w:p>
        </w:tc>
        <w:tc>
          <w:tcPr>
            <w:tcW w:w="2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9"/>
                <w:szCs w:val="19"/>
                <w:color w:val="auto"/>
              </w:rPr>
            </w:pPr>
          </w:p>
        </w:tc>
      </w:tr>
      <w:tr>
        <w:trPr>
          <w:trHeight w:val="453"/>
        </w:trPr>
        <w:tc>
          <w:tcPr>
            <w:tcW w:w="772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24"/>
                <w:szCs w:val="24"/>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Comprehensive loss attributable to non-controlling interest</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4,149</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Comprehensive (loss) income attributable to Culp, Inc. common shareholders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5"/>
              </w:rPr>
              <w:t>February 2,</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13"/>
              <w:spacing w:after="0" w:line="133" w:lineRule="exact"/>
              <w:rPr>
                <w:sz w:val="20"/>
                <w:szCs w:val="20"/>
                <w:color w:val="auto"/>
              </w:rPr>
            </w:pPr>
            <w:r>
              <w:rPr>
                <w:rFonts w:ascii="Arial" w:cs="Arial" w:eastAsia="Arial" w:hAnsi="Arial"/>
                <w:sz w:val="14"/>
                <w:szCs w:val="14"/>
                <w:color w:val="auto"/>
                <w:w w:val="90"/>
              </w:rPr>
              <w:t>January 27,</w:t>
            </w:r>
          </w:p>
        </w:tc>
        <w:tc>
          <w:tcPr>
            <w:tcW w:w="120" w:type="dxa"/>
            <w:vAlign w:val="bottom"/>
          </w:tcPr>
          <w:p>
            <w:pPr>
              <w:spacing w:after="0"/>
              <w:rPr>
                <w:sz w:val="11"/>
                <w:szCs w:val="1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w:t>
            </w:r>
          </w:p>
        </w:tc>
        <w:tc>
          <w:tcPr>
            <w:tcW w:w="120" w:type="dxa"/>
            <w:vAlign w:val="bottom"/>
            <w:shd w:val="clear" w:color="auto" w:fill="CFF0FC"/>
          </w:tcPr>
          <w:p>
            <w:pPr>
              <w:spacing w:after="0"/>
              <w:rPr>
                <w:sz w:val="19"/>
                <w:szCs w:val="19"/>
                <w:color w:val="auto"/>
              </w:rPr>
            </w:pPr>
          </w:p>
        </w:tc>
      </w:tr>
      <w:tr>
        <w:trPr>
          <w:trHeight w:val="459"/>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investments, net of tax</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Unrealized holding gains (losses) on investments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adjustment for realized loss on investments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unrealized gain on investments</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foreign currency cash flow hedge, net of tax</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Unrealized holding loss on foreign currency cash flow hedge</w:t>
            </w:r>
          </w:p>
        </w:tc>
        <w:tc>
          <w:tcPr>
            <w:tcW w:w="2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adjustment for realized loss on foreign currency cash flow hedge</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unrealized gain on foreign currency cash flow hedge</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r>
      <w:tr>
        <w:trPr>
          <w:trHeight w:val="453"/>
        </w:trPr>
        <w:tc>
          <w:tcPr>
            <w:tcW w:w="772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7,063</w:t>
            </w:r>
          </w:p>
        </w:tc>
        <w:tc>
          <w:tcPr>
            <w:tcW w:w="120" w:type="dxa"/>
            <w:vAlign w:val="bottom"/>
          </w:tcPr>
          <w:p>
            <w:pPr>
              <w:spacing w:after="0"/>
              <w:rPr>
                <w:sz w:val="24"/>
                <w:szCs w:val="24"/>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Comprehensive loss income attributable to non-controlling interest</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4,421</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Comprehensive income attributable to Culp, Inc. common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3,644</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 2020, JANUARY 27, 2019, AND APRIL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February 2,</w:t>
            </w:r>
          </w:p>
        </w:tc>
        <w:tc>
          <w:tcPr>
            <w:tcW w:w="20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color w:val="auto"/>
              </w:rPr>
              <w:t>January 27,</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 April 28,</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CFF0FC"/>
            </w:tcBorders>
          </w:tcPr>
          <w:p>
            <w:pPr>
              <w:spacing w:after="0"/>
              <w:rPr>
                <w:sz w:val="14"/>
                <w:szCs w:val="14"/>
                <w:color w:val="auto"/>
              </w:rPr>
            </w:pPr>
          </w:p>
        </w:tc>
        <w:tc>
          <w:tcPr>
            <w:tcW w:w="19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6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21,872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 - Held-To-Maturity</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3,171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Short-term investments - Available for Sale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7,580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 net</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26,614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Inventories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57,575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55,415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Current income taxes receivable</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776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Assets held for sale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19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3,219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20" w:type="dxa"/>
            <w:vAlign w:val="bottom"/>
          </w:tcPr>
          <w:p>
            <w:pPr>
              <w:spacing w:after="0"/>
              <w:rPr>
                <w:sz w:val="20"/>
                <w:szCs w:val="20"/>
                <w:color w:val="auto"/>
              </w:rPr>
            </w:pPr>
            <w:r>
              <w:rPr>
                <w:rFonts w:ascii="Arial" w:cs="Arial" w:eastAsia="Arial" w:hAnsi="Arial"/>
                <w:sz w:val="16"/>
                <w:szCs w:val="16"/>
                <w:color w:val="auto"/>
              </w:rPr>
              <w:t>Total current assets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120,874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124,473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123,245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net</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46,380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Goodwill</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16,011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27,222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7,738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Long-term investments - Rabbi Trust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7,804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 - Held-To-Maturity</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2,224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Right of use asset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5,524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Noncurrent income taxes receivable</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Investment in unconsolidated joint venture</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1,668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9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210,340</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224,908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219,726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Accounts payable-trade</w:t>
            </w:r>
          </w:p>
        </w:tc>
        <w:tc>
          <w:tcPr>
            <w:tcW w:w="206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21,835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28,401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 capital expenditures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Operating lease liability - current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2,227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Accrued expenses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7,742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Accrued restructuring costs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taxes payable - current</w:t>
            </w:r>
          </w:p>
        </w:tc>
        <w:tc>
          <w:tcPr>
            <w:tcW w:w="19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32,834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39,594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Accrued expenses - long-term</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Subordinated loan payable</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Operating lease liability - noncurrent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3,160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Contingent consideration - earn-out obligation</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Income taxes payable - long-term</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3,442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compensation</w:t>
            </w:r>
          </w:p>
        </w:tc>
        <w:tc>
          <w:tcPr>
            <w:tcW w:w="19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7,637</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6,782</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9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50,244</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57,676</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20" w:type="dxa"/>
            <w:vAlign w:val="bottom"/>
          </w:tcPr>
          <w:p>
            <w:pPr>
              <w:spacing w:after="0"/>
              <w:rPr>
                <w:sz w:val="20"/>
                <w:szCs w:val="20"/>
                <w:color w:val="auto"/>
              </w:rPr>
            </w:pPr>
            <w:r>
              <w:rPr>
                <w:rFonts w:ascii="Arial" w:cs="Arial" w:eastAsia="Arial" w:hAnsi="Arial"/>
                <w:sz w:val="16"/>
                <w:szCs w:val="16"/>
                <w:color w:val="auto"/>
              </w:rPr>
              <w:t>Commitments and Contingencies (Notes 12, 19 and 20)</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Shareholders’ equity</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Preferred stock, $0.05 par value, authorized 10,000,000</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$0.05 par value, authorized 40,000,000 shares, issued</w:t>
            </w: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outstanding 12,361,180 at February 2, 2020; 12,368,413 at</w:t>
            </w:r>
          </w:p>
        </w:tc>
        <w:tc>
          <w:tcPr>
            <w:tcW w:w="1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618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January 27, 2019; and 12,391,160 at April 28, 2019</w:t>
            </w: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Capital contributed in excess of par value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43,748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43,961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Accumulated earnings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115,373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Accumulated other comprehensive income</w:t>
            </w:r>
          </w:p>
        </w:tc>
        <w:tc>
          <w:tcPr>
            <w:tcW w:w="19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shareholders’ equity attributable to Culp Inc.</w:t>
            </w: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159,843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162,775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159,933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Non-controlling interest</w:t>
            </w:r>
          </w:p>
        </w:tc>
        <w:tc>
          <w:tcPr>
            <w:tcW w:w="19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equity</w:t>
            </w:r>
          </w:p>
        </w:tc>
        <w:tc>
          <w:tcPr>
            <w:tcW w:w="19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160,096</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167,232</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2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19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210,340</w:t>
            </w:r>
          </w:p>
        </w:tc>
        <w:tc>
          <w:tcPr>
            <w:tcW w:w="3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224,908</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219,726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FEBRUARY 2, 2020 AND JANUARY 27,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February 2,</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79"/>
              <w:spacing w:after="0" w:line="133" w:lineRule="exact"/>
              <w:rPr>
                <w:sz w:val="20"/>
                <w:szCs w:val="20"/>
                <w:color w:val="auto"/>
              </w:rPr>
            </w:pPr>
            <w:r>
              <w:rPr>
                <w:rFonts w:ascii="Arial" w:cs="Arial" w:eastAsia="Arial" w:hAnsi="Arial"/>
                <w:sz w:val="14"/>
                <w:szCs w:val="14"/>
                <w:color w:val="auto"/>
              </w:rPr>
              <w:t>January 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(loss)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(841)</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5,880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Asset impairments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13,639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Reversal of contingent consideration - earn-out obligation</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(6,081)</w:t>
            </w:r>
          </w:p>
        </w:tc>
        <w:tc>
          <w:tcPr>
            <w:tcW w:w="2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(1,626)</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Realized loss on sale of short-term investments (Available for Sale)</w:t>
            </w:r>
          </w:p>
        </w:tc>
        <w:tc>
          <w:tcPr>
            <w:tcW w:w="2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sale of equipment</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(276)</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Loss from investment in unconsolidated joint venture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Foreign currency exchange (gain) loss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(15)</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Changes in assets and liabilities, net of effects of acquisition of business: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(2,885)</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(7,016)</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(527)</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 - trade</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(2,475)</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 and deferred compensation</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(1,513)</w:t>
            </w: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Accrued restructuring costs</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(124)</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(293)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w:t>
            </w:r>
          </w:p>
        </w:tc>
        <w:tc>
          <w:tcPr>
            <w:tcW w:w="28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cash paid for acquisition of businesses</w:t>
            </w:r>
          </w:p>
        </w:tc>
        <w:tc>
          <w:tcPr>
            <w:tcW w:w="2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(12,096)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(4,072)</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(2,954)</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the sale of property, plant, and equipment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672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in unconsolidated joint venture</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the sale of short-term investments (Held to Maturity)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short-term and long-term investments (Held to Maturity)</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(5,397)</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the sale of short-term investments (Available for Sale)</w:t>
            </w:r>
          </w:p>
        </w:tc>
        <w:tc>
          <w:tcPr>
            <w:tcW w:w="2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short-term investments (Available for Sale)</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(7,532)</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the sale of long-term investments (Rabbi Trust)</w:t>
            </w:r>
          </w:p>
        </w:tc>
        <w:tc>
          <w:tcPr>
            <w:tcW w:w="2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long-term investments (Rabbi Trust)</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(707)</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(12,036)</w:t>
            </w:r>
          </w:p>
        </w:tc>
        <w:tc>
          <w:tcPr>
            <w:tcW w:w="28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line of credit</w:t>
            </w:r>
          </w:p>
        </w:tc>
        <w:tc>
          <w:tcPr>
            <w:tcW w:w="2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line of credit</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Payments on vendor-financed capital expenditures</w:t>
            </w:r>
          </w:p>
        </w:tc>
        <w:tc>
          <w:tcPr>
            <w:tcW w:w="2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subordinated loan payable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Cash paid for acquisition of business</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(1,532)</w:t>
            </w:r>
          </w:p>
        </w:tc>
        <w:tc>
          <w:tcPr>
            <w:tcW w:w="2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 paid</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(3,786)</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Common stock surrendered for withholding taxes payable</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(51)</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contribution from non-controlling interest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Common stock repurchased</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(728)</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(3,316)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(5,487)</w:t>
            </w:r>
          </w:p>
        </w:tc>
        <w:tc>
          <w:tcPr>
            <w:tcW w:w="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(9,574)</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7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w:t>
            </w:r>
          </w:p>
        </w:tc>
        <w:tc>
          <w:tcPr>
            <w:tcW w:w="2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(18,136)</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40,008</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21,872</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NINE-MONTH PERIOD ENDED FEBRUARY 2,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i w:val="1"/>
                <w:iCs w:val="1"/>
                <w:color w:val="auto"/>
              </w:rPr>
              <w:t>Shareholders’ equity attributable to Culp Inc.</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w w:val="96"/>
              </w:rPr>
              <w:t>Capital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ind w:right="220"/>
              <w:spacing w:after="0" w:line="151" w:lineRule="exact"/>
              <w:rPr>
                <w:sz w:val="20"/>
                <w:szCs w:val="20"/>
                <w:color w:val="auto"/>
              </w:rPr>
            </w:pPr>
            <w:r>
              <w:rPr>
                <w:rFonts w:ascii="Arial" w:cs="Arial" w:eastAsia="Arial" w:hAnsi="Arial"/>
                <w:sz w:val="14"/>
                <w:szCs w:val="14"/>
                <w:color w:val="auto"/>
                <w:w w:val="93"/>
              </w:rPr>
              <w:t>Accumulated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Contributed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Other</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Non-</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color w:val="auto"/>
              </w:rPr>
              <w:t>Common Stock</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color w:val="auto"/>
              </w:rPr>
              <w:t>in Excess</w:t>
            </w:r>
          </w:p>
        </w:tc>
        <w:tc>
          <w:tcPr>
            <w:tcW w:w="98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Comprehensive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Controlling</w:t>
            </w:r>
          </w:p>
        </w:tc>
        <w:tc>
          <w:tcPr>
            <w:tcW w:w="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1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3"/>
                <w:szCs w:val="13"/>
                <w:color w:val="auto"/>
              </w:rPr>
            </w:pPr>
          </w:p>
        </w:tc>
        <w:tc>
          <w:tcPr>
            <w:tcW w:w="920" w:type="dxa"/>
            <w:vAlign w:val="bottom"/>
            <w:gridSpan w:val="3"/>
          </w:tcPr>
          <w:p>
            <w:pPr>
              <w:spacing w:after="0" w:line="155" w:lineRule="exact"/>
              <w:rPr>
                <w:sz w:val="20"/>
                <w:szCs w:val="20"/>
                <w:color w:val="auto"/>
              </w:rPr>
            </w:pPr>
            <w:r>
              <w:rPr>
                <w:rFonts w:ascii="Arial" w:cs="Arial" w:eastAsia="Arial" w:hAnsi="Arial"/>
                <w:sz w:val="14"/>
                <w:szCs w:val="14"/>
                <w:color w:val="auto"/>
              </w:rPr>
              <w:t>of Par Value</w:t>
            </w:r>
          </w:p>
        </w:tc>
        <w:tc>
          <w:tcPr>
            <w:tcW w:w="10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3"/>
                <w:szCs w:val="13"/>
                <w:color w:val="auto"/>
              </w:rPr>
            </w:pPr>
          </w:p>
        </w:tc>
        <w:tc>
          <w:tcPr>
            <w:tcW w:w="940" w:type="dxa"/>
            <w:vAlign w:val="bottom"/>
            <w:gridSpan w:val="2"/>
          </w:tcPr>
          <w:p>
            <w:pPr>
              <w:jc w:val="center"/>
              <w:ind w:right="380"/>
              <w:spacing w:after="0" w:line="155" w:lineRule="exact"/>
              <w:rPr>
                <w:sz w:val="20"/>
                <w:szCs w:val="20"/>
                <w:color w:val="auto"/>
              </w:rPr>
            </w:pPr>
            <w:r>
              <w:rPr>
                <w:rFonts w:ascii="Arial" w:cs="Arial" w:eastAsia="Arial" w:hAnsi="Arial"/>
                <w:sz w:val="14"/>
                <w:szCs w:val="14"/>
                <w:color w:val="auto"/>
                <w:w w:val="95"/>
              </w:rPr>
              <w:t>Income</w:t>
            </w: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7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9"/>
              </w:rPr>
              <w:t>Interest</w:t>
            </w:r>
          </w:p>
        </w:tc>
        <w:tc>
          <w:tcPr>
            <w:tcW w:w="2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28, 2019 *</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12,391,160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115,579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$ 159,933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$ 164,247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vesting of performance based restricted</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Fully vested common stock award</w:t>
            </w:r>
          </w:p>
        </w:tc>
        <w:tc>
          <w:tcPr>
            <w:tcW w:w="102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Common stock surrendered for withholding</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taxes payable</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(2,581)</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contribution from non-controlling</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August 4,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12,405,014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43,803</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115,676</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160,146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investments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80"/>
              <w:spacing w:after="0"/>
              <w:rPr>
                <w:sz w:val="20"/>
                <w:szCs w:val="20"/>
                <w:color w:val="auto"/>
              </w:rPr>
            </w:pPr>
            <w:r>
              <w:rPr>
                <w:rFonts w:ascii="Arial" w:cs="Arial" w:eastAsia="Arial" w:hAnsi="Arial"/>
                <w:sz w:val="18"/>
                <w:szCs w:val="18"/>
                <w:color w:val="auto"/>
              </w:rPr>
              <w:t>vesting of performance based restricted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tcPr>
          <w:p>
            <w:pPr>
              <w:ind w:left="260"/>
              <w:spacing w:after="0"/>
              <w:rPr>
                <w:sz w:val="20"/>
                <w:szCs w:val="20"/>
                <w:color w:val="auto"/>
              </w:rPr>
            </w:pPr>
            <w:r>
              <w:rPr>
                <w:rFonts w:ascii="Arial" w:cs="Arial" w:eastAsia="Arial" w:hAnsi="Arial"/>
                <w:sz w:val="18"/>
                <w:szCs w:val="18"/>
                <w:color w:val="auto"/>
                <w:w w:val="96"/>
              </w:rPr>
              <w:t>Common stock surrendered for withholding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5"/>
        </w:trPr>
        <w:tc>
          <w:tcPr>
            <w:tcW w:w="3580" w:type="dxa"/>
            <w:vAlign w:val="bottom"/>
          </w:tcPr>
          <w:p>
            <w:pPr>
              <w:ind w:left="260"/>
              <w:spacing w:after="0"/>
              <w:rPr>
                <w:sz w:val="20"/>
                <w:szCs w:val="20"/>
                <w:color w:val="auto"/>
              </w:rPr>
            </w:pPr>
            <w:r>
              <w:rPr>
                <w:rFonts w:ascii="Arial" w:cs="Arial" w:eastAsia="Arial" w:hAnsi="Arial"/>
                <w:sz w:val="18"/>
                <w:szCs w:val="18"/>
                <w:color w:val="auto"/>
              </w:rPr>
              <w:t>Capital contributions from non-controlling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November 3,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12,411,957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116,735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161,520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(4,149)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Common stock repurchased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(55,750)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(1,304)</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Balance, February 2, 2020</w:t>
            </w: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80" w:type="dxa"/>
            <w:vAlign w:val="bottom"/>
            <w:vMerge w:val="continue"/>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12,361,180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115,373</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$ 159,843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$ 160,096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Derived from audited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NINE-MONTH PERIOD ENDED JANUARY 27,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i w:val="1"/>
                <w:iCs w:val="1"/>
                <w:color w:val="auto"/>
              </w:rPr>
              <w:t>Shareholders’ equity attributable to Culp Inc.</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w w:val="96"/>
              </w:rPr>
              <w:t>Capital</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center"/>
              <w:ind w:right="240"/>
              <w:spacing w:after="0" w:line="151" w:lineRule="exact"/>
              <w:rPr>
                <w:sz w:val="20"/>
                <w:szCs w:val="20"/>
                <w:color w:val="auto"/>
              </w:rPr>
            </w:pPr>
            <w:r>
              <w:rPr>
                <w:rFonts w:ascii="Arial" w:cs="Arial" w:eastAsia="Arial" w:hAnsi="Arial"/>
                <w:sz w:val="14"/>
                <w:szCs w:val="14"/>
                <w:color w:val="auto"/>
                <w:w w:val="93"/>
              </w:rPr>
              <w:t>Accumulated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Contributed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Other</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Non-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Common Stock</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color w:val="auto"/>
              </w:rPr>
              <w:t>in Excess</w:t>
            </w:r>
          </w:p>
        </w:tc>
        <w:tc>
          <w:tcPr>
            <w:tcW w:w="90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color w:val="auto"/>
                <w:w w:val="91"/>
              </w:rPr>
              <w:t>Comprehensive</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4"/>
                <w:szCs w:val="14"/>
                <w:color w:val="auto"/>
                <w:w w:val="98"/>
              </w:rPr>
              <w:t>Controlling</w:t>
            </w: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3"/>
                <w:szCs w:val="13"/>
                <w:color w:val="auto"/>
              </w:rPr>
            </w:pPr>
          </w:p>
        </w:tc>
        <w:tc>
          <w:tcPr>
            <w:tcW w:w="1020" w:type="dxa"/>
            <w:vAlign w:val="bottom"/>
            <w:gridSpan w:val="4"/>
          </w:tcPr>
          <w:p>
            <w:pPr>
              <w:ind w:left="80"/>
              <w:spacing w:after="0" w:line="155" w:lineRule="exact"/>
              <w:rPr>
                <w:sz w:val="20"/>
                <w:szCs w:val="20"/>
                <w:color w:val="auto"/>
              </w:rPr>
            </w:pPr>
            <w:r>
              <w:rPr>
                <w:rFonts w:ascii="Arial" w:cs="Arial" w:eastAsia="Arial" w:hAnsi="Arial"/>
                <w:sz w:val="14"/>
                <w:szCs w:val="14"/>
                <w:color w:val="auto"/>
              </w:rPr>
              <w:t>of Par Value</w:t>
            </w:r>
          </w:p>
        </w:tc>
        <w:tc>
          <w:tcPr>
            <w:tcW w:w="10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0"/>
              </w:rPr>
              <w:t>Earnings</w:t>
            </w:r>
          </w:p>
        </w:tc>
        <w:tc>
          <w:tcPr>
            <w:tcW w:w="80" w:type="dxa"/>
            <w:vAlign w:val="bottom"/>
          </w:tcPr>
          <w:p>
            <w:pPr>
              <w:spacing w:after="0"/>
              <w:rPr>
                <w:sz w:val="13"/>
                <w:szCs w:val="13"/>
                <w:color w:val="auto"/>
              </w:rPr>
            </w:pPr>
          </w:p>
        </w:tc>
        <w:tc>
          <w:tcPr>
            <w:tcW w:w="1120" w:type="dxa"/>
            <w:vAlign w:val="bottom"/>
            <w:gridSpan w:val="3"/>
          </w:tcPr>
          <w:p>
            <w:pPr>
              <w:jc w:val="center"/>
              <w:ind w:right="240"/>
              <w:spacing w:after="0" w:line="155" w:lineRule="exact"/>
              <w:rPr>
                <w:sz w:val="20"/>
                <w:szCs w:val="20"/>
                <w:color w:val="auto"/>
              </w:rPr>
            </w:pPr>
            <w:r>
              <w:rPr>
                <w:rFonts w:ascii="Arial" w:cs="Arial" w:eastAsia="Arial" w:hAnsi="Arial"/>
                <w:sz w:val="14"/>
                <w:szCs w:val="14"/>
                <w:color w:val="auto"/>
                <w:w w:val="94"/>
              </w:rPr>
              <w:t>(Loss) Income</w:t>
            </w:r>
          </w:p>
        </w:tc>
        <w:tc>
          <w:tcPr>
            <w:tcW w:w="8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w w:val="94"/>
              </w:rPr>
              <w:t>Interest</w:t>
            </w:r>
          </w:p>
        </w:tc>
        <w:tc>
          <w:tcPr>
            <w:tcW w:w="100" w:type="dxa"/>
            <w:vAlign w:val="bottom"/>
          </w:tcPr>
          <w:p>
            <w:pPr>
              <w:spacing w:after="0"/>
              <w:rPr>
                <w:sz w:val="13"/>
                <w:szCs w:val="13"/>
                <w:color w:val="auto"/>
              </w:rPr>
            </w:pPr>
          </w:p>
        </w:tc>
        <w:tc>
          <w:tcPr>
            <w:tcW w:w="8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29, 2018 *</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12,450,276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48,203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114,635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$ 163,376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$ 163,376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subsidiary with non-</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controlling interest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Unrealized gain on foreign currency cash</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flow hedge</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Common stock issued in connection with</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vesting of performance based restricted</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units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115,917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00" w:type="dxa"/>
            <w:vAlign w:val="bottom"/>
          </w:tcPr>
          <w:p>
            <w:pPr>
              <w:ind w:left="260"/>
              <w:spacing w:after="0"/>
              <w:rPr>
                <w:sz w:val="20"/>
                <w:szCs w:val="20"/>
                <w:color w:val="auto"/>
              </w:rPr>
            </w:pPr>
            <w:r>
              <w:rPr>
                <w:rFonts w:ascii="Arial" w:cs="Arial" w:eastAsia="Arial" w:hAnsi="Arial"/>
                <w:sz w:val="18"/>
                <w:szCs w:val="18"/>
                <w:color w:val="auto"/>
                <w:w w:val="99"/>
              </w:rPr>
              <w:t>Common stock issued in connection with</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80"/>
              <w:spacing w:after="0"/>
              <w:rPr>
                <w:sz w:val="20"/>
                <w:szCs w:val="20"/>
                <w:color w:val="auto"/>
              </w:rPr>
            </w:pPr>
            <w:r>
              <w:rPr>
                <w:rFonts w:ascii="Arial" w:cs="Arial" w:eastAsia="Arial" w:hAnsi="Arial"/>
                <w:sz w:val="18"/>
                <w:szCs w:val="18"/>
                <w:color w:val="auto"/>
              </w:rPr>
              <w:t>vesting of time-based restricted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380"/>
              <w:spacing w:after="0"/>
              <w:rPr>
                <w:sz w:val="20"/>
                <w:szCs w:val="20"/>
                <w:color w:val="auto"/>
              </w:rPr>
            </w:pPr>
            <w:r>
              <w:rPr>
                <w:rFonts w:ascii="Arial" w:cs="Arial" w:eastAsia="Arial" w:hAnsi="Arial"/>
                <w:sz w:val="18"/>
                <w:szCs w:val="18"/>
                <w:color w:val="auto"/>
              </w:rPr>
              <w:t>stock units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Common stock surrendered for withholding</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taxes payable</w:t>
            </w: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(42,157)</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Arial" w:cs="Arial" w:eastAsia="Arial" w:hAnsi="Arial"/>
                <w:sz w:val="18"/>
                <w:szCs w:val="18"/>
                <w:color w:val="auto"/>
              </w:rPr>
              <w:t>Common stock repurchased</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(2,990)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Balance, July 29, 2018</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12,522,246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46,334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114,465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Unrealized gain on foreign currency cash</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flow hedge</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Unrealized loss on investments</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Common stock repurchased</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(33,890)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Balance, October 28, 2018</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12,491,956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45,959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116,272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investments</w:t>
            </w: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5"/>
        </w:trPr>
        <w:tc>
          <w:tcPr>
            <w:tcW w:w="3500" w:type="dxa"/>
            <w:vAlign w:val="bottom"/>
          </w:tcPr>
          <w:p>
            <w:pPr>
              <w:ind w:left="260"/>
              <w:spacing w:after="0"/>
              <w:rPr>
                <w:sz w:val="20"/>
                <w:szCs w:val="20"/>
                <w:color w:val="auto"/>
              </w:rPr>
            </w:pPr>
            <w:r>
              <w:rPr>
                <w:rFonts w:ascii="Arial" w:cs="Arial" w:eastAsia="Arial" w:hAnsi="Arial"/>
                <w:sz w:val="18"/>
                <w:szCs w:val="18"/>
                <w:color w:val="auto"/>
                <w:w w:val="93"/>
              </w:rPr>
              <w:t>Common stock surrendered for withholding</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repurchased</w:t>
            </w: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(123,543)</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(2,472)</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January 27, 2019</w:t>
            </w: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vMerge w:val="continue"/>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12,368,413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118,186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$ 162,775</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$ 167,232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Derived from audited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consolidated financial statements of Culp, Inc. and its majority-owned subsidiaries (the “company”) include all adjustments, which are, in the opinion of management, necessary for fair presentation of the results of operations and financial position. All of these adjustments are of a normal recurring nature. Results of operations for interim periods may not be indicative of future results. The unaudited consolidated financial statements should be read in conjunction with the audited consolidated financial statements, which are included in the company’s annual report on Form 10-K filed with the Securities and Exchange Commission on July 12, 2019, for the fiscal year ended April 28,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nine-months ended February 2, 2020, and January 27, 2019, represent 40-week and 39-week periods,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 2020, there were no changes in the nature of our significant accounting policies or the application of those policies from those reported in our annual report on Form 10-K for the year then ended April 28, 2019, except as discussed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requires lessees to recognize leases on the balance sheet and disclose certain key information about their leasing arrangements. The new standard establishes a right of use (“ROU”) model that requires a lessee to recognize a ROU asset and lease liability for certain lease contracts. Topic 842 is effective for fiscal years, and interim periods within those fiscal years, beginning after December 15, 2018. As a result, we adopted Topic 842 on April 29, 2019, electing to use the modified retrospective transition method, which requires us to recognize a cumulative effect adjustment to the opening balance of retained earnings in the period of adoption. Consequently, financial information and disclosures will not be provided for periods prior to April 29, 2019.</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Topic 842 allows the election of several practical expedients as part of adopting this new standard. We elected the “package of practical expedients” which permits us not to reassess, under Topic 842, our previous conclusions regarding lease identification and classification. We did not elect the use of hindsight with respect to determining the lease term. Also, Topic 842 provides practical expedients after adopting the new standard. We elected the short-term lease exemption, and therefore, we will not recognize ROU assets or lease liabilities for leases shorter than twelve months. We did not elect the practical expedient to combine lease and non-lease components for any class of assets and will account for lease components separately from non-lease components.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adoption of Topic 842 had a material effect on our Consolidated Balance Sheets and increased the required disclosures in our notes to the consolidated financial statements (see note 19 for further details). The most significant effect related to the recognition of ROU assets totaling $7.2 million that were mostly offset by the recognition of lease liabilities totaling $7.1 million in our Consolidated Balance Sheets. The adoption of Topic 842 did not have a material impact on our Consolidated Statements of Net (Loss) Income or our Consolidated Statement of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entities to use a forward looking approach based on expected losses to estimate credit losses on certain types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including trade receivables. The FASB has subsequently issued updates to the standard to provide additional clarification on specific topics. Topic 326 is effective for fiscal years, and interim periods within those fiscal years, beginning after December 15, 2019. As a result, we are required to apply this guidance in our fiscal 2021 interim and annual financial statements commencing May 4, 2020. Currently, we do not expect this guidance to impact our results of operations, financial position, or statement of cash flow.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new accounting pronouncements that are expected to have a significant impact on our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eLuxury, LLC (eLuxury)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June 22, 2018, we entered into an Equity Purchase Agreement (Equity Agreement), pursuant to which we acquired an 80% ownership interest in eLuxury, a company that offers bedding accessories and home goods directly to consumers. eLuxury’s primary products include a line of mattress pads manufactured at eLuxury’s facility located in Evansville, Indiana. eLuxury also offers handmade platform beds, cotton bed sheets, and other bedding items sourced from other suppliers. Its products are available on eLuxury’s own branded website, </w:t>
      </w:r>
      <w:r>
        <w:rPr>
          <w:rFonts w:ascii="Arial" w:cs="Arial" w:eastAsia="Arial" w:hAnsi="Arial"/>
          <w:sz w:val="18"/>
          <w:szCs w:val="18"/>
          <w:u w:val="single" w:color="auto"/>
          <w:color w:val="auto"/>
        </w:rPr>
        <w:t>eLuxury.com</w:t>
      </w:r>
      <w:r>
        <w:rPr>
          <w:rFonts w:ascii="Arial" w:cs="Arial" w:eastAsia="Arial" w:hAnsi="Arial"/>
          <w:sz w:val="18"/>
          <w:szCs w:val="18"/>
          <w:color w:val="auto"/>
        </w:rPr>
        <w:t>, as well as Amazon and other leading online retailers for specialty home goods.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acquisition brought together eLuxury’s experience in e-commerce, online brand building, and direct-to-consumer shopping and fulfillment expertise with our global production, sourcing, and distribution capabilities.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consideration given for the 80% ownership interest in eLuxury totaled $18.1 million, of which $12.5 million represented the estimated purchase price and $5.6 million represented the fair value for contingent consideration associated with an earn-out obligation (see below for further details). Of the $12.5 million estimated purchase price, $11.6 million was paid at closing on June 22, 2018, $185,000 was paid in August 2018, and $749,000 was paid in September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Acquired and Liabilities Assumed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final allocation of the acquisition cost to the assets acquired and liabilities assumed based on their fair values.</w:t>
      </w:r>
    </w:p>
    <w:p>
      <w:pPr>
        <w:spacing w:after="0" w:line="273"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Fair Value</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Tradename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6,549</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and other current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(1,336)</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Non-controlling interest in eLuxury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(4,532)</w:t>
            </w:r>
          </w:p>
        </w:tc>
      </w:tr>
      <w:tr>
        <w:trPr>
          <w:trHeight w:val="223"/>
        </w:trPr>
        <w:tc>
          <w:tcPr>
            <w:tcW w:w="5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18,130</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recorded the tradename at fair market value based on the relief from royalty method. This tradename was determined to have an indefinite useful life and, therefore, is not being amortized. Equipment will be depreciated on a straight-line basis over useful lives ranging from five to ten years.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goodwill related to this acquisition is attributable to eLuxury’s reputation with the products it offers and management’s experience in e-commerce, online brand building, and direct-to-consumer shopping and fulfillment expertise. Goodwill is deductible for income tax purposes over the statutory period of fifteen years.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fiscal 2020, this goodwill was assessed for impairment as we believed indicators of impairment existed during this reporting period. See note 8 located in the notes to consolidated financial statements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Consideration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mentioned above, the Equity Agreement contains a contingent consideration arrangement that requires us to pay the seller, who is also the owner of the noncontrolling interest, an earn-out payment based on a multiple of adjusted EBITDA, as defined in the Equity Agreement, for the twelve-month period ending August 31, 2021, less $12.0 million We recorded a contingent liability at the acquisition date for this earn-out obligation at its fair value totaling $5.6 million based on the Black Scholes pricing model.</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required to assess the fair value of this earn-out obligation each quarterly reporting period. Based on management’s assessment as of February 2, 2020, we determined it was necessary to adjust forecasted EBITDA as it relates to this earn-out obligation. This determination was based on the future outlook of our home accessories segment and its slower than expected business improvement, as well as updated assumptions on economic conditions in the e-commerce space, combined with the upcoming timeframe for determining the amount associated with this contingent consideration arrangement. As a result of these factors, we recorded a reversal of $6.1 million for the full amount of our earn-out obligation during the third quarter of fiscal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Equity Agreement contains substantive profit-sharing arrangement provisions which explicitly state the ownership interests at the effective date of this business combination and the allocation of net income or loss between the company, as the controlling interest holder, and the noncontrolling interest holder. The Equity Agreement states that at the effective date of this acquisition (June 22, 2018), we acquired an 80% ownership interest in eLuxury, with the seller retaining a 20% noncontrolling interest. Additionally, the Equity Agreement states that eLuxury’s net income or loss, future capital contributions, and equity distributions will be allocated at a percentage of 70% and 30% to the company and the noncontrolling interest holder,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terms of the Equity Agreement, we believe the related risks associated with the ownership interests are aligned and therefore, the total consideration of $18.1 million for the 80% controlling interest provides information for the equity value of eLuxury as a whole, and is useful in estimating the fair value of the 20% noncontrolling interest. In order to determine the carrying value of the noncontrolling interest in eLuxury, we applied the Hypothetical-Liquidation-At-Book-Value method (HLBV). HLBV is an approach that is used in practice to determine the carrying value of a noncontrolling interest if it is consistent with an existing profit-sharing arrangement such as the Equity Agreement. Therefore, the carrying amount of the noncontrolling interest of $253,000 at February 2, 2020, mostly represents its $4.6 million fair value determined at the acquisition date, minus its allocation of net losses which includes a charge for asset impairments of $4.1 million incurred during the third quarter of fiscal 2020, slightly offset by capital contributions totaling $360,000.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costs totaling $270,000 were included in selling, general, and administrative expenses in our Consolidated Statement of Net Income for the nine-month period ending January 27,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unaudited pro forma consolidated results of operations for the three-month and nine-month periods ending February 2, 2020, and January 27, 2019, have been prepared as if the acquisition of eLuxury had occurred on May 1, 2017.</w:t>
      </w:r>
    </w:p>
    <w:p>
      <w:pPr>
        <w:spacing w:after="0" w:line="274"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color w:val="auto"/>
                <w:w w:val="93"/>
              </w:rPr>
              <w:t>Three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80"/>
              <w:spacing w:after="0" w:line="137" w:lineRule="exact"/>
              <w:rPr>
                <w:sz w:val="20"/>
                <w:szCs w:val="20"/>
                <w:color w:val="auto"/>
              </w:rPr>
            </w:pPr>
            <w:r>
              <w:rPr>
                <w:rFonts w:ascii="Arial" w:cs="Arial" w:eastAsia="Arial" w:hAnsi="Arial"/>
                <w:sz w:val="14"/>
                <w:szCs w:val="14"/>
                <w:color w:val="auto"/>
                <w:w w:val="92"/>
              </w:rPr>
              <w:t>February 2,</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4"/>
              <w:spacing w:after="0" w:line="137" w:lineRule="exact"/>
              <w:rPr>
                <w:sz w:val="20"/>
                <w:szCs w:val="20"/>
                <w:color w:val="auto"/>
              </w:rPr>
            </w:pPr>
            <w:r>
              <w:rPr>
                <w:rFonts w:ascii="Arial" w:cs="Arial" w:eastAsia="Arial" w:hAnsi="Arial"/>
                <w:sz w:val="14"/>
                <w:szCs w:val="14"/>
                <w:color w:val="auto"/>
                <w:w w:val="90"/>
              </w:rPr>
              <w:t>January 27,</w:t>
            </w:r>
          </w:p>
        </w:tc>
        <w:tc>
          <w:tcPr>
            <w:tcW w:w="80" w:type="dxa"/>
            <w:vAlign w:val="bottom"/>
          </w:tcPr>
          <w:p>
            <w:pPr>
              <w:spacing w:after="0"/>
              <w:rPr>
                <w:sz w:val="11"/>
                <w:szCs w:val="11"/>
                <w:color w:val="auto"/>
              </w:rPr>
            </w:pPr>
          </w:p>
        </w:tc>
      </w:t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 except per share data)</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89"/>
              </w:rPr>
              <w:t>2020</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77,226</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(5,091)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4,299</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(4,207)</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loss - noncontrolling interest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 Culp Inc. common shareholders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4"/>
              </w:rPr>
              <w:t>Net (loss) income per share (basic) – Culp Inc. common shareholders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(diluted) – Culp Inc. common</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shareholders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20"/>
                <w:szCs w:val="20"/>
                <w:color w:val="auto"/>
              </w:rPr>
            </w:pPr>
          </w:p>
        </w:tc>
      </w:tr>
      <w:tr>
        <w:trPr>
          <w:trHeight w:val="473"/>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color w:val="auto"/>
                <w:w w:val="92"/>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80"/>
              <w:spacing w:after="0" w:line="137" w:lineRule="exact"/>
              <w:rPr>
                <w:sz w:val="20"/>
                <w:szCs w:val="20"/>
                <w:color w:val="auto"/>
              </w:rPr>
            </w:pPr>
            <w:r>
              <w:rPr>
                <w:rFonts w:ascii="Arial" w:cs="Arial" w:eastAsia="Arial" w:hAnsi="Arial"/>
                <w:sz w:val="14"/>
                <w:szCs w:val="14"/>
                <w:color w:val="auto"/>
                <w:w w:val="92"/>
              </w:rPr>
              <w:t>February 2,</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4"/>
              <w:spacing w:after="0" w:line="137" w:lineRule="exact"/>
              <w:rPr>
                <w:sz w:val="20"/>
                <w:szCs w:val="20"/>
                <w:color w:val="auto"/>
              </w:rPr>
            </w:pPr>
            <w:r>
              <w:rPr>
                <w:rFonts w:ascii="Arial" w:cs="Arial" w:eastAsia="Arial" w:hAnsi="Arial"/>
                <w:sz w:val="14"/>
                <w:szCs w:val="14"/>
                <w:color w:val="auto"/>
                <w:w w:val="90"/>
              </w:rPr>
              <w:t>January 27,</w:t>
            </w:r>
          </w:p>
        </w:tc>
        <w:tc>
          <w:tcPr>
            <w:tcW w:w="80" w:type="dxa"/>
            <w:vAlign w:val="bottom"/>
          </w:tcPr>
          <w:p>
            <w:pPr>
              <w:spacing w:after="0"/>
              <w:rPr>
                <w:sz w:val="11"/>
                <w:szCs w:val="11"/>
                <w:color w:val="auto"/>
              </w:rPr>
            </w:pPr>
          </w:p>
        </w:tc>
      </w:t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 except per share data)</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89"/>
              </w:rPr>
              <w:t>2020</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219,465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228,830</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10,657</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6,943</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loss - noncontrolling interest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 Culp Inc. common shareholders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7,026</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per share (basic) – Culp Inc. common shareholders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(diluted) – Culp Inc. common</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shareholders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unaudited pro forma information is presented for informational purposes only and is not necessarily indicative of the results of operations that would actually have been achieved had the acquisition been consummated as of that time, nor is it intended to be a projection of future results.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Allowance for Doubtful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doubtful accounts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20"/>
              <w:spacing w:after="0" w:line="137" w:lineRule="exact"/>
              <w:rPr>
                <w:sz w:val="20"/>
                <w:szCs w:val="20"/>
                <w:color w:val="auto"/>
              </w:rPr>
            </w:pPr>
            <w:r>
              <w:rPr>
                <w:rFonts w:ascii="Arial" w:cs="Arial" w:eastAsia="Arial" w:hAnsi="Arial"/>
                <w:sz w:val="14"/>
                <w:szCs w:val="14"/>
                <w:color w:val="auto"/>
              </w:rPr>
              <w:t>February 2,</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16"/>
              <w:spacing w:after="0" w:line="137" w:lineRule="exact"/>
              <w:rPr>
                <w:sz w:val="20"/>
                <w:szCs w:val="20"/>
                <w:color w:val="auto"/>
              </w:rPr>
            </w:pPr>
            <w:r>
              <w:rPr>
                <w:rFonts w:ascii="Arial" w:cs="Arial" w:eastAsia="Arial" w:hAnsi="Arial"/>
                <w:sz w:val="14"/>
                <w:szCs w:val="14"/>
                <w:color w:val="auto"/>
                <w:w w:val="93"/>
              </w:rPr>
              <w:t>Janauary 27,</w:t>
            </w:r>
          </w:p>
        </w:tc>
        <w:tc>
          <w:tcPr>
            <w:tcW w:w="80" w:type="dxa"/>
            <w:vAlign w:val="bottom"/>
          </w:tcPr>
          <w:p>
            <w:pPr>
              <w:spacing w:after="0"/>
              <w:rPr>
                <w:sz w:val="11"/>
                <w:szCs w:val="11"/>
                <w:color w:val="auto"/>
              </w:rPr>
            </w:pPr>
          </w:p>
        </w:tc>
      </w:tr>
      <w:tr>
        <w:trPr>
          <w:trHeight w:val="167"/>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338"/>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(Recovery) provision for bad debts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r>
      <w:tr>
        <w:trPr>
          <w:trHeight w:val="229"/>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write-offs, net of recoveries</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Performance Obligations</w:t>
      </w:r>
    </w:p>
    <w:p>
      <w:pPr>
        <w:spacing w:after="0" w:line="11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Our operations are classified into three business segments: mattress fabrics, upholstery fabrics, and home accessories. The mattress fabrics segment manufactures, sources, and sells fabrics and mattress covers primarily to bedding manufacturers. The upholstery fabrics segment develops, manufactures, sources, and sells fabrics primarily to residential and commercial furniture manufacturers. Effective April 1, 2018, we acquired Read Window Products LLC (Read), a turn-key provider of window treatments that offers sourcing of upholstery fabrics and other products, measuring, and installation services of their own products for the hospitality and commercial industries. In addition, Read supplies soft goods such as decorative top sheets, coverlets, duvet covers, bed skirts, bolsters, and pillows. Read is included in the upholstery fabrics segment. The home accessories segment is our finished products business that manufactures, sources, and sells bedding accessories and home goods directly to consumers and businesses through global e-commerce and business-to-business sales channels.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performance obligations include the sale of mattress fabrics, upholstery fabrics, and bedding and home accessories products, as well as the performance of customized fabrication and installation services of our own products associated with window treatments.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&amp; Liabilities</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Certain contracts, primarily those for customized fabrication and installation services, require upfront customer deposits that result in a contract liability which is recorded on the Consolidated Balance Sheets as deferred revenue. If upfront deposits or prepayments are not required, customers may be granted credit terms which generally range from 15 – 45 days. Such terms are common within the industries in which we operate and are not considered financing arrangements. There were no contract assets recognized as of February 2, 2020, January 27, 2019, and April 28,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deferred revenue for the nine-month periods ended February 2, 2020, and January 27, 2019,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20"/>
              <w:spacing w:after="0" w:line="137" w:lineRule="exact"/>
              <w:rPr>
                <w:sz w:val="20"/>
                <w:szCs w:val="20"/>
                <w:color w:val="auto"/>
              </w:rPr>
            </w:pPr>
            <w:r>
              <w:rPr>
                <w:rFonts w:ascii="Arial" w:cs="Arial" w:eastAsia="Arial" w:hAnsi="Arial"/>
                <w:sz w:val="14"/>
                <w:szCs w:val="14"/>
                <w:color w:val="auto"/>
              </w:rPr>
              <w:t>February 2,</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6"/>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338"/>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Revenue recognized on contract liabilities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(2,171)</w:t>
            </w: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Payments received for services not yet rendered</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our disaggregated revenue by segment, timing of revenue recognition, and product sales versus services rendered for the three-month period ending February 2,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Mattress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Upholstery</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Home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Fabrics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Fabrics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Accessories</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69,055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71,998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911"/>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0" w:type="dxa"/>
            <w:vAlign w:val="bottom"/>
            <w:gridSpan w:val="3"/>
          </w:tcPr>
          <w:p>
            <w:pPr>
              <w:jc w:val="right"/>
              <w:ind w:right="127"/>
              <w:spacing w:after="0"/>
              <w:rPr>
                <w:sz w:val="20"/>
                <w:szCs w:val="20"/>
                <w:color w:val="auto"/>
              </w:rPr>
            </w:pPr>
            <w:r>
              <w:rPr>
                <w:rFonts w:ascii="Arial" w:cs="Arial" w:eastAsia="Arial" w:hAnsi="Arial"/>
                <w:sz w:val="18"/>
                <w:szCs w:val="18"/>
                <w:color w:val="auto"/>
              </w:rPr>
              <w:t>I-10</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our disaggregated revenue by segment, timing of revenue recognition, and product sales versus services rendered for the nine-month period ending February 2, 2020:</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Mattress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Upholstery</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Home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2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Fabrics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Fabrics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Accessories</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Services transferred over time</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100,730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219,465</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our disaggregated revenue by segment, timing of revenue recognition, and product sales versus services rendered for the three-month period ending January 27, 2019:</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Mattress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Upholstery</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Home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2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Fabrics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Fabrics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Accessories</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Services transferred over time</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37,104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our disaggregated revenue by segment, timing of revenue recognition, and product sales versus services rendered for the nine-month period ending January 27, 2019:</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Mattress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Upholstery</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Home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2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Fabrics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Fabrics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Accessories</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107,335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98,610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Services transferred over time</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107,335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106,611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225,705</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carried at the lower of cost or net realizable value. Cost is determined using the FIFO (first-in, first-out)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color w:val="auto"/>
                <w:w w:val="92"/>
              </w:rPr>
              <w:t>February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color w:val="auto"/>
                <w:w w:val="90"/>
              </w:rPr>
              <w:t>January 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rPr>
              <w:t>April 28,</w:t>
            </w:r>
          </w:p>
        </w:tc>
        <w:tc>
          <w:tcPr>
            <w:tcW w:w="1140" w:type="dxa"/>
            <w:vAlign w:val="bottom"/>
          </w:tcPr>
          <w:p>
            <w:pPr>
              <w:spacing w:after="0"/>
              <w:rPr>
                <w:sz w:val="14"/>
                <w:szCs w:val="14"/>
                <w:color w:val="auto"/>
              </w:rPr>
            </w:pPr>
          </w:p>
        </w:tc>
      </w:tr>
      <w:tr>
        <w:trPr>
          <w:trHeight w:val="167"/>
        </w:trPr>
        <w:tc>
          <w:tcPr>
            <w:tcW w:w="4340" w:type="dxa"/>
            <w:vAlign w:val="bottom"/>
            <w:gridSpan w:val="2"/>
          </w:tcPr>
          <w:p>
            <w:pPr>
              <w:ind w:left="1140"/>
              <w:spacing w:after="0"/>
              <w:rPr>
                <w:sz w:val="20"/>
                <w:szCs w:val="20"/>
                <w:color w:val="auto"/>
              </w:rPr>
            </w:pPr>
            <w:r>
              <w:rPr>
                <w:rFonts w:ascii="Arial" w:cs="Arial" w:eastAsia="Arial" w:hAnsi="Arial"/>
                <w:sz w:val="14"/>
                <w:szCs w:val="14"/>
                <w:i w:val="1"/>
                <w:iCs w:val="1"/>
                <w:color w:val="auto"/>
              </w:rPr>
              <w:t>(dollars in thousands)</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color w:val="auto"/>
                <w:w w:val="96"/>
              </w:rPr>
              <w:t>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color w:val="auto"/>
                <w:w w:val="89"/>
              </w:rPr>
              <w:t>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color w:val="auto"/>
                <w:w w:val="96"/>
              </w:rPr>
              <w:t>2019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5,617</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Work-in-process</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47,431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57,575</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61"/>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7. Intangible Assets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A summary of intangible assets follows: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6"/>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color w:val="auto"/>
                <w:w w:val="92"/>
              </w:rPr>
              <w:t>February 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color w:val="auto"/>
                <w:w w:val="90"/>
              </w:rPr>
              <w:t>January 27,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rPr>
              <w:t>April 28,</w:t>
            </w:r>
          </w:p>
        </w:tc>
        <w:tc>
          <w:tcPr>
            <w:tcW w:w="1140" w:type="dxa"/>
            <w:vAlign w:val="bottom"/>
          </w:tcPr>
          <w:p>
            <w:pPr>
              <w:spacing w:after="0"/>
              <w:rPr>
                <w:sz w:val="24"/>
                <w:szCs w:val="24"/>
                <w:color w:val="auto"/>
              </w:rPr>
            </w:pPr>
          </w:p>
        </w:tc>
      </w:tr>
      <w:tr>
        <w:trPr>
          <w:trHeight w:val="167"/>
        </w:trPr>
        <w:tc>
          <w:tcPr>
            <w:tcW w:w="4340" w:type="dxa"/>
            <w:vAlign w:val="bottom"/>
            <w:gridSpan w:val="2"/>
          </w:tcPr>
          <w:p>
            <w:pPr>
              <w:ind w:left="1140"/>
              <w:spacing w:after="0"/>
              <w:rPr>
                <w:sz w:val="20"/>
                <w:szCs w:val="20"/>
                <w:color w:val="auto"/>
              </w:rPr>
            </w:pPr>
            <w:r>
              <w:rPr>
                <w:rFonts w:ascii="Arial" w:cs="Arial" w:eastAsia="Arial" w:hAnsi="Arial"/>
                <w:sz w:val="14"/>
                <w:szCs w:val="14"/>
                <w:i w:val="1"/>
                <w:iCs w:val="1"/>
                <w:color w:val="auto"/>
              </w:rPr>
              <w:t>(dollars in thousands)</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color w:val="auto"/>
                <w:w w:val="96"/>
              </w:rPr>
              <w:t>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color w:val="auto"/>
                <w:w w:val="89"/>
              </w:rPr>
              <w:t>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color w:val="auto"/>
                <w:w w:val="96"/>
              </w:rPr>
              <w:t>2019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Tradenames</w:t>
            </w:r>
          </w:p>
        </w:tc>
        <w:tc>
          <w:tcPr>
            <w:tcW w:w="1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7,232</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Customer relationships, net</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 net</w:t>
            </w: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1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69"/>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20" w:type="dxa"/>
            <w:vAlign w:val="bottom"/>
            <w:gridSpan w:val="3"/>
          </w:tcPr>
          <w:p>
            <w:pPr>
              <w:jc w:val="right"/>
              <w:ind w:right="707"/>
              <w:spacing w:after="0"/>
              <w:rPr>
                <w:sz w:val="20"/>
                <w:szCs w:val="20"/>
                <w:color w:val="auto"/>
              </w:rPr>
            </w:pPr>
            <w:r>
              <w:rPr>
                <w:rFonts w:ascii="Arial" w:cs="Arial" w:eastAsia="Arial" w:hAnsi="Arial"/>
                <w:sz w:val="18"/>
                <w:szCs w:val="18"/>
                <w:color w:val="auto"/>
              </w:rPr>
              <w:t>I-11</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1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Tradenames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 in the carrying amount of our tradenames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ind w:left="50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40"/>
              <w:spacing w:after="0" w:line="137" w:lineRule="exact"/>
              <w:rPr>
                <w:sz w:val="20"/>
                <w:szCs w:val="20"/>
                <w:color w:val="auto"/>
              </w:rPr>
            </w:pPr>
            <w:r>
              <w:rPr>
                <w:rFonts w:ascii="Arial" w:cs="Arial" w:eastAsia="Arial" w:hAnsi="Arial"/>
                <w:sz w:val="14"/>
                <w:szCs w:val="14"/>
                <w:color w:val="auto"/>
                <w:w w:val="97"/>
              </w:rPr>
              <w:t>February 2,</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6"/>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Acquisition of business (note 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6,549</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Impairment charge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(2,428)</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80" w:type="dxa"/>
            <w:vAlign w:val="bottom"/>
          </w:tcPr>
          <w:p>
            <w:pPr>
              <w:spacing w:after="0"/>
              <w:rPr>
                <w:sz w:val="19"/>
                <w:szCs w:val="19"/>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tradenames have an indefinite useful life and therefore, are not being amortized. However, in accordance with </w:t>
      </w:r>
      <w:r>
        <w:rPr>
          <w:rFonts w:ascii="Arial" w:cs="Arial" w:eastAsia="Arial" w:hAnsi="Arial"/>
          <w:sz w:val="18"/>
          <w:szCs w:val="18"/>
          <w:i w:val="1"/>
          <w:iCs w:val="1"/>
          <w:color w:val="auto"/>
        </w:rPr>
        <w:t>ASC Topic 350 Intangibles –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w:t>
      </w:r>
      <w:r>
        <w:rPr>
          <w:rFonts w:ascii="Arial" w:cs="Arial" w:eastAsia="Arial" w:hAnsi="Arial"/>
          <w:sz w:val="18"/>
          <w:szCs w:val="18"/>
          <w:color w:val="auto"/>
        </w:rPr>
        <w:t>, our tradenames will be assessed annually for impairment or between annual test if we believe indicators of impairment exist. As of February 2,</w:t>
      </w:r>
      <w:r>
        <w:rPr>
          <w:rFonts w:ascii="Arial" w:cs="Arial" w:eastAsia="Arial" w:hAnsi="Arial"/>
          <w:sz w:val="18"/>
          <w:szCs w:val="18"/>
          <w:i w:val="1"/>
          <w:iCs w:val="1"/>
          <w:color w:val="auto"/>
        </w:rPr>
        <w:t xml:space="preserve"> </w:t>
      </w:r>
      <w:r>
        <w:rPr>
          <w:rFonts w:ascii="Arial" w:cs="Arial" w:eastAsia="Arial" w:hAnsi="Arial"/>
          <w:sz w:val="18"/>
          <w:szCs w:val="18"/>
          <w:color w:val="auto"/>
        </w:rPr>
        <w:t>2020, management determined that impairment indicators existed that pertained to changes in the future outlook of our home accessories segment and its slower than expected business improvement as well as current economic conditions within the e-commerce bedding space. As a result of our interim impairment assessment, we recorded an impairment charge of $2.4 million in Asset Impairments in the Consolidated Statements of Net (Loss) Income for the three-month and nine-month periods ended February 2, 2020. There were no impairment charges for the three-month or nine-month periods ended January 27, 2019.</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 in the carrying amount of our customer relationships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360"/>
              <w:spacing w:after="0" w:line="137" w:lineRule="exact"/>
              <w:rPr>
                <w:sz w:val="20"/>
                <w:szCs w:val="20"/>
                <w:color w:val="auto"/>
              </w:rPr>
            </w:pPr>
            <w:r>
              <w:rPr>
                <w:rFonts w:ascii="Arial" w:cs="Arial" w:eastAsia="Arial" w:hAnsi="Arial"/>
                <w:sz w:val="14"/>
                <w:szCs w:val="14"/>
                <w:color w:val="auto"/>
              </w:rPr>
              <w:t>February 2,</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7"/>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339"/>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r>
      <w:tr>
        <w:trPr>
          <w:trHeight w:val="223"/>
        </w:trPr>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customer relationships are amortized on a straight-line basis over useful lives ranging from nine to seventeen years.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carrying amount of our customer relationships was $3.1 million at February 2, 2020, January 27, 2019, and April 28, 2019, respectively. Accumulated amortization for these customer relationships was $802,000, $502,000 and $577,000 at February 2, 2020, January 27, 2019, and April 28, 2019,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amortization expense for the next five fiscal years and thereafter follows: FY 2020 - $76,000; FY 2021 - $301,000; FY 2022 - $301,000; FY 2023 - $301,000; FY 2024 - $301,000; and Thereafter - $1,033,000.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our customer relationships is 7.9 years as of February 2,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 in the carrying amount of our non-compete agreement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360"/>
              <w:spacing w:after="0" w:line="137" w:lineRule="exact"/>
              <w:rPr>
                <w:sz w:val="20"/>
                <w:szCs w:val="20"/>
                <w:color w:val="auto"/>
              </w:rPr>
            </w:pPr>
            <w:r>
              <w:rPr>
                <w:rFonts w:ascii="Arial" w:cs="Arial" w:eastAsia="Arial" w:hAnsi="Arial"/>
                <w:sz w:val="14"/>
                <w:szCs w:val="14"/>
                <w:color w:val="auto"/>
              </w:rPr>
              <w:t>February 2,</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7"/>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339"/>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23"/>
        </w:trPr>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non-compete agreement is amortized on a straight-line basis over the fifteen-year life of the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carrying amount of our non-compete agreement was $2.0 million at February 2, 2020, January 27, 2019, and April 28, 2019, respectively. Accumulated amortization for our non-compete agreement was $1.4 million at February 2, 2020, $1.3 million at January 27, 2019, and $1.4 million at April 28,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remaining amortization expense for the next five years and thereafter follows: FY 2020 - $19,000; FY 2021 - $75,000; FY 2022 - $75,000; FY 2023 - $75,000; FY 2024 - $75,000, and Thereafter - $302,000.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the non-compete agreement is 8.3 years as of February 2,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 in the carrying amount of goodwill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ind w:left="50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40"/>
              <w:spacing w:after="0" w:line="137" w:lineRule="exact"/>
              <w:rPr>
                <w:sz w:val="20"/>
                <w:szCs w:val="20"/>
                <w:color w:val="auto"/>
              </w:rPr>
            </w:pPr>
            <w:r>
              <w:rPr>
                <w:rFonts w:ascii="Arial" w:cs="Arial" w:eastAsia="Arial" w:hAnsi="Arial"/>
                <w:sz w:val="14"/>
                <w:szCs w:val="14"/>
                <w:color w:val="auto"/>
                <w:w w:val="97"/>
              </w:rPr>
              <w:t>February 2,</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6"/>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13,569</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Acquisition of business (see note 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13,653</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Impairment charge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(11,211)</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27,222</w:t>
            </w:r>
          </w:p>
        </w:tc>
        <w:tc>
          <w:tcPr>
            <w:tcW w:w="80" w:type="dxa"/>
            <w:vAlign w:val="bottom"/>
          </w:tcPr>
          <w:p>
            <w:pPr>
              <w:spacing w:after="0"/>
              <w:rPr>
                <w:sz w:val="19"/>
                <w:szCs w:val="19"/>
                <w:color w:val="auto"/>
              </w:rPr>
            </w:pPr>
          </w:p>
        </w:tc>
      </w:tr>
    </w:tbl>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ASC Topic 350 Intangibles – Goodwill and Other</w:t>
      </w:r>
      <w:r>
        <w:rPr>
          <w:rFonts w:ascii="Arial" w:cs="Arial" w:eastAsia="Arial" w:hAnsi="Arial"/>
          <w:sz w:val="18"/>
          <w:szCs w:val="18"/>
          <w:color w:val="auto"/>
        </w:rPr>
        <w:t>, we assess goodwill for impairment annually or between annual test if we believe indicators of impairment exist. As of February 2, 2020, management determined that impairment indicators existed that pertained to the future outlook of our home accessories segment and its slower than expected business improvement, as well as current economic conditions within the e-commerce bedding space. As a result of the interim impairment assessment, we recorded an impairment charge of $11.2 million in Asset Impairments in the consolidated statements of net (loss) income for the three-month and nine-month periods ended February 2, 2020. There were no impairment charges for the three-month or nine-month periods ended January 27,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 in Unconsolidated Joint Venture</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Culp International Holdings, Ltd. (Culp International), a wholly-owned subsidiary of the company, entered into a joint venture agreement pursuant to which Culp International owns fifty percent of Class International Holdings, Ltd. (CLIH). CLIH produces cut and sewn mattress covers, and its operations are located in a modern industrial park in northeastern Haiti, which borders the Dominican Republic. CLIH commenced production in the second quarter of fiscal 2018 and complements our mattress fabric operations with a reactive platform that enhances our ability to meet customer demand while adding a lower cost operation to our platform.</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CLIH reported a net loss of $120,000 and $218,000 for the nine-month periods ending February 2, 2020, and January 27, 2019, respectively. Our equity interest in CLIH’s net loss for the nine-month periods ending February 2, 2020 and January 27, 2019 was $60,000 and $109,000,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assets, liabilities, and members’ equity of our equity method investment in CLIH:</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7"/>
              <w:spacing w:after="0"/>
              <w:rPr>
                <w:sz w:val="20"/>
                <w:szCs w:val="20"/>
                <w:color w:val="auto"/>
              </w:rPr>
            </w:pPr>
            <w:r>
              <w:rPr>
                <w:rFonts w:ascii="Arial" w:cs="Arial" w:eastAsia="Arial" w:hAnsi="Arial"/>
                <w:sz w:val="14"/>
                <w:szCs w:val="14"/>
                <w:color w:val="auto"/>
                <w:w w:val="97"/>
              </w:rPr>
              <w:t>February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17"/>
              <w:spacing w:after="0"/>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April 28,</w:t>
            </w:r>
          </w:p>
        </w:tc>
      </w:tr>
      <w:tr>
        <w:trPr>
          <w:trHeight w:val="167"/>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Total members’ equity</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80" w:type="dxa"/>
            <w:vAlign w:val="bottom"/>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At February 2, 2020, January 27, 2019, and April 28, 2019, our equity interest in CLIH totaled $1.7 million, $1.5 million, and $1.5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accrued expenses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color w:val="auto"/>
                <w:w w:val="97"/>
              </w:rPr>
              <w:t>February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16"/>
              <w:spacing w:after="0"/>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April 28,</w:t>
            </w:r>
          </w:p>
        </w:tc>
        <w:tc>
          <w:tcPr>
            <w:tcW w:w="1140" w:type="dxa"/>
            <w:vAlign w:val="bottom"/>
          </w:tcPr>
          <w:p>
            <w:pPr>
              <w:spacing w:after="0"/>
              <w:rPr>
                <w:sz w:val="14"/>
                <w:szCs w:val="14"/>
                <w:color w:val="auto"/>
              </w:rPr>
            </w:pPr>
          </w:p>
        </w:tc>
      </w:tr>
      <w:tr>
        <w:trPr>
          <w:trHeight w:val="167"/>
        </w:trPr>
        <w:tc>
          <w:tcPr>
            <w:tcW w:w="5060" w:type="dxa"/>
            <w:vAlign w:val="bottom"/>
            <w:gridSpan w:val="2"/>
          </w:tcPr>
          <w:p>
            <w:pPr>
              <w:ind w:left="1140"/>
              <w:spacing w:after="0"/>
              <w:rPr>
                <w:sz w:val="20"/>
                <w:szCs w:val="20"/>
                <w:color w:val="auto"/>
              </w:rPr>
            </w:pPr>
            <w:r>
              <w:rPr>
                <w:rFonts w:ascii="Arial" w:cs="Arial" w:eastAsia="Arial" w:hAnsi="Arial"/>
                <w:sz w:val="14"/>
                <w:szCs w:val="14"/>
                <w:i w:val="1"/>
                <w:iCs w:val="1"/>
                <w:color w:val="auto"/>
              </w:rPr>
              <w:t>(dollars in thousands)</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16"/>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Compensation, commissions and related benefits</w:t>
            </w: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9,740</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9,525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41"/>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I-13</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1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February 2, 2020, we had accrued expenses totaling $8.0 million, of which $7.7 million and $233,000 were classified as current accrued expenses and long-term accrued expenses, respectively, in the accompanying Consolidated Balance Sheets. At January 27, 2019, we had accrued expenses totaling $9.7 million, all of which were classified as current accrued expenses in the accompanying Consolidated Balance Sheets. At April 28, 2019, we had accrued expenses totaling $9.5 million, of which $9.2 million and $333,000 were classified as current accrued expenses and long-term accrued expenses, respectively, in the accompanying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Exit and Disposal Activity</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June 12, 2018, our board of directors announced the closure of our upholstery fabrics manufacturing facility located in Anderson, South Carolina. This closure was completed during the second quarter of fiscal 2019 and was due to a continued decline in demand for the products manufactured at this facility, reflecting a change in consumer style preferences.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our restructuring credit and restructuring related charges that were associated with the above exit and disposal activity:</w:t>
      </w:r>
    </w:p>
    <w:p>
      <w:pPr>
        <w:spacing w:after="0" w:line="340"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20"/>
              <w:spacing w:after="0" w:line="137" w:lineRule="exact"/>
              <w:rPr>
                <w:sz w:val="20"/>
                <w:szCs w:val="20"/>
                <w:color w:val="auto"/>
              </w:rPr>
            </w:pPr>
            <w:r>
              <w:rPr>
                <w:rFonts w:ascii="Arial" w:cs="Arial" w:eastAsia="Arial" w:hAnsi="Arial"/>
                <w:sz w:val="14"/>
                <w:szCs w:val="14"/>
                <w:color w:val="auto"/>
              </w:rPr>
              <w:t>February 2,</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5"/>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Inventory markdowns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Employee termination benefits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9"/>
                <w:szCs w:val="19"/>
                <w:color w:val="auto"/>
              </w:rPr>
            </w:pPr>
          </w:p>
        </w:tc>
      </w:tr>
      <w:tr>
        <w:trPr>
          <w:trHeight w:val="215"/>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operational costs associated with a closed plant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facility</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FF0FC"/>
          </w:tcPr>
          <w:p>
            <w:pPr>
              <w:spacing w:after="0"/>
              <w:rPr>
                <w:sz w:val="20"/>
                <w:szCs w:val="20"/>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Gain on sale of equipment</w:t>
            </w: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(1,486)</w:t>
            </w:r>
          </w:p>
        </w:tc>
      </w:tr>
      <w:tr>
        <w:trPr>
          <w:trHeight w:val="223"/>
        </w:trPr>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Restructuring credit and restructuring related charges (1) (2)</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left="480" w:right="500" w:hanging="472"/>
        <w:spacing w:after="0" w:line="277"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$70,000 credit was recorded to restructuring credit in the Consolidated Statements of Net (Loss) Income for the nine-month period ending February 2, 2020.</w:t>
      </w:r>
    </w:p>
    <w:p>
      <w:pPr>
        <w:spacing w:after="0" w:line="62" w:lineRule="exact"/>
        <w:rPr>
          <w:rFonts w:ascii="Arial" w:cs="Arial" w:eastAsia="Arial" w:hAnsi="Arial"/>
          <w:sz w:val="18"/>
          <w:szCs w:val="18"/>
          <w:color w:val="auto"/>
        </w:rPr>
      </w:pPr>
    </w:p>
    <w:p>
      <w:pPr>
        <w:jc w:val="both"/>
        <w:ind w:left="480" w:right="480" w:hanging="472"/>
        <w:spacing w:after="0" w:line="263"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the total net charge, a $2.3 million charge, a charge of $40,000, and a credit of $825,000 were recorded in cost of sales, selling, general and administrative expenses, and restructuring credit, respectively, in the Consolidated Statements of Net Income for the nine-month period ending January 27,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in accrued restructuring costs: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360"/>
              <w:spacing w:after="0" w:line="137" w:lineRule="exact"/>
              <w:rPr>
                <w:sz w:val="20"/>
                <w:szCs w:val="20"/>
                <w:color w:val="auto"/>
              </w:rPr>
            </w:pPr>
            <w:r>
              <w:rPr>
                <w:rFonts w:ascii="Arial" w:cs="Arial" w:eastAsia="Arial" w:hAnsi="Arial"/>
                <w:sz w:val="14"/>
                <w:szCs w:val="14"/>
                <w:color w:val="auto"/>
              </w:rPr>
              <w:t>February 2,</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5"/>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Accrual established in fiscal 2019</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(434)</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r>
      <w:tr>
        <w:trPr>
          <w:trHeight w:val="223"/>
        </w:trPr>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above restructuring accrual pertains to employee termination benefits that were associated with the above exit and disposal activity.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Lines of Credit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 – United States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Credit Agreement with Wells Fargo Bank, N.A. (“Wells Fargo”) provides a revolving loan commitment of $25 million, is set to expire on August 15, 2020, and allows us to issue letters of credit not to exceed $1 million.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is charged at a rate (applicable interest rate of 3.11%, 3.95%, and 3.93% at February 2, 2020, January 27, 2019, and April 28, 2019, respectively) as a variable spread over LIBOR based on our ratio of debt to EBITDA.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Outstanding borrowings are secured by a pledge of 65% of the common stock of Culp International Holdings Ltd. (our subsidiary located in the Cayman Islands), as required by the Credit Agreement. There were no borrowings outstanding under the Credit Agreement at February 2, 2020, January 27, 2019, and April 28,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At February 2, 2020, January 27, 2019, and April 28, 2019, there were $250,000 in outstanding letters of credit provided by the Credit Agreement.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 – China</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have an unsecured credit agreement associated with our operations in China that provides for a line of credit up to 40 million RMB ($5.8 million USD at February 2, 2020). This agreement has an interest rate determined by the Chinese government and is set to expire on December 4, 2020. There were no outstanding borrowings as of February 2, 2020, January 27, 2019, and April 28,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Loan Payable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February 7, 2019, eLuxury entered into a subordinated credit agreement with the owner of its noncontrolling interest which provides a revolving loan commitment of $1.0 million that expires on June 22, 2023. Interest is charged at a rate (applicable interest rate of 3.36% at February 2, 2020) as a variable spread over LIBOR based on Culp’s ratio of debt to EBITDA plus 25 basis points. There were outstanding borrowings under this agreement totaling $925,000 and $675,000 at February 2, 2020 and April 28, 2019,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loan agreements require, among other things, that we maintain compliance with certain financial covenants. We were in compliance with these financial covenants as of February 2,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 The hierarchy consists of three broad levels as follows: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2 – Inputs other than level 1 inputs that are either directly or indirectly observable; and</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Level 3 – Unobservable inputs developed using the company’s estimates and assumptions, which reflect those that market participants would use.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assets measured at fair value on a recurring basis: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color w:val="auto"/>
                <w:w w:val="95"/>
              </w:rPr>
              <w:t>Fair value measurements at February 2, 2020 using:</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7" w:lineRule="exact"/>
              <w:rPr>
                <w:sz w:val="20"/>
                <w:szCs w:val="20"/>
                <w:color w:val="auto"/>
              </w:rPr>
            </w:pPr>
            <w:r>
              <w:rPr>
                <w:rFonts w:ascii="Arial" w:cs="Arial" w:eastAsia="Arial" w:hAnsi="Arial"/>
                <w:sz w:val="14"/>
                <w:szCs w:val="14"/>
                <w:color w:val="auto"/>
                <w:w w:val="94"/>
              </w:rPr>
              <w:t>Quoted prices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in active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Significant</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markets for</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other</w:t>
            </w:r>
          </w:p>
        </w:tc>
        <w:tc>
          <w:tcPr>
            <w:tcW w:w="15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9"/>
              </w:rPr>
              <w:t>Significant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identical</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observable</w:t>
            </w:r>
          </w:p>
        </w:tc>
        <w:tc>
          <w:tcPr>
            <w:tcW w:w="15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0"/>
              </w:rPr>
              <w:t>unobservable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376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83"/>
              </w:rPr>
              <w:t>assets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inputs</w:t>
            </w: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color w:val="auto"/>
                <w:w w:val="96"/>
              </w:rPr>
              <w:t>inputs</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4"/>
                <w:szCs w:val="14"/>
                <w:color w:val="auto"/>
                <w:w w:val="92"/>
              </w:rPr>
              <w:t>Level 1</w:t>
            </w:r>
          </w:p>
        </w:tc>
        <w:tc>
          <w:tcPr>
            <w:tcW w:w="20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Level 2</w:t>
            </w:r>
          </w:p>
        </w:tc>
        <w:tc>
          <w:tcPr>
            <w:tcW w:w="12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Level 3</w:t>
            </w:r>
          </w:p>
        </w:tc>
        <w:tc>
          <w:tcPr>
            <w:tcW w:w="360" w:type="dxa"/>
            <w:vAlign w:val="bottom"/>
            <w:gridSpan w:val="2"/>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Premier Money Market Fund</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6,334</w:t>
            </w:r>
          </w:p>
        </w:tc>
        <w:tc>
          <w:tcPr>
            <w:tcW w:w="20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540" w:type="dxa"/>
            <w:vAlign w:val="bottom"/>
            <w:gridSpan w:val="3"/>
          </w:tcPr>
          <w:p>
            <w:pPr>
              <w:ind w:left="860"/>
              <w:spacing w:after="0"/>
              <w:rPr>
                <w:sz w:val="20"/>
                <w:szCs w:val="20"/>
                <w:color w:val="auto"/>
              </w:rPr>
            </w:pPr>
            <w:r>
              <w:rPr>
                <w:rFonts w:ascii="Arial" w:cs="Arial" w:eastAsia="Arial" w:hAnsi="Arial"/>
                <w:sz w:val="18"/>
                <w:szCs w:val="18"/>
                <w:color w:val="auto"/>
              </w:rPr>
              <w:t>N/A  $</w:t>
            </w:r>
          </w:p>
        </w:tc>
        <w:tc>
          <w:tcPr>
            <w:tcW w:w="840" w:type="dxa"/>
            <w:vAlign w:val="bottom"/>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Short Term Bond Funds</w:t>
            </w: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4,743</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540" w:type="dxa"/>
            <w:vAlign w:val="bottom"/>
            <w:gridSpan w:val="3"/>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Inflation Protected Bond Funds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2,837</w:t>
            </w:r>
          </w:p>
        </w:tc>
        <w:tc>
          <w:tcPr>
            <w:tcW w:w="20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540" w:type="dxa"/>
            <w:vAlign w:val="bottom"/>
            <w:gridSpan w:val="3"/>
          </w:tcPr>
          <w:p>
            <w:pPr>
              <w:ind w:left="860"/>
              <w:spacing w:after="0"/>
              <w:rPr>
                <w:sz w:val="20"/>
                <w:szCs w:val="20"/>
                <w:color w:val="auto"/>
              </w:rPr>
            </w:pPr>
            <w:r>
              <w:rPr>
                <w:rFonts w:ascii="Arial" w:cs="Arial" w:eastAsia="Arial" w:hAnsi="Arial"/>
                <w:sz w:val="18"/>
                <w:szCs w:val="18"/>
                <w:color w:val="auto"/>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Strategic Income Fund</w:t>
            </w: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540" w:type="dxa"/>
            <w:vAlign w:val="bottom"/>
            <w:gridSpan w:val="3"/>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Growth Allocation Fund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540" w:type="dxa"/>
            <w:vAlign w:val="bottom"/>
            <w:gridSpan w:val="3"/>
          </w:tcPr>
          <w:p>
            <w:pPr>
              <w:ind w:left="860"/>
              <w:spacing w:after="0"/>
              <w:rPr>
                <w:sz w:val="20"/>
                <w:szCs w:val="20"/>
                <w:color w:val="auto"/>
              </w:rPr>
            </w:pPr>
            <w:r>
              <w:rPr>
                <w:rFonts w:ascii="Arial" w:cs="Arial" w:eastAsia="Arial" w:hAnsi="Arial"/>
                <w:sz w:val="18"/>
                <w:szCs w:val="18"/>
                <w:color w:val="auto"/>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Moderate Allocation Fund</w:t>
            </w: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540" w:type="dxa"/>
            <w:vAlign w:val="bottom"/>
            <w:gridSpan w:val="3"/>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0"/>
                <w:szCs w:val="20"/>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540" w:type="dxa"/>
            <w:vAlign w:val="bottom"/>
            <w:gridSpan w:val="3"/>
          </w:tcPr>
          <w:p>
            <w:pPr>
              <w:ind w:left="860"/>
              <w:spacing w:after="0"/>
              <w:rPr>
                <w:sz w:val="20"/>
                <w:szCs w:val="20"/>
                <w:color w:val="auto"/>
              </w:rPr>
            </w:pPr>
            <w:r>
              <w:rPr>
                <w:rFonts w:ascii="Arial" w:cs="Arial" w:eastAsia="Arial" w:hAnsi="Arial"/>
                <w:sz w:val="18"/>
                <w:szCs w:val="18"/>
                <w:color w:val="auto"/>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60" w:type="dxa"/>
            <w:vAlign w:val="bottom"/>
            <w:gridSpan w:val="5"/>
          </w:tcPr>
          <w:p>
            <w:pPr>
              <w:ind w:left="1140"/>
              <w:spacing w:after="0"/>
              <w:rPr>
                <w:sz w:val="20"/>
                <w:szCs w:val="20"/>
                <w:color w:val="auto"/>
              </w:rPr>
            </w:pPr>
            <w:r>
              <w:rPr>
                <w:rFonts w:ascii="Arial" w:cs="Arial" w:eastAsia="Arial" w:hAnsi="Arial"/>
                <w:sz w:val="18"/>
                <w:szCs w:val="18"/>
                <w:color w:val="auto"/>
              </w:rPr>
              <w:t>I-15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0"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color w:val="auto"/>
              </w:rPr>
              <w:t>Fair value measurements at January 27, 2019 using:</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7" w:lineRule="exact"/>
              <w:rPr>
                <w:sz w:val="20"/>
                <w:szCs w:val="20"/>
                <w:color w:val="auto"/>
              </w:rPr>
            </w:pPr>
            <w:r>
              <w:rPr>
                <w:rFonts w:ascii="Arial" w:cs="Arial" w:eastAsia="Arial" w:hAnsi="Arial"/>
                <w:sz w:val="14"/>
                <w:szCs w:val="14"/>
                <w:color w:val="auto"/>
                <w:w w:val="94"/>
              </w:rPr>
              <w:t>Quoted prices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in active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Significant</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markets for</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other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9"/>
              </w:rPr>
              <w:t>Significant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identical</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observable</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unobservable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83"/>
              </w:rPr>
              <w:t>assets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inputs</w:t>
            </w: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inputs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04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61"/>
              <w:spacing w:after="0" w:line="155" w:lineRule="exact"/>
              <w:rPr>
                <w:sz w:val="20"/>
                <w:szCs w:val="20"/>
                <w:color w:val="auto"/>
              </w:rPr>
            </w:pPr>
            <w:r>
              <w:rPr>
                <w:rFonts w:ascii="Arial" w:cs="Arial" w:eastAsia="Arial" w:hAnsi="Arial"/>
                <w:sz w:val="14"/>
                <w:szCs w:val="14"/>
                <w:color w:val="auto"/>
                <w:w w:val="92"/>
              </w:rPr>
              <w:t>Level 1</w:t>
            </w:r>
          </w:p>
        </w:tc>
        <w:tc>
          <w:tcPr>
            <w:tcW w:w="20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Level 2</w:t>
            </w:r>
          </w:p>
        </w:tc>
        <w:tc>
          <w:tcPr>
            <w:tcW w:w="12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Level 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Premier Money Market Fund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6,433</w:t>
            </w:r>
          </w:p>
        </w:tc>
        <w:tc>
          <w:tcPr>
            <w:tcW w:w="20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180" w:type="dxa"/>
            <w:vAlign w:val="bottom"/>
          </w:tcPr>
          <w:p>
            <w:pPr>
              <w:ind w:left="860"/>
              <w:spacing w:after="0"/>
              <w:rPr>
                <w:sz w:val="20"/>
                <w:szCs w:val="20"/>
                <w:color w:val="auto"/>
              </w:rPr>
            </w:pPr>
            <w:r>
              <w:rPr>
                <w:rFonts w:ascii="Arial" w:cs="Arial" w:eastAsia="Arial" w:hAnsi="Arial"/>
                <w:sz w:val="18"/>
                <w:szCs w:val="18"/>
                <w:color w:val="auto"/>
                <w:w w:val="99"/>
              </w:rPr>
              <w:t>N/A</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Growth Allocation Fund</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Moderate Allocation Fund</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180" w:type="dxa"/>
            <w:vAlign w:val="bottom"/>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color w:val="auto"/>
              </w:rPr>
              <w:t>Fair value measurements at April 28, 2019 using:</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7" w:lineRule="exact"/>
              <w:rPr>
                <w:sz w:val="20"/>
                <w:szCs w:val="20"/>
                <w:color w:val="auto"/>
              </w:rPr>
            </w:pPr>
            <w:r>
              <w:rPr>
                <w:rFonts w:ascii="Arial" w:cs="Arial" w:eastAsia="Arial" w:hAnsi="Arial"/>
                <w:sz w:val="14"/>
                <w:szCs w:val="14"/>
                <w:color w:val="auto"/>
                <w:w w:val="94"/>
              </w:rPr>
              <w:t>Quoted prices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in active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Significant</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markets for</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other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9"/>
              </w:rPr>
              <w:t>Significant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identical</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observable</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unobservable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83"/>
              </w:rPr>
              <w:t>assets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inputs</w:t>
            </w: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inputs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04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61"/>
              <w:spacing w:after="0" w:line="155" w:lineRule="exact"/>
              <w:rPr>
                <w:sz w:val="20"/>
                <w:szCs w:val="20"/>
                <w:color w:val="auto"/>
              </w:rPr>
            </w:pPr>
            <w:r>
              <w:rPr>
                <w:rFonts w:ascii="Arial" w:cs="Arial" w:eastAsia="Arial" w:hAnsi="Arial"/>
                <w:sz w:val="14"/>
                <w:szCs w:val="14"/>
                <w:color w:val="auto"/>
                <w:w w:val="92"/>
              </w:rPr>
              <w:t>Level 1</w:t>
            </w:r>
          </w:p>
        </w:tc>
        <w:tc>
          <w:tcPr>
            <w:tcW w:w="20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Level 2</w:t>
            </w:r>
          </w:p>
        </w:tc>
        <w:tc>
          <w:tcPr>
            <w:tcW w:w="12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Level 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Premier Money Market Fund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6,639</w:t>
            </w:r>
          </w:p>
        </w:tc>
        <w:tc>
          <w:tcPr>
            <w:tcW w:w="20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180" w:type="dxa"/>
            <w:vAlign w:val="bottom"/>
          </w:tcPr>
          <w:p>
            <w:pPr>
              <w:ind w:left="860"/>
              <w:spacing w:after="0"/>
              <w:rPr>
                <w:sz w:val="20"/>
                <w:szCs w:val="20"/>
                <w:color w:val="auto"/>
              </w:rPr>
            </w:pPr>
            <w:r>
              <w:rPr>
                <w:rFonts w:ascii="Arial" w:cs="Arial" w:eastAsia="Arial" w:hAnsi="Arial"/>
                <w:sz w:val="18"/>
                <w:szCs w:val="18"/>
                <w:color w:val="auto"/>
                <w:w w:val="99"/>
              </w:rPr>
              <w:t>N/A</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Growth Allocation Fund</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Moderate Allocation Fund</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180" w:type="dxa"/>
            <w:vAlign w:val="bottom"/>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and Long-Term Investments - Held-To-Maturity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our investments classified as held-to-maturity consist of investment grade U.S. corporate bonds, foreign bonds, and government bonds with remaining maturities that ranged from 1 to 3 years. These investments were classified as held-to-maturity, as we have the positive intent and ability to hold these investments until maturity. Our held-to-maturity investments were recorded as either current or noncurrent in our Consolidated Balance Sheets, based on the contractual maturity date in relation to the respective reporting period, and were recorded at amortized cost.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February 2, 2020, January 27, 2019, and April 28, 2019, our held-to-maturity investments recorded at amortized cost totaled $5.4 million, $13.5 million, and $5.0 million, respectively. The fair value of our held-to-maturity investments at February 2, 2020, January 27, 2019, and April 28, 2019, totaled $5.4 million, $13.5 million and $5.0 million,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bond investments were classified as level 2, as they were traded over the counter within a broker network and not on an active market. The fair value of our bonds was determined based on a published source that provided an average bid price. The average bid price was based on various broker prices that were determined based on market conditions, interest rates, and the rating of the bond.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 Available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February 2, 2020, our short-term investments classified as available for sale totaled $7.6 million and consisted of bond funds. Since these bond funds were classified as available for sale, these investments were recorded at their fair market value and their unrealized gains or losses are included in other comprehensive income (loss). Our bond funds had an accumulated unrealized gain totaling $48,000. At February 2, 2020, the fair value of our bond funds approximated its cost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short-term investments classified as available for sale held at January 27, 2019 and April 28,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Investments - Rabbi Trust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Rabbi Trust to set aside funds for participants of our deferred compensation plan (the “Plan”), which enables the participants to credit their contributions to various investment options of the Plan. The investments associated with the Rabbi Trust consist of a money market fund and various mutual funds that are classified as available for sale.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long-term investments are recorded at their fair values of $7.8 million, $6.8 million, and $7.1 million at February 2, 2020, January 27, 2019, and April 28, 2019, respectively. Our long-term investments had an accumulated unrealized gain of $56,000, $9,000, and $40,000 at February 2, 2020, January 27, 2019, and April 28, 2019, respectively. The fair value of our long-term investments associated with our Rabbi Trust approximates their cost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our cash and cash equivalents, accounts receivable, other current assets, accounts payable, and accrued expenses approximates fair value because of the short maturity of these financial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i w:val="1"/>
          <w:iCs w:val="1"/>
          <w:color w:val="auto"/>
        </w:rPr>
        <w:t>onrecurring Basis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 2020, we had certain assets and a contingent consideration – earn-out obligation that were required to be measured at fair value on a nonrecurring basis.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color w:val="auto"/>
                <w:w w:val="93"/>
              </w:rPr>
              <w:t>Fair value measurements at February 2, 2020 using:</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gridSpan w:val="4"/>
          </w:tcPr>
          <w:p>
            <w:pPr>
              <w:jc w:val="center"/>
              <w:ind w:right="1048"/>
              <w:spacing w:after="0" w:line="137" w:lineRule="exact"/>
              <w:rPr>
                <w:sz w:val="20"/>
                <w:szCs w:val="20"/>
                <w:color w:val="auto"/>
              </w:rPr>
            </w:pPr>
            <w:r>
              <w:rPr>
                <w:rFonts w:ascii="Arial" w:cs="Arial" w:eastAsia="Arial" w:hAnsi="Arial"/>
                <w:sz w:val="14"/>
                <w:szCs w:val="14"/>
                <w:color w:val="auto"/>
                <w:w w:val="91"/>
              </w:rPr>
              <w:t>Quoted prices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3"/>
              </w:rPr>
              <w:t>in active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9"/>
              </w:rPr>
              <w:t>Significant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4"/>
              </w:rPr>
              <w:t>markets for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3"/>
              </w:rPr>
              <w:t>other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9"/>
              </w:rPr>
              <w:t>Significant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3"/>
              </w:rPr>
              <w:t>identical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0"/>
              </w:rPr>
              <w:t>observable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unobservable</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960" w:type="dxa"/>
            <w:vAlign w:val="bottom"/>
          </w:tcPr>
          <w:p>
            <w:pPr>
              <w:jc w:val="center"/>
              <w:ind w:left="248"/>
              <w:spacing w:after="0"/>
              <w:rPr>
                <w:sz w:val="20"/>
                <w:szCs w:val="20"/>
                <w:color w:val="auto"/>
              </w:rPr>
            </w:pPr>
            <w:r>
              <w:rPr>
                <w:rFonts w:ascii="Arial" w:cs="Arial" w:eastAsia="Arial" w:hAnsi="Arial"/>
                <w:sz w:val="14"/>
                <w:szCs w:val="14"/>
                <w:color w:val="auto"/>
                <w:w w:val="78"/>
              </w:rPr>
              <w:t>assets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6"/>
              </w:rPr>
              <w:t>inputs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inputs</w:t>
            </w:r>
          </w:p>
        </w:tc>
        <w:tc>
          <w:tcPr>
            <w:tcW w:w="26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5"/>
        </w:trPr>
        <w:tc>
          <w:tcPr>
            <w:tcW w:w="5640" w:type="dxa"/>
            <w:vAlign w:val="bottom"/>
            <w:gridSpan w:val="2"/>
            <w:vMerge w:val="continue"/>
          </w:tcPr>
          <w:p>
            <w:pPr>
              <w:spacing w:after="0"/>
              <w:rPr>
                <w:sz w:val="13"/>
                <w:szCs w:val="13"/>
                <w:color w:val="auto"/>
              </w:rPr>
            </w:pPr>
          </w:p>
        </w:tc>
        <w:tc>
          <w:tcPr>
            <w:tcW w:w="960" w:type="dxa"/>
            <w:vAlign w:val="bottom"/>
            <w:tcBorders>
              <w:top w:val="single" w:sz="8" w:color="auto"/>
            </w:tcBorders>
          </w:tcPr>
          <w:p>
            <w:pPr>
              <w:jc w:val="center"/>
              <w:ind w:left="248"/>
              <w:spacing w:after="0" w:line="155" w:lineRule="exact"/>
              <w:rPr>
                <w:sz w:val="20"/>
                <w:szCs w:val="20"/>
                <w:color w:val="auto"/>
              </w:rPr>
            </w:pPr>
            <w:r>
              <w:rPr>
                <w:rFonts w:ascii="Arial" w:cs="Arial" w:eastAsia="Arial" w:hAnsi="Arial"/>
                <w:sz w:val="14"/>
                <w:szCs w:val="14"/>
                <w:color w:val="auto"/>
                <w:w w:val="97"/>
              </w:rPr>
              <w:t>Level 1</w:t>
            </w: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w w:val="97"/>
              </w:rPr>
              <w:t>Level 2</w:t>
            </w:r>
          </w:p>
        </w:tc>
        <w:tc>
          <w:tcPr>
            <w:tcW w:w="3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80"/>
              <w:spacing w:after="0" w:line="155" w:lineRule="exact"/>
              <w:rPr>
                <w:sz w:val="20"/>
                <w:szCs w:val="20"/>
                <w:color w:val="auto"/>
              </w:rPr>
            </w:pPr>
            <w:r>
              <w:rPr>
                <w:rFonts w:ascii="Arial" w:cs="Arial" w:eastAsia="Arial" w:hAnsi="Arial"/>
                <w:sz w:val="14"/>
                <w:szCs w:val="14"/>
                <w:color w:val="auto"/>
                <w:w w:val="97"/>
              </w:rPr>
              <w:t>Level 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Goodwill (note 8)</w:t>
            </w:r>
          </w:p>
        </w:tc>
        <w:tc>
          <w:tcPr>
            <w:tcW w:w="96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N/A</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Tradename (note 7)</w:t>
            </w:r>
          </w:p>
        </w:tc>
        <w:tc>
          <w:tcPr>
            <w:tcW w:w="96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N/A</w:t>
            </w:r>
          </w:p>
        </w:tc>
        <w:tc>
          <w:tcPr>
            <w:tcW w:w="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Contingent Consideration – Earn-Out Obligation (note 3)</w:t>
            </w:r>
          </w:p>
        </w:tc>
        <w:tc>
          <w:tcPr>
            <w:tcW w:w="96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N/A</w:t>
            </w:r>
          </w:p>
        </w:tc>
        <w:tc>
          <w:tcPr>
            <w:tcW w:w="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goodwill was recorded at fair market value using the discounted cash flow method that used significant unobservable inputs and was classified as level</w:t>
      </w:r>
    </w:p>
    <w:p>
      <w:pPr>
        <w:spacing w:after="0" w:line="46" w:lineRule="exact"/>
        <w:rPr>
          <w:sz w:val="20"/>
          <w:szCs w:val="20"/>
          <w:color w:val="auto"/>
        </w:rPr>
      </w:pPr>
    </w:p>
    <w:p>
      <w:pPr>
        <w:ind w:firstLine="8"/>
        <w:spacing w:after="0" w:line="260"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tradename was recorded at fair market value using the royalty from relief method that used significant unobservable inputs and was classified as level 3.</w:t>
      </w: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27, 2019, we had no assets that were required to be measured at fair value on a nonrecurring basis other than certain assets acquired and liabilities assumed in connection with the eLuxury business combination on June 22, 2018 (see note 3).</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2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color w:val="auto"/>
              </w:rPr>
              <w:t>Fair value measurements at January 27, 2019 using:</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7" w:lineRule="exact"/>
              <w:rPr>
                <w:sz w:val="20"/>
                <w:szCs w:val="20"/>
                <w:color w:val="auto"/>
              </w:rPr>
            </w:pPr>
            <w:r>
              <w:rPr>
                <w:rFonts w:ascii="Arial" w:cs="Arial" w:eastAsia="Arial" w:hAnsi="Arial"/>
                <w:sz w:val="14"/>
                <w:szCs w:val="14"/>
                <w:color w:val="auto"/>
                <w:w w:val="91"/>
              </w:rPr>
              <w:t>Quoted prices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in active</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markets for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9"/>
              </w:rPr>
              <w:t>Significant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identical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0"/>
              </w:rPr>
              <w:t>unobservable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83"/>
              </w:rPr>
              <w:t>assets</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inputs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color w:val="auto"/>
                <w:w w:val="96"/>
              </w:rPr>
              <w:t>inputs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5"/>
        </w:trPr>
        <w:tc>
          <w:tcPr>
            <w:tcW w:w="5040" w:type="dxa"/>
            <w:vAlign w:val="bottom"/>
            <w:gridSpan w:val="2"/>
            <w:vMerge w:val="continue"/>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Level 1</w:t>
            </w:r>
          </w:p>
        </w:tc>
        <w:tc>
          <w:tcPr>
            <w:tcW w:w="12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Level 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8"/>
              <w:spacing w:after="0" w:line="155" w:lineRule="exact"/>
              <w:rPr>
                <w:sz w:val="20"/>
                <w:szCs w:val="20"/>
                <w:color w:val="auto"/>
              </w:rPr>
            </w:pPr>
            <w:r>
              <w:rPr>
                <w:rFonts w:ascii="Arial" w:cs="Arial" w:eastAsia="Arial" w:hAnsi="Arial"/>
                <w:sz w:val="14"/>
                <w:szCs w:val="14"/>
                <w:color w:val="auto"/>
                <w:w w:val="97"/>
              </w:rPr>
              <w:t>Level 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180" w:type="dxa"/>
            <w:vAlign w:val="bottom"/>
          </w:tcPr>
          <w:p>
            <w:pPr>
              <w:ind w:left="860"/>
              <w:spacing w:after="0"/>
              <w:rPr>
                <w:sz w:val="20"/>
                <w:szCs w:val="20"/>
                <w:color w:val="auto"/>
              </w:rPr>
            </w:pPr>
            <w:r>
              <w:rPr>
                <w:rFonts w:ascii="Arial" w:cs="Arial" w:eastAsia="Arial" w:hAnsi="Arial"/>
                <w:sz w:val="18"/>
                <w:szCs w:val="18"/>
                <w:color w:val="auto"/>
                <w:w w:val="99"/>
              </w:rPr>
              <w:t>N/A</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13,653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Tradename</w:t>
            </w: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180" w:type="dxa"/>
            <w:vAlign w:val="bottom"/>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Inventory</w:t>
            </w: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Contingent Consideration – Earn-Out Obligation</w:t>
            </w: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N/A</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tradename was recorded at fair market value using the royalty from relief method that used significant unobservable inputs and was classified as level</w:t>
      </w:r>
    </w:p>
    <w:p>
      <w:pPr>
        <w:spacing w:after="0" w:line="46" w:lineRule="exact"/>
        <w:rPr>
          <w:sz w:val="20"/>
          <w:szCs w:val="20"/>
          <w:color w:val="auto"/>
        </w:rPr>
      </w:pPr>
    </w:p>
    <w:p>
      <w:pPr>
        <w:ind w:left="5480" w:right="2080" w:hanging="5472"/>
        <w:spacing w:after="0" w:line="511" w:lineRule="auto"/>
        <w:tabs>
          <w:tab w:leader="none" w:pos="1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contingent consideration – earn-out obligation was recorded at fair market value using the Black Scholes pricing model. 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we acquired certain current assets, such as accounts receivable and prepaid expenses, and assumed certain liabilities, such as accounts payable and accrued expenses. Based on the nature of these items and their short maturity, the carrying amount of these items approximated their fair values. See note 3 for the final allocation of the acquisition cost to the assets acquired and liabilities assumed based on their fair values.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and income taxes paid are as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ind w:left="48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61"/>
              <w:spacing w:after="0" w:line="137" w:lineRule="exact"/>
              <w:rPr>
                <w:sz w:val="20"/>
                <w:szCs w:val="20"/>
                <w:color w:val="auto"/>
              </w:rPr>
            </w:pPr>
            <w:r>
              <w:rPr>
                <w:rFonts w:ascii="Arial" w:cs="Arial" w:eastAsia="Arial" w:hAnsi="Arial"/>
                <w:sz w:val="14"/>
                <w:szCs w:val="14"/>
                <w:color w:val="auto"/>
                <w:w w:val="97"/>
              </w:rPr>
              <w:t>February 2,</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9"/>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6,226</w:t>
            </w:r>
          </w:p>
        </w:tc>
        <w:tc>
          <w:tcPr>
            <w:tcW w:w="80" w:type="dxa"/>
            <w:vAlign w:val="bottom"/>
          </w:tcPr>
          <w:p>
            <w:pPr>
              <w:spacing w:after="0"/>
              <w:rPr>
                <w:sz w:val="20"/>
                <w:szCs w:val="20"/>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Income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income per share is computed using the weighted-average number of shares outstanding during the period. Diluted net (loss) income per share uses the weighted-average number of shares outstanding during the period plus the dilutive effect of stock-based compensation calculated using the treasury stock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used in the computation of basic and diluted net (loss) income per share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4"/>
          </w:tcPr>
          <w:p>
            <w:pPr>
              <w:ind w:left="580"/>
              <w:spacing w:after="0"/>
              <w:rPr>
                <w:sz w:val="20"/>
                <w:szCs w:val="20"/>
                <w:color w:val="auto"/>
              </w:rPr>
            </w:pPr>
            <w:r>
              <w:rPr>
                <w:rFonts w:ascii="Arial" w:cs="Arial" w:eastAsia="Arial" w:hAnsi="Arial"/>
                <w:sz w:val="14"/>
                <w:szCs w:val="14"/>
                <w:color w:val="auto"/>
              </w:rPr>
              <w:t>Three months ended</w:t>
            </w:r>
          </w:p>
        </w:tc>
      </w:tr>
      <w:tr>
        <w:trPr>
          <w:trHeight w:val="137"/>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gridSpan w:val="2"/>
          </w:tcPr>
          <w:p>
            <w:pPr>
              <w:ind w:left="200"/>
              <w:spacing w:after="0" w:line="137" w:lineRule="exact"/>
              <w:rPr>
                <w:sz w:val="20"/>
                <w:szCs w:val="20"/>
                <w:color w:val="auto"/>
              </w:rPr>
            </w:pPr>
            <w:r>
              <w:rPr>
                <w:rFonts w:ascii="Arial" w:cs="Arial" w:eastAsia="Arial" w:hAnsi="Arial"/>
                <w:sz w:val="14"/>
                <w:szCs w:val="14"/>
                <w:color w:val="auto"/>
              </w:rPr>
              <w:t>February 2,</w:t>
            </w:r>
          </w:p>
        </w:tc>
        <w:tc>
          <w:tcPr>
            <w:tcW w:w="1080" w:type="dxa"/>
            <w:vAlign w:val="bottom"/>
            <w:tcBorders>
              <w:top w:val="single" w:sz="8" w:color="auto"/>
            </w:tcBorders>
          </w:tcPr>
          <w:p>
            <w:pPr>
              <w:jc w:val="right"/>
              <w:ind w:right="137"/>
              <w:spacing w:after="0" w:line="137" w:lineRule="exact"/>
              <w:rPr>
                <w:sz w:val="20"/>
                <w:szCs w:val="20"/>
                <w:color w:val="auto"/>
              </w:rPr>
            </w:pPr>
            <w:r>
              <w:rPr>
                <w:rFonts w:ascii="Arial" w:cs="Arial" w:eastAsia="Arial" w:hAnsi="Arial"/>
                <w:sz w:val="14"/>
                <w:szCs w:val="14"/>
                <w:color w:val="auto"/>
              </w:rPr>
              <w:t>January 27,</w:t>
            </w:r>
          </w:p>
        </w:tc>
        <w:tc>
          <w:tcPr>
            <w:tcW w:w="80" w:type="dxa"/>
            <w:vAlign w:val="bottom"/>
          </w:tcPr>
          <w:p>
            <w:pPr>
              <w:spacing w:after="0"/>
              <w:rPr>
                <w:sz w:val="11"/>
                <w:szCs w:val="11"/>
                <w:color w:val="auto"/>
              </w:rPr>
            </w:pPr>
          </w:p>
        </w:tc>
      </w:tr>
      <w:tr>
        <w:trPr>
          <w:trHeight w:val="167"/>
        </w:trPr>
        <w:tc>
          <w:tcPr>
            <w:tcW w:w="542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1080" w:type="dxa"/>
            <w:vAlign w:val="bottom"/>
          </w:tcPr>
          <w:p>
            <w:pPr>
              <w:jc w:val="right"/>
              <w:ind w:right="319"/>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1080" w:type="dxa"/>
            <w:vAlign w:val="bottom"/>
          </w:tcPr>
          <w:p>
            <w:pPr>
              <w:jc w:val="right"/>
              <w:ind w:right="337"/>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12,409</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Dilutive effect of stock-based compensation</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r>
      <w:tr>
        <w:trPr>
          <w:trHeight w:val="223"/>
        </w:trPr>
        <w:tc>
          <w:tcPr>
            <w:tcW w:w="5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 average common shares outstanding, diluted</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12,409</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three-months ended February 2, 2020, 10,793 shares of unvested common stock were not included in the computation of diluted earnings per share, as we incurred a net loss for that reporting period. During the three-months ended January 27, 2019, 723 shares of unvested common stock were not included in the computation of diluted earnings per share as their effect would be antidilutive.</w:t>
      </w:r>
    </w:p>
    <w:p>
      <w:pPr>
        <w:spacing w:after="0" w:line="28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4"/>
          </w:tcPr>
          <w:p>
            <w:pPr>
              <w:ind w:left="620"/>
              <w:spacing w:after="0"/>
              <w:rPr>
                <w:sz w:val="20"/>
                <w:szCs w:val="20"/>
                <w:color w:val="auto"/>
              </w:rPr>
            </w:pPr>
            <w:r>
              <w:rPr>
                <w:rFonts w:ascii="Arial" w:cs="Arial" w:eastAsia="Arial" w:hAnsi="Arial"/>
                <w:sz w:val="14"/>
                <w:szCs w:val="14"/>
                <w:color w:val="auto"/>
              </w:rPr>
              <w:t>Nine months ended</w:t>
            </w:r>
          </w:p>
        </w:tc>
      </w:tr>
      <w:tr>
        <w:trPr>
          <w:trHeight w:val="137"/>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gridSpan w:val="2"/>
          </w:tcPr>
          <w:p>
            <w:pPr>
              <w:ind w:left="200"/>
              <w:spacing w:after="0" w:line="137" w:lineRule="exact"/>
              <w:rPr>
                <w:sz w:val="20"/>
                <w:szCs w:val="20"/>
                <w:color w:val="auto"/>
              </w:rPr>
            </w:pPr>
            <w:r>
              <w:rPr>
                <w:rFonts w:ascii="Arial" w:cs="Arial" w:eastAsia="Arial" w:hAnsi="Arial"/>
                <w:sz w:val="14"/>
                <w:szCs w:val="14"/>
                <w:color w:val="auto"/>
              </w:rPr>
              <w:t>February 2,</w:t>
            </w:r>
          </w:p>
        </w:tc>
        <w:tc>
          <w:tcPr>
            <w:tcW w:w="1080" w:type="dxa"/>
            <w:vAlign w:val="bottom"/>
            <w:tcBorders>
              <w:top w:val="single" w:sz="8" w:color="auto"/>
            </w:tcBorders>
          </w:tcPr>
          <w:p>
            <w:pPr>
              <w:jc w:val="right"/>
              <w:ind w:right="137"/>
              <w:spacing w:after="0" w:line="137" w:lineRule="exact"/>
              <w:rPr>
                <w:sz w:val="20"/>
                <w:szCs w:val="20"/>
                <w:color w:val="auto"/>
              </w:rPr>
            </w:pPr>
            <w:r>
              <w:rPr>
                <w:rFonts w:ascii="Arial" w:cs="Arial" w:eastAsia="Arial" w:hAnsi="Arial"/>
                <w:sz w:val="14"/>
                <w:szCs w:val="14"/>
                <w:color w:val="auto"/>
              </w:rPr>
              <w:t>January 27,</w:t>
            </w:r>
          </w:p>
        </w:tc>
        <w:tc>
          <w:tcPr>
            <w:tcW w:w="80" w:type="dxa"/>
            <w:vAlign w:val="bottom"/>
          </w:tcPr>
          <w:p>
            <w:pPr>
              <w:spacing w:after="0"/>
              <w:rPr>
                <w:sz w:val="11"/>
                <w:szCs w:val="11"/>
                <w:color w:val="auto"/>
              </w:rPr>
            </w:pPr>
          </w:p>
        </w:tc>
      </w:tr>
      <w:tr>
        <w:trPr>
          <w:trHeight w:val="167"/>
        </w:trPr>
        <w:tc>
          <w:tcPr>
            <w:tcW w:w="542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1080" w:type="dxa"/>
            <w:vAlign w:val="bottom"/>
          </w:tcPr>
          <w:p>
            <w:pPr>
              <w:jc w:val="right"/>
              <w:ind w:right="319"/>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1080" w:type="dxa"/>
            <w:vAlign w:val="bottom"/>
          </w:tcPr>
          <w:p>
            <w:pPr>
              <w:jc w:val="right"/>
              <w:ind w:right="337"/>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12,405</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Dilutive effect of stock-based compensation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FF0FC"/>
            </w:tcBorders>
          </w:tcPr>
          <w:p>
            <w:pPr>
              <w:spacing w:after="0"/>
              <w:rPr>
                <w:sz w:val="19"/>
                <w:szCs w:val="19"/>
                <w:color w:val="auto"/>
              </w:rPr>
            </w:pP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common shares outstanding, diluted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12,421</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12,593</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nine-months ended February 2, 2020, 5,853 shares of unvested common stock were not included in the computation of diluted earnings per share as their effect would be antidilutive. During the nine-months ended January 27, 2019, all unvested shares of common stock were included in the computation of diluted earnings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classified into three business segments: mattress fabrics, upholstery fabrics, and home accessories. The mattress fabrics segment manufactures, sources, and sells fabrics and mattress covers primarily to bedding manufacturers. The upholstery fabrics segment develops, manufactures, sources, and sells fabrics primarily to residential and commercial furniture manufacturers. The home accessories segment is our finished products business that manufactures, sources and sells bedding accessories and home goods directly to consumers and businesses through global e-commerce and business-to-business sales channels.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 the operating performance of our segments based upon income (loss) from operations before certain unallocated corporate expenses, restructuring credit and restructuring related charges, impairment charges, and other non-recurring items. Cost of sales for all segments include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 officers, all costs associated with being a public company, and other miscellaneous expenses. Segment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 assets used in the operations of each segment and primarily consist of accounts receivable, inventories, property, plant and equipment, and right of use assets (see note 19 for further details). The mattress fabrics segment also includes in segment assets their assets held for sale and investment in an unconsolidated joint venture. Goodwill and intangible assets are not included in segment assets, as these assets are not used by the Chief Operating Decision Maker to evaluate the respective segment’s operating performance, to allocate resources to the individual segments, or determine 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operating segments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300"/>
              <w:spacing w:after="0" w:line="137" w:lineRule="exact"/>
              <w:rPr>
                <w:sz w:val="20"/>
                <w:szCs w:val="20"/>
                <w:color w:val="auto"/>
              </w:rPr>
            </w:pPr>
            <w:r>
              <w:rPr>
                <w:rFonts w:ascii="Arial" w:cs="Arial" w:eastAsia="Arial" w:hAnsi="Arial"/>
                <w:sz w:val="14"/>
                <w:szCs w:val="14"/>
                <w:color w:val="auto"/>
                <w:w w:val="94"/>
              </w:rPr>
              <w:t>February 2,</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1"/>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Mattress Fabrics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33,105</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Upholstery Fabrics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Home Accessories</w:t>
            </w:r>
          </w:p>
        </w:tc>
        <w:tc>
          <w:tcPr>
            <w:tcW w:w="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71,998</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Mattress Fabrics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Upholstery Fabrics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Accessories</w:t>
            </w:r>
          </w:p>
        </w:tc>
        <w:tc>
          <w:tcPr>
            <w:tcW w:w="6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40"/>
              <w:spacing w:after="0"/>
              <w:rPr>
                <w:sz w:val="20"/>
                <w:szCs w:val="20"/>
                <w:color w:val="auto"/>
              </w:rPr>
            </w:pPr>
            <w:r>
              <w:rPr>
                <w:rFonts w:ascii="Arial" w:cs="Arial" w:eastAsia="Arial" w:hAnsi="Arial"/>
                <w:sz w:val="18"/>
                <w:szCs w:val="18"/>
                <w:color w:val="auto"/>
              </w:rPr>
              <w:t>Total segment gross profit</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related charges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2"/>
                <w:szCs w:val="22"/>
                <w:color w:val="auto"/>
              </w:rPr>
            </w:pPr>
          </w:p>
        </w:tc>
        <w:tc>
          <w:tcPr>
            <w:tcW w:w="6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12,384</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14,123</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Mattress Fabrics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Upholstery Fabrics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Home Accessories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Unallocated corporate expenses</w:t>
            </w:r>
          </w:p>
        </w:tc>
        <w:tc>
          <w:tcPr>
            <w:tcW w:w="6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w w:val="96"/>
              </w:rPr>
              <w:t>Total segment selling, general, and administrative expenses</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non-recurring charges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Restructuring related charges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Mattress Fabrics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Upholstery Fabrics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Accessories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Unallocated corporate expenses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(2,194)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income from operations</w:t>
            </w:r>
          </w:p>
        </w:tc>
        <w:tc>
          <w:tcPr>
            <w:tcW w:w="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Asset impairments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(13,639)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Reversal of contingent consideration - earn-out obligation</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Restructuring credit and restructuring related charges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non-recurring charges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3"/>
        </w:trPr>
        <w:tc>
          <w:tcPr>
            <w:tcW w:w="4620" w:type="dxa"/>
            <w:vAlign w:val="bottom"/>
          </w:tcPr>
          <w:p>
            <w:pPr>
              <w:ind w:left="480"/>
              <w:spacing w:after="0"/>
              <w:rPr>
                <w:sz w:val="20"/>
                <w:szCs w:val="20"/>
                <w:color w:val="auto"/>
              </w:rPr>
            </w:pPr>
            <w:r>
              <w:rPr>
                <w:rFonts w:ascii="Arial" w:cs="Arial" w:eastAsia="Arial" w:hAnsi="Arial"/>
                <w:sz w:val="18"/>
                <w:szCs w:val="18"/>
                <w:color w:val="auto"/>
              </w:rPr>
              <w:t>Total (loss) income from operations</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expense</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4620" w:type="dxa"/>
            <w:vAlign w:val="bottom"/>
          </w:tcPr>
          <w:p>
            <w:pPr>
              <w:ind w:left="480"/>
              <w:spacing w:after="0"/>
              <w:rPr>
                <w:sz w:val="20"/>
                <w:szCs w:val="20"/>
                <w:color w:val="auto"/>
              </w:rPr>
            </w:pPr>
            <w:r>
              <w:rPr>
                <w:rFonts w:ascii="Arial" w:cs="Arial" w:eastAsia="Arial" w:hAnsi="Arial"/>
                <w:sz w:val="18"/>
                <w:szCs w:val="18"/>
                <w:color w:val="auto"/>
              </w:rPr>
              <w:t>(Loss) income before income taxes</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80" w:hanging="472"/>
        <w:spacing w:after="0" w:line="266"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home accessories segment incurred asset impairment charges totaling $13.6 million, of which $11.2 million and $2.4 million pertained to this segment’s goodwill and tradename, respectively.</w:t>
      </w:r>
    </w:p>
    <w:p>
      <w:pPr>
        <w:spacing w:after="0" w:line="1" w:lineRule="exact"/>
        <w:rPr>
          <w:rFonts w:ascii="Arial" w:cs="Arial" w:eastAsia="Arial" w:hAnsi="Arial"/>
          <w:sz w:val="16"/>
          <w:szCs w:val="16"/>
          <w:color w:val="auto"/>
        </w:rPr>
      </w:pPr>
    </w:p>
    <w:p>
      <w:pPr>
        <w:ind w:left="480" w:hanging="472"/>
        <w:spacing w:after="0" w:line="264"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recorded a reversal of $6.1 million that pertained to a contingent earn-out obligation associated with the purchase of our 80% ownership interest in eLuxury, LLC.</w:t>
      </w: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$35 restructuring credit pertains to employee termination benefits associated with our closed Anderson, SC upholstery fabrics facility.</w:t>
      </w:r>
    </w:p>
    <w:p>
      <w:pPr>
        <w:spacing w:after="0" w:line="18" w:lineRule="exact"/>
        <w:rPr>
          <w:rFonts w:ascii="Arial" w:cs="Arial" w:eastAsia="Arial" w:hAnsi="Arial"/>
          <w:sz w:val="16"/>
          <w:szCs w:val="16"/>
          <w:color w:val="auto"/>
        </w:rPr>
      </w:pPr>
    </w:p>
    <w:p>
      <w:pPr>
        <w:ind w:left="480" w:hanging="472"/>
        <w:spacing w:after="0" w:line="288"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of sales for the three-month period ending January 27, 2019, includes a $514 restructuring related charge for operating costs associated with our closed upholstery fabrics facility located in Anderson, SC.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p>
      <w:pPr>
        <w:jc w:val="both"/>
        <w:ind w:left="480" w:hanging="472"/>
        <w:spacing w:after="0" w:line="265"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Selling, general, and administrative expenses for the three-months ending January 27, 2019, includes a $469 non-recurring charge associated with the accelerated vesting of certain stock-based compensation agreements. Of this $469 non-recurring charge, $429 and $40 pertain to unallocated corporate expenses and a restructuring related charge, respectively, associated with our closed Anderson, SC upholstery fabrics plant facility.</w:t>
      </w:r>
    </w:p>
    <w:p>
      <w:pPr>
        <w:spacing w:after="0" w:line="1" w:lineRule="exact"/>
        <w:rPr>
          <w:rFonts w:ascii="Arial" w:cs="Arial" w:eastAsia="Arial" w:hAnsi="Arial"/>
          <w:sz w:val="16"/>
          <w:szCs w:val="16"/>
          <w:color w:val="auto"/>
        </w:rPr>
      </w:pPr>
    </w:p>
    <w:p>
      <w:pPr>
        <w:jc w:val="both"/>
        <w:ind w:left="480" w:hanging="472"/>
        <w:spacing w:after="0" w:line="276"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$340 represents restructuring related charges totaling $554 disclosed in notes 4 and 5 above, partially offset by a restructuring credit of $214. The $214 restructuring credit represents a $362 gain on the sale of the building and land associated with our Anderson, SC upholstery fabrics facility, partially offset by a charge of $148 for employee termination benefits.</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280"/>
              <w:spacing w:after="0" w:line="137" w:lineRule="exact"/>
              <w:rPr>
                <w:sz w:val="20"/>
                <w:szCs w:val="20"/>
                <w:color w:val="auto"/>
              </w:rPr>
            </w:pPr>
            <w:r>
              <w:rPr>
                <w:rFonts w:ascii="Arial" w:cs="Arial" w:eastAsia="Arial" w:hAnsi="Arial"/>
                <w:sz w:val="14"/>
                <w:szCs w:val="14"/>
                <w:color w:val="auto"/>
                <w:w w:val="97"/>
              </w:rPr>
              <w:t>February 2,</w:t>
            </w: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1"/>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Mattress Fabrics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107,250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Upholstery Fabrics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100,730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Home Accessories</w:t>
            </w:r>
          </w:p>
        </w:tc>
        <w:tc>
          <w:tcPr>
            <w:tcW w:w="6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219,465</w:t>
            </w: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225,705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Mattress Fabrics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Upholstery Fabrics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Accessories</w:t>
            </w:r>
          </w:p>
        </w:tc>
        <w:tc>
          <w:tcPr>
            <w:tcW w:w="6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40"/>
              <w:spacing w:after="0"/>
              <w:rPr>
                <w:sz w:val="20"/>
                <w:szCs w:val="20"/>
                <w:color w:val="auto"/>
              </w:rPr>
            </w:pPr>
            <w:r>
              <w:rPr>
                <w:rFonts w:ascii="Arial" w:cs="Arial" w:eastAsia="Arial" w:hAnsi="Arial"/>
                <w:sz w:val="18"/>
                <w:szCs w:val="18"/>
                <w:color w:val="auto"/>
              </w:rPr>
              <w:t>Total segment gross profit</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non-recurring charges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Restructuring related charges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(9)</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Mattress Fabrics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Upholstery Fabrics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Accessories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Unallocated corporate expenses</w:t>
            </w:r>
          </w:p>
        </w:tc>
        <w:tc>
          <w:tcPr>
            <w:tcW w:w="6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w w:val="96"/>
              </w:rPr>
              <w:t>Total segment selling, general, and administrative expenses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Other non-recurring charges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related charges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2"/>
                <w:szCs w:val="22"/>
                <w:color w:val="auto"/>
              </w:rPr>
            </w:pPr>
          </w:p>
        </w:tc>
        <w:tc>
          <w:tcPr>
            <w:tcW w:w="6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30,783</w:t>
            </w: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Mattress Fabrics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Upholstery Fabrics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9,378</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Home Accessories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Unallocated corporate expenses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(6,933)</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segment income from operations</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(13,639)</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Reversal of contingent consideration - earn-out obligation</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credit and restructuring related charges</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(11)</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Other non-recurring charges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income from operations</w:t>
            </w:r>
          </w:p>
        </w:tc>
        <w:tc>
          <w:tcPr>
            <w:tcW w:w="6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$70 restructuring credit pertains to employee termination benefits associated with our closed Anderson, SC upholstery fabrics facility.</w:t>
      </w:r>
    </w:p>
    <w:p>
      <w:pPr>
        <w:spacing w:after="0" w:line="22" w:lineRule="exact"/>
        <w:rPr>
          <w:rFonts w:ascii="Arial" w:cs="Arial" w:eastAsia="Arial" w:hAnsi="Arial"/>
          <w:sz w:val="16"/>
          <w:szCs w:val="16"/>
          <w:color w:val="auto"/>
        </w:rPr>
      </w:pPr>
    </w:p>
    <w:p>
      <w:pPr>
        <w:ind w:left="480" w:hanging="472"/>
        <w:spacing w:after="0" w:line="264"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$159 represents a non-recurring charge regarding employee termination benefits and other operational reorganization costs associated with our mattress fabrics segment.</w:t>
      </w:r>
    </w:p>
    <w:p>
      <w:pPr>
        <w:ind w:left="480" w:hanging="472"/>
        <w:spacing w:after="0" w:line="264"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$2.4 million consists of restructuring related charges of $1.6 million for inventory markdowns and $784 for other operating costs associated with our closed upholstery fabrics facility located in Anderson, SC.</w:t>
      </w:r>
    </w:p>
    <w:p>
      <w:pPr>
        <w:ind w:left="480" w:hanging="472"/>
        <w:spacing w:after="0" w:line="288"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$518 represents non-recurring charges of $429 for the accelerated vesting of a stock-based compensation agreement associated with unallocated corporate expenses and $89 for employee termination benefits and operational reorganization costs associated with our mattress fabrics segment.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p>
      <w:pPr>
        <w:jc w:val="both"/>
        <w:ind w:left="480" w:right="40" w:hanging="472"/>
        <w:spacing w:after="0" w:line="265"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$1.6 million represents related charges disclosed in note 9 above and $40 associated with the accelerated vesting of a stock-based compensation agreement, partially offset by a restructuring credit of $825. The $825 restructuring credit represents a $1.5 million gain on the sale of property, plant, and equipment associated with our Anderson, SC upholstery fabrics facility, partially offset by a charge of $661 for employee termination benefits.</w:t>
      </w:r>
    </w:p>
    <w:p>
      <w:pPr>
        <w:spacing w:after="0" w:line="1" w:lineRule="exact"/>
        <w:rPr>
          <w:rFonts w:ascii="Arial" w:cs="Arial" w:eastAsia="Arial" w:hAnsi="Arial"/>
          <w:sz w:val="16"/>
          <w:szCs w:val="16"/>
          <w:color w:val="auto"/>
        </w:rPr>
      </w:pPr>
    </w:p>
    <w:p>
      <w:pPr>
        <w:ind w:left="480" w:right="20" w:hanging="472"/>
        <w:spacing w:after="0" w:line="288"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$678 represents non-recurring charges of $429 for the accelerated vesting of a stock-based compensation agreement and $249 regarding employee termination benefits and other operational reorganization costs associated with our mattress fabrics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Balance sheet information for the company’s operating segments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1"/>
              <w:spacing w:after="0"/>
              <w:rPr>
                <w:sz w:val="20"/>
                <w:szCs w:val="20"/>
                <w:color w:val="auto"/>
              </w:rPr>
            </w:pPr>
            <w:r>
              <w:rPr>
                <w:rFonts w:ascii="Arial" w:cs="Arial" w:eastAsia="Arial" w:hAnsi="Arial"/>
                <w:sz w:val="14"/>
                <w:szCs w:val="14"/>
                <w:color w:val="auto"/>
                <w:w w:val="97"/>
              </w:rPr>
              <w:t>February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April 28,</w:t>
            </w:r>
          </w:p>
        </w:tc>
        <w:tc>
          <w:tcPr>
            <w:tcW w:w="1140" w:type="dxa"/>
            <w:vAlign w:val="bottom"/>
          </w:tcPr>
          <w:p>
            <w:pPr>
              <w:spacing w:after="0"/>
              <w:rPr>
                <w:sz w:val="14"/>
                <w:szCs w:val="14"/>
                <w:color w:val="auto"/>
              </w:rPr>
            </w:pPr>
          </w:p>
        </w:tc>
      </w:tr>
      <w:tr>
        <w:trPr>
          <w:trHeight w:val="167"/>
        </w:trPr>
        <w:tc>
          <w:tcPr>
            <w:tcW w:w="5080" w:type="dxa"/>
            <w:vAlign w:val="bottom"/>
            <w:gridSpan w:val="2"/>
          </w:tcPr>
          <w:p>
            <w:pPr>
              <w:ind w:left="1140"/>
              <w:spacing w:after="0"/>
              <w:rPr>
                <w:sz w:val="20"/>
                <w:szCs w:val="20"/>
                <w:color w:val="auto"/>
              </w:rPr>
            </w:pPr>
            <w:r>
              <w:rPr>
                <w:rFonts w:ascii="Arial" w:cs="Arial" w:eastAsia="Arial" w:hAnsi="Arial"/>
                <w:sz w:val="14"/>
                <w:szCs w:val="14"/>
                <w:i w:val="1"/>
                <w:iCs w:val="1"/>
                <w:color w:val="auto"/>
              </w:rPr>
              <w:t>(dollars in thousands)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11"/>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Mattress Fabrics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12,373</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24,649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Assets held for sale</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Property, plant and equipment (1)</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44,266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Right of use assets (2)</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Investment in unconsolidated joint venture</w:t>
            </w:r>
          </w:p>
        </w:tc>
        <w:tc>
          <w:tcPr>
            <w:tcW w:w="1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mattress fabrics assets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87,222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82,521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Upholstery Fabrics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Property, plant and equipment (3)</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Right of use assets (4)</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upholstery fabrics assets</w:t>
            </w:r>
          </w:p>
        </w:tc>
        <w:tc>
          <w:tcPr>
            <w:tcW w:w="1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41,391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35,984</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Home Accessories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Property, plant and equipment (5)</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Right of use assets (6)</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home accessories assets</w:t>
            </w:r>
          </w:p>
        </w:tc>
        <w:tc>
          <w:tcPr>
            <w:tcW w:w="1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5,585</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40" w:type="dxa"/>
            <w:vAlign w:val="bottom"/>
          </w:tcPr>
          <w:p>
            <w:pPr>
              <w:ind w:left="740"/>
              <w:spacing w:after="0"/>
              <w:rPr>
                <w:sz w:val="20"/>
                <w:szCs w:val="20"/>
                <w:color w:val="auto"/>
              </w:rPr>
            </w:pPr>
            <w:r>
              <w:rPr>
                <w:rFonts w:ascii="Arial" w:cs="Arial" w:eastAsia="Arial" w:hAnsi="Arial"/>
                <w:sz w:val="18"/>
                <w:szCs w:val="18"/>
                <w:color w:val="auto"/>
              </w:rPr>
              <w:t>Total segment assets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135,213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132,856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124,090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Non-segment assets: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 (Held-to-Maturity)</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Short-term investments (Available for Sale)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income taxes receivable</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Property, plant and equipment (7)</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 of use assets (8)</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27,222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Long-term investments (Rabbi Trust)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investments (Held-to-Maturity)</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Noncurrent income taxes receivable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40" w:type="dxa"/>
            <w:vAlign w:val="bottom"/>
          </w:tcPr>
          <w:p>
            <w:pPr>
              <w:ind w:left="740"/>
              <w:spacing w:after="0"/>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210,340</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224,908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gridSpan w:val="3"/>
          </w:tcPr>
          <w:p>
            <w:pPr>
              <w:jc w:val="right"/>
              <w:ind w:right="707"/>
              <w:spacing w:after="0"/>
              <w:rPr>
                <w:sz w:val="20"/>
                <w:szCs w:val="20"/>
                <w:color w:val="auto"/>
              </w:rPr>
            </w:pPr>
            <w:r>
              <w:rPr>
                <w:rFonts w:ascii="Arial" w:cs="Arial" w:eastAsia="Arial" w:hAnsi="Arial"/>
                <w:sz w:val="18"/>
                <w:szCs w:val="18"/>
                <w:color w:val="auto"/>
              </w:rPr>
              <w:t>I-21</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1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0"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ind w:left="48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5"/>
              <w:spacing w:after="0" w:line="137" w:lineRule="exact"/>
              <w:rPr>
                <w:sz w:val="20"/>
                <w:szCs w:val="20"/>
                <w:color w:val="auto"/>
              </w:rPr>
            </w:pPr>
            <w:r>
              <w:rPr>
                <w:rFonts w:ascii="Arial" w:cs="Arial" w:eastAsia="Arial" w:hAnsi="Arial"/>
                <w:sz w:val="14"/>
                <w:szCs w:val="14"/>
                <w:color w:val="auto"/>
                <w:w w:val="97"/>
              </w:rPr>
              <w:t>February 2,</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3"/>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Mattress Fabrics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2,342</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Upholstery Fabrics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Home Accessories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Unallocated Corporate</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capital expenditures</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Mattress Fabrics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5,265</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Upholstery Fabrics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Home Accessories</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depreciation expense</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w:t>
            </w:r>
          </w:p>
        </w:tc>
        <w:tc>
          <w:tcPr>
            <w:tcW w:w="80" w:type="dxa"/>
            <w:vAlign w:val="bottom"/>
            <w:shd w:val="clear" w:color="auto" w:fill="CFF0FC"/>
          </w:tcPr>
          <w:p>
            <w:pPr>
              <w:spacing w:after="0"/>
              <w:rPr>
                <w:sz w:val="19"/>
                <w:szCs w:val="19"/>
                <w:color w:val="auto"/>
              </w:rPr>
            </w:pPr>
          </w:p>
        </w:tc>
      </w:tr>
    </w:tbl>
    <w:p>
      <w:pPr>
        <w:spacing w:after="0" w:line="233" w:lineRule="exact"/>
        <w:rPr>
          <w:sz w:val="20"/>
          <w:szCs w:val="20"/>
          <w:color w:val="auto"/>
        </w:rPr>
      </w:pPr>
    </w:p>
    <w:p>
      <w:pPr>
        <w:jc w:val="both"/>
        <w:ind w:left="480" w:hanging="472"/>
        <w:spacing w:after="0" w:line="283" w:lineRule="auto"/>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$42.4 million at February 2, 2020, represents property, plant, and equipment of $28.7 million and $13.7 million located in the U.S. and Canada, respectively. The $45.8 million at January 27, 2019, represents property, plant, and equipment of $33.5 million and $12.3 million located in the U.S. and Canada, respectively. The $44.3 million at April 28, 2019, represents property, plant, and equipment of $32.4 million and $11.9 million located in the U.S. and Canada, respectively.</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$426 at February 2, 2020, represents right of use assets located in the U.S.</w:t>
      </w:r>
    </w:p>
    <w:p>
      <w:pPr>
        <w:spacing w:after="0" w:line="18" w:lineRule="exact"/>
        <w:rPr>
          <w:rFonts w:ascii="Arial" w:cs="Arial" w:eastAsia="Arial" w:hAnsi="Arial"/>
          <w:sz w:val="16"/>
          <w:szCs w:val="16"/>
          <w:color w:val="auto"/>
        </w:rPr>
      </w:pPr>
    </w:p>
    <w:p>
      <w:pPr>
        <w:jc w:val="both"/>
        <w:ind w:left="480" w:hanging="472"/>
        <w:spacing w:after="0" w:line="264"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$1.7 million at February 2, 2020, represents property, plant, and equipment of $1.2 million and $469 located in the U.S. and China, respectively. The $2.0 million at January 27, 2019, represents property, plant, and equipment of $1.3 million and $615 located in the U.S. and China, respectively. The $1.8 million at April 28, 2019, represents property, plant, and equipment of $1.2 million and $591 located in the U.S. and China, respectively.</w:t>
      </w:r>
    </w:p>
    <w:p>
      <w:pPr>
        <w:ind w:left="480" w:hanging="472"/>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$2.1 million at February 2, 2020, represents right of use assets of $1.1 million and $1.0 million located in China and the U.S., respectively</w:t>
      </w:r>
    </w:p>
    <w:p>
      <w:pPr>
        <w:spacing w:after="0" w:line="18" w:lineRule="exact"/>
        <w:rPr>
          <w:rFonts w:ascii="Arial" w:cs="Arial" w:eastAsia="Arial" w:hAnsi="Arial"/>
          <w:sz w:val="16"/>
          <w:szCs w:val="16"/>
          <w:color w:val="auto"/>
        </w:rPr>
      </w:pPr>
    </w:p>
    <w:p>
      <w:pPr>
        <w:ind w:left="480" w:right="20" w:hanging="472"/>
        <w:spacing w:after="0" w:line="264"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$1.7 million at February 2, 2020, $2.0 million at January 27, 2019, and $1.9 million at April 28, 2019, represents property, plant and equipment located in the U.S.</w:t>
      </w:r>
    </w:p>
    <w:p>
      <w:pPr>
        <w:ind w:left="480" w:hanging="472"/>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$949 million at February 2, 2020, represents right of use assets located in the U.S.</w:t>
      </w:r>
    </w:p>
    <w:p>
      <w:pPr>
        <w:spacing w:after="0" w:line="18" w:lineRule="exact"/>
        <w:rPr>
          <w:rFonts w:ascii="Arial" w:cs="Arial" w:eastAsia="Arial" w:hAnsi="Arial"/>
          <w:sz w:val="16"/>
          <w:szCs w:val="16"/>
          <w:color w:val="auto"/>
        </w:rPr>
      </w:pPr>
    </w:p>
    <w:p>
      <w:pPr>
        <w:jc w:val="both"/>
        <w:ind w:left="480" w:hanging="472"/>
        <w:spacing w:after="0" w:line="264"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$609, $342, and $418 at February 2, 2020, January 27, 2019, and April 28, 2019, respectively, represent property, plant, and equipment associated with unallocated corporate departments and corporate departments shared by our mattress fabrics, upholstery fabrics, and home accessories segments. Property, plant, and equipment associated with our corporate departments reside in the U.S.</w:t>
      </w:r>
    </w:p>
    <w:p>
      <w:pPr>
        <w:ind w:left="480" w:hanging="472"/>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$2.0 million at February 2, 2020, represents right of use assets located in the U.S.</w:t>
      </w:r>
    </w:p>
    <w:p>
      <w:pPr>
        <w:spacing w:after="0" w:line="18" w:lineRule="exact"/>
        <w:rPr>
          <w:rFonts w:ascii="Arial" w:cs="Arial" w:eastAsia="Arial" w:hAnsi="Arial"/>
          <w:sz w:val="16"/>
          <w:szCs w:val="16"/>
          <w:color w:val="auto"/>
        </w:rPr>
      </w:pPr>
    </w:p>
    <w:p>
      <w:pPr>
        <w:ind w:left="480" w:hanging="472"/>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Capital expenditure amounts are stated on the accrual basis. See Consolidated Statements of Cash Flows for capital expenditure amounts on a cash basis.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Income Tax Rate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income tax expense of $2.6 million, or 142.8% of income before income taxes, for the nine-month period ended February 2, 2020, compared with income tax expense of $3.4 million, or 32.5% of income before income taxes, for the nine-month period ended January 27, 2019. Our effective income tax rates for the nine-month periods ended February 2, 2020, and January 27, 2019, were based upon the estimated effective income tax rate applicable for the full year after giving effect to any significant items related specifically to interim periods. The effective income tax rate can be affected over the fiscal year by the mix and timing of actual earnings from our U.S. operations and foreign subsidiaries located in China and Canada versus annual projections, as well as changes in foreign currency exchange rates in relation to the U.S. dollar.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schedule summarizes the principal differences between income tax expense at the U.S. federal income tax rate and the effective income tax rate reflected in the consolidated financial statements:</w:t>
      </w:r>
    </w:p>
    <w:p>
      <w:pPr>
        <w:spacing w:after="0" w:line="274"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U.S. federal income tax rate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Global Intangible Low Taxed Income Tax (GILTI)</w:t>
            </w:r>
          </w:p>
        </w:tc>
        <w:tc>
          <w:tcPr>
            <w:tcW w:w="1060" w:type="dxa"/>
            <w:vAlign w:val="bottom"/>
          </w:tcPr>
          <w:p>
            <w:pPr>
              <w:jc w:val="right"/>
              <w:spacing w:after="0"/>
              <w:rPr>
                <w:sz w:val="20"/>
                <w:szCs w:val="20"/>
                <w:color w:val="auto"/>
              </w:rPr>
            </w:pPr>
            <w:r>
              <w:rPr>
                <w:rFonts w:ascii="Arial" w:cs="Arial" w:eastAsia="Arial" w:hAnsi="Arial"/>
                <w:sz w:val="18"/>
                <w:szCs w:val="18"/>
                <w:color w:val="auto"/>
              </w:rPr>
              <w:t>58.2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Foreign income tax rate differential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9"/>
                <w:szCs w:val="19"/>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Non-controlling interest income attributable to a consolidated</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partnership</w:t>
            </w: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Tax effects of Chinese foreign exchange gains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Change in estimate of U.S. valuation allowance</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Tax effects of the 2017 Tax Cuts and Jobs Act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2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142.8%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r>
      <w:tr>
        <w:trPr>
          <w:trHeight w:val="20"/>
        </w:trPr>
        <w:tc>
          <w:tcPr>
            <w:tcW w:w="5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our effective income tax rate reflects the significant decline in our projected annual consolidated taxable income, particularly in the U.S., and the mix of our consolidated taxable income that is earned by our foreign operations located in China and Canada that have higher income tax rates in relation to the U.S. This current mix of taxable income has led to a significant increase in our effective income tax rate that is associated with our Global Intangible Low Tax Income (GILTI) tax, which represents a U.S. income tax on foreign earnings. Additionally, our effective income tax rate significantly increased due to the income tax effects of our asset impairments associated with our home accessories segment incurred during the third quarter that were attributable to our non-controlling interest.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Allowance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taking into account the effects of local tax law.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assessments at February 2, 2020, January 27, 2019, and April 28, 2019, valuation allowances against our deferred income taxes pertain to the following jurisdictions: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i w:val="1"/>
                <w:iCs w:val="1"/>
                <w:color w:val="auto"/>
              </w:rPr>
              <w:t>February 2,</w:t>
            </w:r>
          </w:p>
        </w:tc>
        <w:tc>
          <w:tcPr>
            <w:tcW w:w="1260" w:type="dxa"/>
            <w:vAlign w:val="bottom"/>
            <w:gridSpan w:val="2"/>
          </w:tcPr>
          <w:p>
            <w:pPr>
              <w:ind w:left="180"/>
              <w:spacing w:after="0"/>
              <w:rPr>
                <w:sz w:val="20"/>
                <w:szCs w:val="20"/>
                <w:color w:val="auto"/>
              </w:rPr>
            </w:pPr>
            <w:r>
              <w:rPr>
                <w:rFonts w:ascii="Arial" w:cs="Arial" w:eastAsia="Arial" w:hAnsi="Arial"/>
                <w:sz w:val="14"/>
                <w:szCs w:val="14"/>
                <w:i w:val="1"/>
                <w:iCs w:val="1"/>
                <w:color w:val="auto"/>
              </w:rPr>
              <w:t>January 27,</w:t>
            </w:r>
          </w:p>
        </w:tc>
        <w:tc>
          <w:tcPr>
            <w:tcW w:w="1140" w:type="dxa"/>
            <w:vAlign w:val="bottom"/>
            <w:gridSpan w:val="2"/>
          </w:tcPr>
          <w:p>
            <w:pPr>
              <w:ind w:left="260"/>
              <w:spacing w:after="0"/>
              <w:rPr>
                <w:sz w:val="20"/>
                <w:szCs w:val="20"/>
                <w:color w:val="auto"/>
              </w:rPr>
            </w:pPr>
            <w:r>
              <w:rPr>
                <w:rFonts w:ascii="Arial" w:cs="Arial" w:eastAsia="Arial" w:hAnsi="Arial"/>
                <w:sz w:val="14"/>
                <w:szCs w:val="14"/>
                <w:i w:val="1"/>
                <w:iCs w:val="1"/>
                <w:color w:val="auto"/>
              </w:rPr>
              <w:t>April 28,</w:t>
            </w:r>
          </w:p>
        </w:tc>
      </w:tr>
      <w:tr>
        <w:trPr>
          <w:trHeight w:val="167"/>
        </w:trPr>
        <w:tc>
          <w:tcPr>
            <w:tcW w:w="41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i w:val="1"/>
                <w:iCs w:val="1"/>
                <w:color w:val="auto"/>
              </w:rPr>
              <w:t>2020</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i w:val="1"/>
                <w:iCs w:val="1"/>
                <w:color w:val="auto"/>
              </w:rPr>
              <w:t>2019</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i w:val="1"/>
                <w:i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U.S. state loss carryforwards and credits</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U.S. foreign income tax credits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4,550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Undistributed Earnings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Topic 740, we assess whether the undistributed earnings from our foreign subsidiaries will be reinvested indefinitely or eventually distributed to our U.S. parent company. ASC Topic 740 requires that a deferred tax liability should be recorded for undistributed earnings from foreign subsidiaries that will not be reinvested indefinitely. Based on our assessment as of February 2, 2020, it is our intention not to permanently invest our undistributed earnings from our foreign subsidiaries.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of the 2017 Tax Cuts and Jobs Act, a U.S. corporation is allowed a 100% dividend received deduction for earnings and profits received from a 10% owned foreign corporation. Therefore, a deferred tax liability will be required for withholding taxes that are incurred by our foreign subsidiaries at the time earnings and profits are distributed. As a result, at February 2, 2020, January 27, 2019, and April 28, 2019, we recorded a deferred income tax liability of $3.4 million, $3.4 million, and $3.5 million, respectively, for withholding taxes on undistributed earnings and profits from our foreign subsidiaries.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In Income Taxes</w:t>
      </w:r>
    </w:p>
    <w:p>
      <w:pPr>
        <w:spacing w:after="0" w:line="11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accordance with ASC Topic 740, an unrecognized income tax benefit for an uncertain income tax position can be recognized in the first interim period if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benefits will be recorded at that time.</w:t>
      </w:r>
    </w:p>
    <w:p>
      <w:pPr>
        <w:spacing w:after="0" w:line="15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At February 2, 2020, we had a $914,000 total gross unrecognized income tax benefit that was recorded to income taxes payable- long-term in the accompanying Consolidated Balance Sheets. At January 27, 2019, we had a $880,000 total gross unrecognized income tax benefit, of which $500,000 and $380,000 were classified as income taxes payable – long-term and non-current deferred income taxes, respectively, in the accompanying Consolidated Balance Sheets. At April 28, 2019, we had a $903,000 total gross unrecognized income tax benefit, of which $523,000 and $380,000 were classified as income taxes payable – long-term and non-current deferred income taxes respectively, in the accompanying Consolidated Balance Sheets.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February 2, 2020, our $914,000 total gross unrecognized income tax benefit would favorably affect the income tax rate in future periods. At January 27, 2019, our $880,000 total gross unrecognized income tax benefit included $500,000 that, if recognized, would favorably affect the income tax rate in future periods. At April 28, 2019, our $903,000 total gross unrecognized income tax benefit included $523,000 that, if recognized, would favorably affect the income tax rate in future periods.</w:t>
      </w:r>
    </w:p>
    <w:p>
      <w:pPr>
        <w:spacing w:after="0" w:line="18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gross unrecognized income tax benefit of $914,000 relates to income tax positions for which significant change is currently not expected within the next year. This amount primarily relates to double taxation under applicable income tax treaties with foreign tax jurisdictions.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 Description</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September 16, 2015, our shareholders approved an equity incentive plan entitled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February 2, 2020, there were 908,334 shares available for future equity-based grants under our 2015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Executives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grant performance-based restricted stock units to certain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the performance targets that have been achieved will be adjusted based on a market-based total shareholder return component as defined in the related restricted stock unit agreements.</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Compensation cost for share-based awards is measured based on their fair market value on the date of grant. The fair market value per share is determined using the Monte Carlo simulation model for the market-based total shareholder return component and the closing price of our common stock for the performance-based components of awards.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assumptions used to determine the fair market value of the market-based shareholder return component of awards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Monte Carlo simulation model during the fiscal year the grants noted below were awarded: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w w:val="92"/>
              </w:rPr>
              <w:t>Fiscal 2020</w:t>
            </w:r>
          </w:p>
        </w:tc>
        <w:tc>
          <w:tcPr>
            <w:tcW w:w="18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color w:val="auto"/>
              </w:rPr>
              <w:t>Fiscal 2019</w:t>
            </w:r>
          </w:p>
        </w:tc>
        <w:tc>
          <w:tcPr>
            <w:tcW w:w="18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2018</w:t>
            </w:r>
          </w:p>
        </w:tc>
        <w:tc>
          <w:tcPr>
            <w:tcW w:w="114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Closing price of our common stock</w:t>
            </w:r>
          </w:p>
        </w:tc>
        <w:tc>
          <w:tcPr>
            <w:tcW w:w="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Expected volatility of our common stock</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peer companies (1) (2)</w:t>
            </w:r>
          </w:p>
        </w:tc>
        <w:tc>
          <w:tcPr>
            <w:tcW w:w="1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29.9% - 82.3%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w:t>
            </w: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Correlation coefficient of peer companies (1) (2)</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0.00 – 0.43</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74"/>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90"/>
              </w:rPr>
              <w:t>I-24</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1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480" w:hanging="472"/>
        <w:spacing w:after="0" w:line="311"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expected volatility and correlation coefficient of our peer companies for fiscal 2020 were based on peer companies that were approved by the Compensation Committee of our board of directors as an aggregate benchmark for determining the market-based total shareholder return component. Therefore, we disclosed the ranges of the expected volatility and correlation coefficient for the companies that represented this peer group.</w:t>
      </w:r>
    </w:p>
    <w:p>
      <w:pPr>
        <w:spacing w:after="0" w:line="40" w:lineRule="exact"/>
        <w:rPr>
          <w:rFonts w:ascii="Arial" w:cs="Arial" w:eastAsia="Arial" w:hAnsi="Arial"/>
          <w:sz w:val="16"/>
          <w:szCs w:val="16"/>
          <w:color w:val="auto"/>
        </w:rPr>
      </w:pPr>
    </w:p>
    <w:p>
      <w:pPr>
        <w:jc w:val="both"/>
        <w:ind w:left="480" w:hanging="472"/>
        <w:spacing w:after="0" w:line="259"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expected volatility and correlation coefficient of our peer companies for fiscal 2019 and 2018 were based on the Russell 2000 Index which was approved by the Compensation Committee of our board of directors as the benchmark for determining the market-based total shareholder return component. Since the Russell 2000 Index was the only benchmark for determining the market-based total shareholder return component, no ranges were disclosed for these assumptions.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 and a Non-Employee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grant performance-based restricted stock units which could earn up to a certain number of shares of common stock if certain performance targets are met over a three-fiscal year performance period as defined in the related restricted stock unit agreements.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performance-based restricted stock units granted to a non-employee, which vested during the first quarter of fiscal 2020, were measured based on the fair market value (the closing price of our common stock) on the date when the performance criteria was met.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information related to our grants of performance-based restricted stock units associated with certain senior executives and key employees that are currently unvested:</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(3) Restricted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Stock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Price Per</w:t>
            </w:r>
          </w:p>
        </w:tc>
        <w:tc>
          <w:tcPr>
            <w:tcW w:w="4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9"/>
              </w:rPr>
              <w:t>Vesting</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Awarded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color w:val="auto"/>
              </w:rPr>
              <w:t>Share</w:t>
            </w:r>
          </w:p>
        </w:tc>
        <w:tc>
          <w:tcPr>
            <w:tcW w:w="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Period</w:t>
            </w:r>
          </w:p>
        </w:tc>
      </w:tr>
      <w:tr>
        <w:trPr>
          <w:trHeight w:val="223"/>
        </w:trPr>
        <w:tc>
          <w:tcPr>
            <w:tcW w:w="5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18, 2019 (1)</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93,653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4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r>
      <w:tr>
        <w:trPr>
          <w:trHeight w:val="229"/>
        </w:trPr>
        <w:tc>
          <w:tcPr>
            <w:tcW w:w="5180" w:type="dxa"/>
            <w:vAlign w:val="bottom"/>
            <w:gridSpan w:val="2"/>
          </w:tcPr>
          <w:p>
            <w:pPr>
              <w:spacing w:after="0"/>
              <w:rPr>
                <w:sz w:val="20"/>
                <w:szCs w:val="20"/>
                <w:color w:val="auto"/>
              </w:rPr>
            </w:pPr>
            <w:r>
              <w:rPr>
                <w:rFonts w:ascii="Arial" w:cs="Arial" w:eastAsia="Arial" w:hAnsi="Arial"/>
                <w:sz w:val="18"/>
                <w:szCs w:val="18"/>
                <w:color w:val="auto"/>
              </w:rPr>
              <w:t>July 18, 2019 (2)</w:t>
            </w:r>
          </w:p>
        </w:tc>
        <w:tc>
          <w:tcPr>
            <w:tcW w:w="1000" w:type="dxa"/>
            <w:vAlign w:val="bottom"/>
          </w:tcPr>
          <w:p>
            <w:pPr>
              <w:jc w:val="right"/>
              <w:spacing w:after="0"/>
              <w:rPr>
                <w:sz w:val="20"/>
                <w:szCs w:val="20"/>
                <w:color w:val="auto"/>
              </w:rPr>
            </w:pPr>
            <w:r>
              <w:rPr>
                <w:rFonts w:ascii="Arial" w:cs="Arial" w:eastAsia="Arial" w:hAnsi="Arial"/>
                <w:sz w:val="18"/>
                <w:szCs w:val="18"/>
                <w:color w:val="auto"/>
              </w:rPr>
              <w:t>30,426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2, 2018 (1)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86,599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August 2, 2018 (2)</w:t>
            </w:r>
          </w:p>
        </w:tc>
        <w:tc>
          <w:tcPr>
            <w:tcW w:w="1000" w:type="dxa"/>
            <w:vAlign w:val="bottom"/>
          </w:tcPr>
          <w:p>
            <w:pPr>
              <w:jc w:val="right"/>
              <w:spacing w:after="0"/>
              <w:rPr>
                <w:sz w:val="20"/>
                <w:szCs w:val="20"/>
                <w:color w:val="auto"/>
              </w:rPr>
            </w:pPr>
            <w:r>
              <w:rPr>
                <w:rFonts w:ascii="Arial" w:cs="Arial" w:eastAsia="Arial" w:hAnsi="Arial"/>
                <w:sz w:val="18"/>
                <w:szCs w:val="18"/>
                <w:color w:val="auto"/>
              </w:rPr>
              <w:t>47,800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July 13, 2017 (1)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78,195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July 13, 2017 (2)</w:t>
            </w:r>
          </w:p>
        </w:tc>
        <w:tc>
          <w:tcPr>
            <w:tcW w:w="1000" w:type="dxa"/>
            <w:vAlign w:val="bottom"/>
          </w:tcPr>
          <w:p>
            <w:pPr>
              <w:jc w:val="right"/>
              <w:spacing w:after="0"/>
              <w:rPr>
                <w:sz w:val="20"/>
                <w:szCs w:val="20"/>
                <w:color w:val="auto"/>
              </w:rPr>
            </w:pPr>
            <w:r>
              <w:rPr>
                <w:rFonts w:ascii="Arial" w:cs="Arial" w:eastAsia="Arial" w:hAnsi="Arial"/>
                <w:sz w:val="18"/>
                <w:szCs w:val="18"/>
                <w:color w:val="auto"/>
              </w:rPr>
              <w:t>44,000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32.50</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 years</w:t>
            </w:r>
          </w:p>
        </w:tc>
      </w:tr>
    </w:tbl>
    <w:p>
      <w:pPr>
        <w:spacing w:after="0" w:line="22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w:t>
      </w:r>
      <w:r>
        <w:rPr>
          <w:sz w:val="20"/>
          <w:szCs w:val="20"/>
          <w:color w:val="auto"/>
        </w:rPr>
        <w:tab/>
      </w:r>
      <w:r>
        <w:rPr>
          <w:rFonts w:ascii="Arial" w:cs="Arial" w:eastAsia="Arial" w:hAnsi="Arial"/>
          <w:sz w:val="16"/>
          <w:szCs w:val="16"/>
          <w:color w:val="auto"/>
        </w:rPr>
        <w:t>Performance-based restricted stock units awarded to certain senior executives.</w:t>
      </w:r>
    </w:p>
    <w:p>
      <w:pPr>
        <w:spacing w:after="0" w:line="129"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Performance-based restricted stock units awarded to key employees.</w:t>
      </w:r>
    </w:p>
    <w:p>
      <w:pPr>
        <w:spacing w:after="0" w:line="117" w:lineRule="exact"/>
        <w:rPr>
          <w:rFonts w:ascii="Arial" w:cs="Arial" w:eastAsia="Arial" w:hAnsi="Arial"/>
          <w:sz w:val="18"/>
          <w:szCs w:val="18"/>
          <w:color w:val="auto"/>
        </w:rPr>
      </w:pPr>
    </w:p>
    <w:p>
      <w:pPr>
        <w:ind w:left="480" w:right="500" w:hanging="472"/>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represent the maximum number of common stock shares that could be earned if certain performance targets are met as defined in the related restricted stock unit agreements.</w:t>
      </w:r>
    </w:p>
    <w:p>
      <w:pPr>
        <w:spacing w:after="0" w:line="62" w:lineRule="exact"/>
        <w:rPr>
          <w:rFonts w:ascii="Arial" w:cs="Arial" w:eastAsia="Arial" w:hAnsi="Arial"/>
          <w:sz w:val="18"/>
          <w:szCs w:val="18"/>
          <w:color w:val="auto"/>
        </w:rPr>
      </w:pPr>
    </w:p>
    <w:p>
      <w:pPr>
        <w:jc w:val="both"/>
        <w:ind w:left="480" w:right="160" w:hanging="472"/>
        <w:spacing w:after="0" w:line="259"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($1.03 per $1 or an increase of $0.55 to the closing price of the common stock on the date of grant) determined using the Monte Carlo simulation model for the market-based total shareholder return component and the closing price of our common stock ($18.49) for the performance-based components of the performance-based restricted stock units granted to certain senior executives on July 18, 2019.</w:t>
      </w:r>
    </w:p>
    <w:p>
      <w:pPr>
        <w:spacing w:after="0" w:line="78" w:lineRule="exact"/>
        <w:rPr>
          <w:rFonts w:ascii="Arial" w:cs="Arial" w:eastAsia="Arial" w:hAnsi="Arial"/>
          <w:sz w:val="18"/>
          <w:szCs w:val="18"/>
          <w:color w:val="auto"/>
        </w:rPr>
      </w:pPr>
    </w:p>
    <w:p>
      <w:pPr>
        <w:jc w:val="both"/>
        <w:ind w:left="480" w:right="160" w:hanging="472"/>
        <w:spacing w:after="0" w:line="259"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($0.76 per $1 or a reduction of $5.84 to the closing price of the common stock on the date of grant) determined using the Monte Carlo simulation model for the market-based total shareholder return component and the closing price of our common stock ($24.35) for the performance-based components of the performance-based restricted stock units granted to certain senior executives on August 2, 2018.</w:t>
      </w:r>
    </w:p>
    <w:p>
      <w:pPr>
        <w:spacing w:after="0" w:line="78" w:lineRule="exact"/>
        <w:rPr>
          <w:rFonts w:ascii="Arial" w:cs="Arial" w:eastAsia="Arial" w:hAnsi="Arial"/>
          <w:sz w:val="18"/>
          <w:szCs w:val="18"/>
          <w:color w:val="auto"/>
        </w:rPr>
      </w:pPr>
    </w:p>
    <w:p>
      <w:pPr>
        <w:jc w:val="both"/>
        <w:ind w:left="480" w:right="160" w:hanging="472"/>
        <w:spacing w:after="0" w:line="259"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($0.98 per $1 or a reduction of $0.65 to the closing price of the common stock on the date of grant) determined using the Monte Carlo simulation model for the market-based total shareholder return component and the closing price of our common stock ($32.50) for the performance-based components of the performance-based restricted stock units granted to certain senior executives on July 13, 2017.</w:t>
      </w:r>
    </w:p>
    <w:p>
      <w:pPr>
        <w:spacing w:after="0" w:line="78" w:lineRule="exact"/>
        <w:rPr>
          <w:rFonts w:ascii="Arial" w:cs="Arial" w:eastAsia="Arial" w:hAnsi="Arial"/>
          <w:sz w:val="18"/>
          <w:szCs w:val="18"/>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per share represents the closing price of our common stock on the date of grant.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related to our performance-based restricted stock units that vested during the nine-month period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 2020 and the entire fiscal year ending April 28, 2019:</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color w:val="auto"/>
                <w:w w:val="94"/>
              </w:rPr>
              <w:t>Weighted</w:t>
            </w:r>
          </w:p>
        </w:tc>
        <w:tc>
          <w:tcPr>
            <w:tcW w:w="320" w:type="dxa"/>
            <w:vAlign w:val="bottom"/>
          </w:tcPr>
          <w:p>
            <w:pPr>
              <w:spacing w:after="0"/>
              <w:rPr>
                <w:sz w:val="14"/>
                <w:szCs w:val="14"/>
                <w:color w:val="auto"/>
              </w:rPr>
            </w:pPr>
          </w:p>
        </w:tc>
      </w:t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Restricted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91"/>
              </w:rPr>
              <w:t>Average</w:t>
            </w:r>
          </w:p>
        </w:tc>
        <w:tc>
          <w:tcPr>
            <w:tcW w:w="320" w:type="dxa"/>
            <w:vAlign w:val="bottom"/>
          </w:tcPr>
          <w:p>
            <w:pPr>
              <w:spacing w:after="0"/>
              <w:rPr>
                <w:sz w:val="12"/>
                <w:szCs w:val="12"/>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Stock 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87"/>
              </w:rPr>
              <w:t>Price</w:t>
            </w:r>
          </w:p>
        </w:tc>
        <w:tc>
          <w:tcPr>
            <w:tcW w:w="320" w:type="dxa"/>
            <w:vAlign w:val="bottom"/>
          </w:tcPr>
          <w:p>
            <w:pPr>
              <w:spacing w:after="0"/>
              <w:rPr>
                <w:sz w:val="12"/>
                <w:szCs w:val="12"/>
                <w:color w:val="auto"/>
              </w:rPr>
            </w:pPr>
          </w:p>
        </w:tc>
      </w:tr>
      <w:tr>
        <w:trPr>
          <w:trHeight w:val="167"/>
        </w:trPr>
        <w:tc>
          <w:tcPr>
            <w:tcW w:w="484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Vested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Arial" w:cs="Arial" w:eastAsia="Arial" w:hAnsi="Arial"/>
                <w:sz w:val="14"/>
                <w:szCs w:val="14"/>
                <w:color w:val="auto"/>
                <w:w w:val="96"/>
              </w:rPr>
              <w:t>(3) Fair Value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color w:val="auto"/>
                <w:w w:val="88"/>
              </w:rPr>
              <w:t>Per Share</w:t>
            </w:r>
          </w:p>
        </w:tc>
        <w:tc>
          <w:tcPr>
            <w:tcW w:w="320" w:type="dxa"/>
            <w:vAlign w:val="bottom"/>
          </w:tcPr>
          <w:p>
            <w:pPr>
              <w:spacing w:after="0"/>
              <w:rPr>
                <w:sz w:val="14"/>
                <w:szCs w:val="14"/>
                <w:color w:val="auto"/>
              </w:rPr>
            </w:pPr>
          </w:p>
        </w:tc>
      </w:tr>
      <w:tr>
        <w:trPr>
          <w:trHeight w:val="223"/>
        </w:trPr>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Fiscal 2020 (1)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Fiscal 2020 (2)</w:t>
            </w:r>
          </w:p>
        </w:tc>
        <w:tc>
          <w:tcPr>
            <w:tcW w:w="1120" w:type="dxa"/>
            <w:vAlign w:val="bottom"/>
          </w:tcPr>
          <w:p>
            <w:pPr>
              <w:jc w:val="right"/>
              <w:spacing w:after="0"/>
              <w:rPr>
                <w:sz w:val="20"/>
                <w:szCs w:val="20"/>
                <w:color w:val="auto"/>
              </w:rPr>
            </w:pPr>
            <w:r>
              <w:rPr>
                <w:rFonts w:ascii="Arial" w:cs="Arial" w:eastAsia="Arial" w:hAnsi="Arial"/>
                <w:sz w:val="18"/>
                <w:szCs w:val="18"/>
                <w:color w:val="auto"/>
              </w:rPr>
              <w:t>4,148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17.36</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2019 (1)</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128,632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3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Fiscal 2019 (2)</w:t>
            </w:r>
          </w:p>
        </w:tc>
        <w:tc>
          <w:tcPr>
            <w:tcW w:w="1120" w:type="dxa"/>
            <w:vAlign w:val="bottom"/>
          </w:tcPr>
          <w:p>
            <w:pPr>
              <w:jc w:val="right"/>
              <w:spacing w:after="0"/>
              <w:rPr>
                <w:sz w:val="20"/>
                <w:szCs w:val="20"/>
                <w:color w:val="auto"/>
              </w:rPr>
            </w:pPr>
            <w:r>
              <w:rPr>
                <w:rFonts w:ascii="Arial" w:cs="Arial" w:eastAsia="Arial" w:hAnsi="Arial"/>
                <w:sz w:val="18"/>
                <w:szCs w:val="18"/>
                <w:color w:val="auto"/>
              </w:rPr>
              <w:t>10,364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30.90</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28"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senior executives and key employees.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Non-employee</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Dollar amounts are in thousands.</w:t>
      </w:r>
    </w:p>
    <w:p>
      <w:pPr>
        <w:spacing w:after="0" w:line="117" w:lineRule="exact"/>
        <w:rPr>
          <w:rFonts w:ascii="Arial" w:cs="Arial" w:eastAsia="Arial" w:hAnsi="Arial"/>
          <w:sz w:val="18"/>
          <w:szCs w:val="18"/>
          <w:color w:val="auto"/>
        </w:rPr>
      </w:pPr>
    </w:p>
    <w:p>
      <w:pPr>
        <w:ind w:left="480" w:right="660" w:hanging="472"/>
        <w:spacing w:after="0" w:line="277"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price per share is derived from the closing prices of our common stock on the dates the respective performance-based restricted stock units vested.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Overall</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compensation expense of $467,000 and $259,000 within selling, general, and administrative expenses for the nine-month periods ending February 2, 2020, and January 27, 2019, respectively. Compensation cost is recorded based on an assessment each reporting period of the probability that certain performance goals will be met during the vesting period of outstanding awards. If performance goals are not probable of occurrence, compensation cost will not be recorded and any previously recognized compensation cost would be reversed.</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February 2, 2020, the remaining unrecognized compensation cost related to our performance-based restricted stock units was $680,000, which is expected to be recognized over a weighted average vesting period of 1.9 years. At February 2, 2020, the performance-based restricted stock units that were expected to vest had a fair value totaling $757,000.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Restricted Stock Units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information related to our grants of time-based restricted stock units associated with senior executives and key members of management that are currently unvested:</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Time Based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Stock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179"/>
              <w:spacing w:after="0" w:line="149" w:lineRule="exact"/>
              <w:rPr>
                <w:sz w:val="20"/>
                <w:szCs w:val="20"/>
                <w:color w:val="auto"/>
              </w:rPr>
            </w:pPr>
            <w:r>
              <w:rPr>
                <w:rFonts w:ascii="Arial" w:cs="Arial" w:eastAsia="Arial" w:hAnsi="Arial"/>
                <w:sz w:val="14"/>
                <w:szCs w:val="14"/>
                <w:color w:val="auto"/>
              </w:rPr>
              <w:t>Price Per</w:t>
            </w:r>
          </w:p>
        </w:tc>
        <w:tc>
          <w:tcPr>
            <w:tcW w:w="4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9"/>
              </w:rPr>
              <w:t>Vesting</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Awarded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9"/>
              <w:spacing w:after="0"/>
              <w:rPr>
                <w:sz w:val="20"/>
                <w:szCs w:val="20"/>
                <w:color w:val="auto"/>
              </w:rPr>
            </w:pPr>
            <w:r>
              <w:rPr>
                <w:rFonts w:ascii="Arial" w:cs="Arial" w:eastAsia="Arial" w:hAnsi="Arial"/>
                <w:sz w:val="14"/>
                <w:szCs w:val="14"/>
                <w:color w:val="auto"/>
              </w:rPr>
              <w:t>Share</w:t>
            </w:r>
          </w:p>
        </w:tc>
        <w:tc>
          <w:tcPr>
            <w:tcW w:w="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Period</w:t>
            </w:r>
          </w:p>
        </w:tc>
      </w:tr>
      <w:tr>
        <w:trPr>
          <w:trHeight w:val="223"/>
        </w:trPr>
        <w:tc>
          <w:tcPr>
            <w:tcW w:w="5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18, 2019</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4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August 2, 2018</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228"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per share represents closing price of common stock on the date the respective award was granted</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information related to our time-based restricted stock units that vested during the nine-month period ending February 2, 2020 and the entire fiscal year ending April 28, 2019:</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Weighted</w:t>
            </w:r>
          </w:p>
        </w:tc>
      </w:tr>
      <w:tr>
        <w:trPr>
          <w:trHeight w:val="14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Restricted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3"/>
              </w:rPr>
              <w:t>Price</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Units Vested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(1) Fair 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color w:val="auto"/>
                <w:w w:val="88"/>
              </w:rPr>
              <w:t>Per Share</w:t>
            </w:r>
          </w:p>
        </w:tc>
      </w:tr>
      <w:tr>
        <w:trPr>
          <w:trHeight w:val="223"/>
        </w:trPr>
        <w:tc>
          <w:tcPr>
            <w:tcW w:w="5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Fiscal 2020</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89"/>
              </w:rPr>
              <w:t>21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17.36 (2)</w:t>
            </w:r>
          </w:p>
        </w:tc>
      </w:tr>
    </w:tbl>
    <w:p>
      <w:pPr>
        <w:spacing w:after="0" w:line="228"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Dollar amounts are in thousands.</w:t>
      </w:r>
    </w:p>
    <w:p>
      <w:pPr>
        <w:spacing w:after="0" w:line="117" w:lineRule="exact"/>
        <w:rPr>
          <w:rFonts w:ascii="Arial" w:cs="Arial" w:eastAsia="Arial" w:hAnsi="Arial"/>
          <w:sz w:val="18"/>
          <w:szCs w:val="18"/>
          <w:color w:val="auto"/>
        </w:rPr>
      </w:pPr>
    </w:p>
    <w:p>
      <w:pPr>
        <w:ind w:left="480" w:right="100" w:hanging="472"/>
        <w:spacing w:after="0" w:line="277"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weighted average price per share is derived from the closing prices of our common stock on the dates the respective time-based restricted stock units vested.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recorded compensation expense of $154,000 and $30,000 within selling, general, and administrative expense associated with our time-based restricted stock unit awards for the nine-month periods ending February 2, 2020, and January 27, 2019, respectively.</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At February 2, 2020, the remaining unrecognized compensation cost related to our time-based restricted stock units was $688,000, which is expected to be recognized over a weighted average vesting period of 2.6 years. At February 2, 2020, the time-based restricted stock awards that were expected to vest had a fair value totaling $561,000.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2020</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granted a total of 4,972, 4,519, and 3,659 shares of common stock to our outside directors on January 2, 2020, October 1, 2019, and July 1, 2019, respectively. These shares of common stock vested immediately and were measured at their fair value on the date of grant. The fair value of these awards was $14.08, $15.49, and $19.21 per share on January 2, 2020, October 1, 2019, and July 1, 2019, respectively, which represents the closing price of our common stock on the date of grant.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2019</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granted a total of 2,948 and 3,600 shares of common stock to our outside directors on April 1, 2019 and October 1, 2018, respectively. These shares of common stock vested immediately and were measured at their fair value on the date of grant. The fair value of these awards was $19.18 and $23.45 per share on April 1, 2019 and October 1, 2018, respectively, which represents the closing price of our common stock on the date of grant.</w:t>
      </w:r>
    </w:p>
    <w:p>
      <w:pPr>
        <w:spacing w:after="0" w:line="1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recorded $210,000 and $84,000 of compensation expense within selling, general, and administrative expense for our common stock awards for the nine-months ending February 2, 2020 and January 27,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recognize a right of use asset and lease liability on the commencement date of a lease arrangement based on the present value of lease payments over the lease term.</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leases have remaining lease terms of 1 to 6 years, with renewal options for additional periods ranging up to 10 years. A lease term may include renewal options if it is reasonably certain that the option to renew a lease period will be exercised. A renewal option is considered reasonably certain to be exercised if there is a significant economic incentive, as defined in Topic 842, to exercise the renewal option on the date a lease arrangement is commenced. Currently, renewal options are not included in the lease terms for any of our leases, as there is not a significant economic incentive for us to exercise any of our renewal options.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contracts, an estimated incremental borrowing rate (“IBR”) is utilized, based on information available at the inception of the lease. The IBR represents an estimate of the interest rate we would incur at the lease commencement to borrow an amount equal to the lease payments on a collateralized basis over the term of the 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right of use asset and lease liabilities associated with our operating leases as of February 2, 2020, and April 29, 2019, are as follows:</w:t>
      </w:r>
    </w:p>
    <w:p>
      <w:pPr>
        <w:spacing w:after="0" w:line="24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57"/>
              <w:spacing w:after="0"/>
              <w:rPr>
                <w:sz w:val="20"/>
                <w:szCs w:val="20"/>
                <w:color w:val="auto"/>
              </w:rPr>
            </w:pPr>
            <w:r>
              <w:rPr>
                <w:rFonts w:ascii="Arial" w:cs="Arial" w:eastAsia="Arial" w:hAnsi="Arial"/>
                <w:sz w:val="14"/>
                <w:szCs w:val="14"/>
                <w:color w:val="auto"/>
                <w:w w:val="97"/>
              </w:rPr>
              <w:t>February 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(1) April 29,</w:t>
            </w:r>
          </w:p>
        </w:tc>
      </w:t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Operating lease liability - current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2,629</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 noncurrent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80" w:type="dxa"/>
            <w:vAlign w:val="bottom"/>
            <w:shd w:val="clear" w:color="auto" w:fill="CFF0FC"/>
          </w:tcPr>
          <w:p>
            <w:pPr>
              <w:spacing w:after="0"/>
              <w:rPr>
                <w:sz w:val="19"/>
                <w:szCs w:val="19"/>
                <w:color w:val="auto"/>
              </w:rPr>
            </w:pPr>
          </w:p>
        </w:tc>
      </w:tr>
    </w:tbl>
    <w:p>
      <w:pPr>
        <w:spacing w:after="0" w:line="233"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adoption date of Topic 842.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Cash Flow Information</w:t>
      </w:r>
    </w:p>
    <w:p>
      <w:pPr>
        <w:spacing w:after="0" w:line="24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62"/>
              <w:spacing w:after="0"/>
              <w:rPr>
                <w:sz w:val="20"/>
                <w:szCs w:val="20"/>
                <w:color w:val="auto"/>
              </w:rPr>
            </w:pPr>
            <w:r>
              <w:rPr>
                <w:rFonts w:ascii="Arial" w:cs="Arial" w:eastAsia="Arial" w:hAnsi="Arial"/>
                <w:sz w:val="14"/>
                <w:szCs w:val="14"/>
                <w:color w:val="auto"/>
                <w:w w:val="94"/>
              </w:rPr>
              <w:t>Three Months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Nine Months</w:t>
            </w: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8"/>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Ended</w:t>
            </w: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92"/>
              </w:rPr>
              <w:t>February 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February 2,</w:t>
            </w:r>
          </w:p>
        </w:tc>
      </w:t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w w:val="89"/>
              </w:rPr>
              <w:t>2020</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6"/>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payments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Right of use assets exchanged for lease 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20"/>
                <w:szCs w:val="20"/>
                <w:color w:val="auto"/>
              </w:rPr>
            </w:pP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expense for the three-month and nine-month periods ending February 2, 2020, was $726,000 and $2.2 million, respectively. Short-term lease and variable lease expenses were immaterial for the three-month and nine-month periods ending February 2,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of our operating lease liabilities for the remainder of fiscal 2020, the next subsequent four fiscal years, and thereafter follows:</w:t>
      </w:r>
    </w:p>
    <w:p>
      <w:pPr>
        <w:spacing w:after="0" w:line="261"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(dollars in thousands)</w:t>
      </w:r>
    </w:p>
    <w:p>
      <w:pPr>
        <w:spacing w:after="0" w:line="6"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20" w:type="dxa"/>
            <w:vAlign w:val="bottom"/>
            <w:tcBorders>
              <w:top w:val="single" w:sz="8" w:color="auto"/>
            </w:tcBorders>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80" w:type="dxa"/>
            <w:vAlign w:val="bottom"/>
            <w:tcBorders>
              <w:top w:val="single" w:sz="8" w:color="auto"/>
            </w:tcBorders>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2,161</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2023</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FF0FC"/>
            </w:tcBorders>
          </w:tcPr>
          <w:p>
            <w:pPr>
              <w:spacing w:after="0"/>
              <w:rPr>
                <w:sz w:val="19"/>
                <w:szCs w:val="19"/>
                <w:color w:val="auto"/>
              </w:rPr>
            </w:pPr>
          </w:p>
        </w:tc>
      </w:tr>
      <w:tr>
        <w:trPr>
          <w:trHeight w:val="223"/>
        </w:trPr>
        <w:tc>
          <w:tcPr>
            <w:tcW w:w="38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Less: interest</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2020, the weighted average remaining lease term and discount rate for our operating leases follows:</w:t>
      </w:r>
    </w:p>
    <w:p>
      <w:pPr>
        <w:spacing w:after="0" w:line="266"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lease term</w:t>
            </w:r>
          </w:p>
        </w:tc>
        <w:tc>
          <w:tcPr>
            <w:tcW w:w="26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3.4 years</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660" w:type="dxa"/>
            <w:vAlign w:val="bottom"/>
          </w:tcPr>
          <w:p>
            <w:pPr>
              <w:jc w:val="right"/>
              <w:spacing w:after="0"/>
              <w:rPr>
                <w:sz w:val="20"/>
                <w:szCs w:val="20"/>
                <w:color w:val="auto"/>
              </w:rPr>
            </w:pPr>
            <w:r>
              <w:rPr>
                <w:rFonts w:ascii="Arial" w:cs="Arial" w:eastAsia="Arial" w:hAnsi="Arial"/>
                <w:sz w:val="18"/>
                <w:szCs w:val="18"/>
                <w:color w:val="auto"/>
              </w:rPr>
              <w:t>3.76%</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 Capital Expenditures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February 2, 2020, January 27, 2019, and April 28, 2019, we had total amounts due regarding capital expenditures totaling $177,000, $91,000, and $78,000, respectively, which pertained to outstanding vendor invoices, none of which were financed. These total outstanding amounts were required to be paid based on normal credit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Purchase Commitments –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February 2, 2020, we had open purchase commitments to acquire equipment for our mattress fabrics segment totaling $2.3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Statutory Reserves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subsidiaries located in China are required to transfer 10% of their net income, as determined in accordance with the People’s Republic of China (PRC) accounting rules and regulations, to a statutory surplus reserve fund until such reserve balance reaches 50% of the company’s registered capital.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transfer to this reserve must be made before distributions of any dividend to shareholders. As of February 2, 2020, the company’s statutory surplus reserve was $4.2 million, representing 10% of accumulated earnings and profits determined in accordance with PRC accounting rules and regulations. The surplus reserve fund is non-distributable other than during liquidation and can be used to fund previous years’ losses, if any, and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located in China can transfer funds to the parent company except for the statutory surplus reserve of $4.2 million to assist with debt repayment, capital expenditures, and other expenses of the company’s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Common Stock Repurchase Program</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5, 2019, we announced that our board of directors approved an authorization for us to acquire up to $5.0 million of our common stock. During the nine-month period ending February 2, 2020, we purchased 55,750 shares of our common stock at a cost of $728,000 pursuant to this authorization, all of which was purchased during the third quarter. As a result, at February 2, 2020, we have $4.3 million available for future repurchases of our common stock associated with the $5.0 million repurchase program approved by our board of directors on September 5,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 March 4, 2020, we announced that our board of directors approved an authorization to acquire up to $5.0 million of our common stock.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common stock repurchase program, shares may be purchased from time to time in open market transactions, block trades, through plans established under the Securities Exchange Act Rule 10b5-1, or otherwise. The number of shares that can be purchased and the timing of such purchases will be based on working capital requirements, market and general business conditions, and other factors, including alternative investment opportunities.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nine-month period ended January 27, 2019, we purchased 160,423 shares of common stock at a cost of $3.3 million. The 160,423 shares were purchased pursuant to a prior authorization approved by our board of directors on June 15,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Dividend Program</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4, 2020, we announced that our board of directors approved a quarterly cash dividend of $0.105 per share that will be paid on April 15, 2020, to shareholders of record as of April 7,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nine-months ended February 2, 2020, dividend payments totaled $3.8 million, which represented quarterly dividend payments ranging from</w:t>
      </w:r>
    </w:p>
    <w:p>
      <w:pPr>
        <w:spacing w:after="0" w:line="4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$0.10 per share to $0.105 per share. During the nine-months ended January 27, 2019, dividend payments totaled $3.5 million, which represented quarterly dividend payments ranging from $0.09 per share to $0.10 per share.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Future dividend payments are subject to board approval and may be adjusted at the board’s discretion as business needs or market conditions change.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INFORMATION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the company will realize these expectations, meet its guidance, or that these beliefs will prove correct.</w:t>
      </w:r>
    </w:p>
    <w:p>
      <w:pPr>
        <w:spacing w:after="0" w:line="16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the strengthening of currencies in Canada and China can have a negative impact on our sales of products produced in those places. Also, economic and political instability in international areas could affect our operations or sources of goods in those areas, as well as demand for our products in international markets. The impact of public health epidemics on employees, suppliers, and the global economy, such as the coronavirus outbreak currently affecting China and beyond, could also adversely affect our operations and financial performance. In addition, the impact of potential goodwill or intangible asset impairments could affect our financial results, including without limitation possible additional future write-downs with respect to our home accessories segment in accordance with our policy, as described herein. Finally, increases in market prices for petrochemical products can significantly affect the prices we pay for raw materials, and in turn, increase our operating costs and decrease our profitability. Further information about these factors, as well as other factors that could affect our future operations or financial results and the matters discussed in forward-looking statements, are included in Item 1A “Risk Factors” section in our Form 10-K filed with the Securities and Exchange Commission on July 12, 2019, for the fiscal year ended April 28, 2019, and our subsequent periodic reports filed with the Securities and Exchange Commission.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7"/>
          <w:szCs w:val="17"/>
          <w:u w:val="single" w:color="auto"/>
          <w:color w:val="auto"/>
        </w:rPr>
        <w:t>MANAGEMENT’S DISCUSSION AND ANALYSIS OF FINANCIAL CONDITION AND RESULTS OF OPERATIONS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analysis of financial condition and results of operations should be read in conjunction with the Financial Statements and Notes and other exhibits included elsewhere in this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fiscal year is the 52 or 53-week period ending on the Sunday closest to April 30. The nine months ended February 2, 2020, and January 27, 2019, represent 40-week and 39-week periods, respectively. Our operations are classified into three business segments: mattress fabrics, upholstery fabrics, and home accessories. The mattress fabrics segment manufactures, sources, and sells fabrics and mattress covers primarily to bedding manufacturers. We have wholly owned mattress fabric operations located in Stokesdale, NC, High Point, NC, and Quebec, Canada, as well as a fifty-percent owned cut and sew mattress cover operation located in Haiti. The upholstery fabrics segment develops, sources, manufactures, and sells fabrics primarily to residential and commercial furniture manufacturers. We have wholly owned upholstery fabric operations located in Shanghai, China, and Burlington, NC. With the acquisition of Read Window Products, LLC (Read) late in fiscal 2018, we now have a wholly owned company located in Knoxville, TN, that provides window treatments and sourcing of upholstery fabrics and other products, as well as measuring and installation services of Read’s own products to customers in the hospitality and commercial industries. The company operated an upholstery fabrics plant in Anderson, SC, during the first quarter of fiscal 2019, which was closed during the second quarter of fiscal 2019. The home accessories segment is the company’s new finished products business that manufactures, sources, and sells bedding accessories and home goods directly to consumers and businesses through global e-commerce and business-to-business sales channels. Through our June 22, 2018, investment in eLuxury, LLC (eLuxury), we now have a majority owned company located in Evansville, IN, which operates the global e-commerce platform for the home accessories segment.</w:t>
      </w:r>
    </w:p>
    <w:p>
      <w:pPr>
        <w:spacing w:after="0" w:line="17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We evaluate the operating performance of our segments based upon income (loss) from operations before certain unallocated corporate expenses, restructuring expense (credit) and related charges, impairment charges, and other non-recurring items. Cost of sales in each segment includes costs to develop, manufacture, or source our products, including costs such as raw material costs and finished goods purchases, direct and indirect labor, overhead, and incoming freight charges. Unallocated corporate expenses primarily represent compensation and benefits for certain executive officers, all costs associated with being a public company, and other miscellaneous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jc w:val="right"/>
              <w:ind w:right="920"/>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540"/>
              <w:spacing w:after="0" w:line="137" w:lineRule="exact"/>
              <w:rPr>
                <w:sz w:val="20"/>
                <w:szCs w:val="20"/>
                <w:color w:val="auto"/>
              </w:rPr>
            </w:pPr>
            <w:r>
              <w:rPr>
                <w:rFonts w:ascii="Arial" w:cs="Arial" w:eastAsia="Arial" w:hAnsi="Arial"/>
                <w:sz w:val="14"/>
                <w:szCs w:val="14"/>
                <w:color w:val="auto"/>
                <w:w w:val="97"/>
              </w:rPr>
              <w:t>February 2,</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3"/>
              <w:spacing w:after="0" w:line="137" w:lineRule="exact"/>
              <w:rPr>
                <w:sz w:val="20"/>
                <w:szCs w:val="20"/>
                <w:color w:val="auto"/>
              </w:rPr>
            </w:pPr>
            <w:r>
              <w:rPr>
                <w:rFonts w:ascii="Arial" w:cs="Arial" w:eastAsia="Arial" w:hAnsi="Arial"/>
                <w:sz w:val="14"/>
                <w:szCs w:val="14"/>
                <w:color w:val="auto"/>
                <w:w w:val="92"/>
              </w:rPr>
              <w:t>January 27,</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020" w:type="dxa"/>
            <w:vAlign w:val="bottom"/>
            <w:gridSpan w:val="2"/>
          </w:tcPr>
          <w:p>
            <w:pPr>
              <w:ind w:left="114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71,998</w:t>
            </w:r>
          </w:p>
        </w:tc>
        <w:tc>
          <w:tcPr>
            <w:tcW w:w="3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77,226</w:t>
            </w:r>
          </w:p>
        </w:tc>
        <w:tc>
          <w:tcPr>
            <w:tcW w:w="30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12,384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14,123</w:t>
            </w: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Gross profit margin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18.3%</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(110)bp</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SG&amp;A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9,952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10,038</w:t>
            </w: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Reversal of contingent consideration - earn-out obligation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(5,091)</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margin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(1270)bp</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(5,124)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w:t>
            </w: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(4,207)</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5"/>
              </w:rPr>
              <w:t>Net (loss) income attributable to Culp Inc common shareholders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3,154</w:t>
            </w: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40" w:type="dxa"/>
            <w:vAlign w:val="bottom"/>
          </w:tcPr>
          <w:p>
            <w:pPr>
              <w:spacing w:after="0"/>
              <w:rPr>
                <w:sz w:val="24"/>
                <w:szCs w:val="24"/>
                <w:color w:val="auto"/>
              </w:rPr>
            </w:pPr>
          </w:p>
        </w:tc>
        <w:tc>
          <w:tcPr>
            <w:tcW w:w="4880" w:type="dxa"/>
            <w:vAlign w:val="bottom"/>
          </w:tcPr>
          <w:p>
            <w:pPr>
              <w:ind w:left="4340"/>
              <w:spacing w:after="0"/>
              <w:rPr>
                <w:sz w:val="20"/>
                <w:szCs w:val="20"/>
                <w:color w:val="auto"/>
              </w:rPr>
            </w:pPr>
            <w:r>
              <w:rPr>
                <w:rFonts w:ascii="Arial" w:cs="Arial" w:eastAsia="Arial" w:hAnsi="Arial"/>
                <w:sz w:val="18"/>
                <w:szCs w:val="18"/>
                <w:color w:val="auto"/>
              </w:rPr>
              <w:t>I-31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4"/>
                <w:szCs w:val="14"/>
                <w:color w:val="auto"/>
              </w:rPr>
              <w:t>Nine Months Ended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37"/>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520"/>
              <w:spacing w:after="0" w:line="137" w:lineRule="exact"/>
              <w:rPr>
                <w:sz w:val="20"/>
                <w:szCs w:val="20"/>
                <w:color w:val="auto"/>
              </w:rPr>
            </w:pPr>
            <w:r>
              <w:rPr>
                <w:rFonts w:ascii="Arial" w:cs="Arial" w:eastAsia="Arial" w:hAnsi="Arial"/>
                <w:sz w:val="14"/>
                <w:szCs w:val="14"/>
                <w:color w:val="auto"/>
                <w:w w:val="94"/>
              </w:rPr>
              <w:t>February 2,</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3"/>
              <w:spacing w:after="0" w:line="137" w:lineRule="exact"/>
              <w:rPr>
                <w:sz w:val="20"/>
                <w:szCs w:val="20"/>
                <w:color w:val="auto"/>
              </w:rPr>
            </w:pPr>
            <w:r>
              <w:rPr>
                <w:rFonts w:ascii="Arial" w:cs="Arial" w:eastAsia="Arial" w:hAnsi="Arial"/>
                <w:sz w:val="14"/>
                <w:szCs w:val="14"/>
                <w:color w:val="auto"/>
                <w:w w:val="95"/>
              </w:rPr>
              <w:t>January 27,</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7"/>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CFF0FC"/>
            </w:tcBorders>
          </w:tcPr>
          <w:p>
            <w:pPr>
              <w:spacing w:after="0"/>
              <w:rPr>
                <w:sz w:val="14"/>
                <w:szCs w:val="14"/>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219,465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225,705</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38,008</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Gross profit margin</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140bp</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SG&amp;A expenses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28,174</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Reversal of contingent consideration - earn-out obligation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10,659</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(85.2)%</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Operating margin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(400)bp</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(82.6)%</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3,407</w:t>
            </w: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(112.1)%</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Net income attributable to Culp Inc common shareholders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7,044</w:t>
            </w: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Overall, our net sales for the third quarter of fiscal 2020 decreased by 6.8% compared with the same period a year ago, with mattress fabric sales declining 7.4%, upholstery fabric sales declining 5.7%, and home accessories sales declining 11.0%. Our net sales for the first nine months of fiscal 2020 decreased by 2.8% compared with the same period a year ago, with mattress fabrics sales declining 0.1% and upholstery fabrics sales declining 5.5%. There was no full period of comparable prior-year sales for the home accessories segment as a result of the June 22, 2018, investment in eLuxury. The first nine months of fiscal 2020 had 40 weeks compared to 39 weeks for the first nine months of fiscal 2019.</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mattress fabrics net sales for the third quarter and the first nine months of fiscal 2020 primarily relates to continued industry weakness resulting in softer demand trends for our legacy mattress fabrics customers. The anti-dumping measures enacted by the U.S. government relating to low-priced imports from China have not yet provided the relief expected for the domestic mattress industry. Third quarter sales for our CLASS sewn cover business were also affected by the holiday shutdowns in Haiti and China. Mattress covers have become an increasingly important part of the mattress fabrics business, and losing multiple productive weeks caused a more significant impact when combined with continued industry weakness in our legacy business.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decrease in upholstery fabrics net sales for the third quarter relates to a slowdown in shipments heading into the Chinese New Year. It is difficult to predict the impact of the holiday shutdown from year to year, and this year we experienced a greater than expected decline in January leading up to the holiday period. As a result, we showed a modest drop in sales for the third quarter of fiscal 2020 compared with a very strong sales performance in the prior-year period, which was positively affected by advance customer purchases in anticipation of additional tariffs. The decrease in upholstery fabrics net sales for the first nine months of fiscal 2020 primarily relates to the slowdown in shipments noted for the third quarter, as well as the soft retail environment for residential furniture and ongoing issues surrounding international trade agreements and the associated tariffs during the first half of the year. It also reflects a loss in sales resulting from the closure of our Anderson, SC, production facility that was completed during the second quarter of fiscal 2019.</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sales for our new home accessories business segment primarily relates to reduced demand for our bedding products on Amazon, a principal sales channel for this segment’s legacy e-commerce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the Segment Analysis section below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Overall, our income (loss) before income taxes for the third quarter of fiscal 2020 was $(5.1) million, compared with $4.3 million for the prior-year period, while income before income taxes for the first nine months of fiscal 2020 was $1.8 million, compared with $10.5 million for the prior-year period. Income (loss) before income taxes for the third quarter and the first nine months of fiscal 2020 included a reversal of a $6.1 million contingent earnout liability, non-cash impairment charges of $13.6 million related to the home accessories division, and a $35,000 restructuring credit associated with the closure of our Anderson, SC, upholstery fabrics facility, resulting in a non-cash net charge of $7.5 million for the third quarter of fiscal 2020. In addition to the restructuring credit recorded in the third quarter of fiscal 2020, we recorded a restructuring credit of $35,000 during the first quarter of fiscal 2020 associated with the closure of our Anderson, SC, upholstery fabrics facility. Income before income taxes for the third quarter and the first nine months of the prior fiscal year included a non-recurring charge of $769,000 in the third quarter and a non-recurring charge of $2.2 million in the first nine months of fiscal 2019, related to the closure of our upholstery fabrics operation located in Anderson, SC, and other non-recurring charges.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non-recurring charges noted above, income (loss) before income taxes for the third quarter and first nine months of fiscal 2020 was primarily affected by lower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unallocated corporate SG&amp;A expense was higher during the first nine months of fiscal 2020, as compared to the prior year, due primarily to adjustments that occurred in the first quarter of fiscal 2019 that lowered share-based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the Segment Analysis section below for further details.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income tax rate for the year-to-date period of fiscal 2020 was 142.8% compared with 32.5% for the same period a year ago. The increase in our effective income tax rate reflects the significant decline in our projected annual consolidated taxable income, particularly in the U.S., and the mix of our consolidated taxable income that is earned by our foreign operations located in China and Canada that have higher income tax rates in relation to the U.S. This current mix of taxable income has led to a significant increase in our effective income tax rate that is associated with our Global Intangible Low Tax Income (GILTI) tax, which represents a U.S. income tax on foreign earnings. Additionally, our effective income tax rate significantly increased due to the income tax effects of our asset impairments associated with our home accessories segment incurred during the third quarter that were attributable to our non-controlling interest.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located in the notes to the consolidated financial statements for further details regarding our provision for income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February 2, 2020, our cash and investments (which comprise cash and cash equivalents, short-term investments (available-for-sale), and short-term and long-term investments (held-to-maturity)) totaled $34.8 million compared with $45.0 million at April 28, 2019. This decrease from the end of fiscal 2019 was primarily due to net cash used in operating activities totaling $519,000, $4.5 million returned to shareholders in the form of regular quarterly dividend payments and common stock share repurchases, $4.1 million for capital expenditures that were mostly associated with our mattress fabrics segment, and $1.5 million for additional cash payments on our recent acquisitions.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cash used in operating activities was $519,000 for the first nine months of fiscal 2020, compared with net cash provided by operating activities of $8.1 million for the same period a year ago. This decrease was due primarily to the timing of payments in advance of Chinese New Year shutdowns and higher than expected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February 2, 2020, our borrowings totaling $925,000 related to our subordinated loan payable between eLuxury and its minority owner.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Program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2020, we announced that our board of directors approved a quarterly cash dividend of $0.105 per share, that will be paid on April 15, 2020, to shareholders of record as of April 7,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nine-month period ended February 2, 2020, dividend payments totaled $3.8 million, which represented quarterly dividend payments ranging from $0.10 per share to $0.105 per share. During the nine-month period ended January 27, 2019, dividend payments totaled $3.5 million, which represented quarterly dividend payments of $0.09 per share to $0.10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Repurchase Program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5, 2019, we announced that our board of directors approved an authorization for us to acquire up to $5.0 million of our common stock. During the nine-month period ended February 2, 2020, we purchased 55,750 shares of common stock at a cost of $728,000 pursuant to this authorization, all of which was purchased during the third quarter. As a result, at February 2, 2020, we had $4.3 million available for future repurchases of our common stock associated with the $5.0 million repurchase program approved by our board of directors on September 5, 2019.</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On March 4, 2020, we announced that our board of directors approved an authorization for us to acquire up to $5.0 million of our common stock.</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nine-month period ended January 27, 2019, we purchased 160,423 shares of common stock at a cost of $3.3 million. The 160,423 shares were purchased pursuant to a prior authorization approved by our board of directors on June 15,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Coronavirus Impact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Currently, we have not experienced significant impacts to our operations from the coronavirus outbreak in any of our business segments.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upholstery fabrics business, our Culp China location is operating at normal levels with virtually all employees reporting to work following the additional week of shutdowns required by the Chinese government after the Chinese New Year holiday. We have a stable, long-term supply base in China and have experienced minimal delays as most of our suppliers are back to near full output. We have also relocated a considerable amount of our cut and sew production to two facilities we work with in Vietnam.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both our mattress fabrics and home accessories business segments, we are not currently experiencing any significant delays in Asia, and we also have alternative locations for production as needed. This includes production or sourcing capabilities in the U.S., Canada, Haiti, Vietnam, and Turkey.</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monitoring the situation daily and following the processes and procedures provided for in the company’s global pandemic disease contingency plan to protect our workforce. However, the potential impact of the coronavirus is difficult to estimate reasonably at this point given the fluidity in circumstances related to the disease and the actions being taken to control its spread. If conditions relating to the virus worsen, our operations and supply chain, particularly in China, could be disrupted, and consumer confidence could be negatively affected, which could adversely affect our financial results.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Mattress Fabrics Segment</w:t>
      </w:r>
    </w:p>
    <w:p>
      <w:pPr>
        <w:spacing w:after="0" w:line="329"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37"/>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00"/>
              <w:spacing w:after="0" w:line="137" w:lineRule="exact"/>
              <w:rPr>
                <w:sz w:val="20"/>
                <w:szCs w:val="20"/>
                <w:color w:val="auto"/>
              </w:rPr>
            </w:pPr>
            <w:r>
              <w:rPr>
                <w:rFonts w:ascii="Arial" w:cs="Arial" w:eastAsia="Arial" w:hAnsi="Arial"/>
                <w:sz w:val="14"/>
                <w:szCs w:val="14"/>
                <w:color w:val="auto"/>
                <w:w w:val="92"/>
              </w:rPr>
              <w:t>February 2,</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5"/>
              <w:spacing w:after="0" w:line="137" w:lineRule="exact"/>
              <w:rPr>
                <w:sz w:val="20"/>
                <w:szCs w:val="20"/>
                <w:color w:val="auto"/>
              </w:rPr>
            </w:pPr>
            <w:r>
              <w:rPr>
                <w:rFonts w:ascii="Arial" w:cs="Arial" w:eastAsia="Arial" w:hAnsi="Arial"/>
                <w:sz w:val="14"/>
                <w:szCs w:val="14"/>
                <w:color w:val="auto"/>
                <w:w w:val="90"/>
              </w:rPr>
              <w:t>January 27,</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7"/>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89"/>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96"/>
              </w:rPr>
              <w:t>2019</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CFF0FC"/>
            </w:tcBorders>
          </w:tcPr>
          <w:p>
            <w:pPr>
              <w:spacing w:after="0"/>
              <w:rPr>
                <w:sz w:val="14"/>
                <w:szCs w:val="14"/>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35,732</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5,963</w:t>
            </w: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Gross profit margin</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(280)bp</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SG&amp;A expenses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2,755</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(44.6)%</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Operating margin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(360)bp</w:t>
            </w:r>
          </w:p>
        </w:tc>
      </w:tr>
      <w:tr>
        <w:trPr>
          <w:trHeight w:val="472"/>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4"/>
                <w:szCs w:val="14"/>
                <w:color w:val="auto"/>
              </w:rPr>
              <w:t>Nine Months Ended</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37"/>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00"/>
              <w:spacing w:after="0" w:line="137" w:lineRule="exact"/>
              <w:rPr>
                <w:sz w:val="20"/>
                <w:szCs w:val="20"/>
                <w:color w:val="auto"/>
              </w:rPr>
            </w:pPr>
            <w:r>
              <w:rPr>
                <w:rFonts w:ascii="Arial" w:cs="Arial" w:eastAsia="Arial" w:hAnsi="Arial"/>
                <w:sz w:val="14"/>
                <w:szCs w:val="14"/>
                <w:color w:val="auto"/>
                <w:w w:val="92"/>
              </w:rPr>
              <w:t>February 2,</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5"/>
              <w:spacing w:after="0" w:line="137" w:lineRule="exact"/>
              <w:rPr>
                <w:sz w:val="20"/>
                <w:szCs w:val="20"/>
                <w:color w:val="auto"/>
              </w:rPr>
            </w:pPr>
            <w:r>
              <w:rPr>
                <w:rFonts w:ascii="Arial" w:cs="Arial" w:eastAsia="Arial" w:hAnsi="Arial"/>
                <w:sz w:val="14"/>
                <w:szCs w:val="14"/>
                <w:color w:val="auto"/>
                <w:w w:val="90"/>
              </w:rPr>
              <w:t>January 27,</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7"/>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89"/>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96"/>
              </w:rPr>
              <w:t>2019</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CFF0FC"/>
            </w:tcBorders>
          </w:tcPr>
          <w:p>
            <w:pPr>
              <w:spacing w:after="0"/>
              <w:rPr>
                <w:sz w:val="14"/>
                <w:szCs w:val="14"/>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107,335</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17,050</w:t>
            </w: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Gross profit margin</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15.9%</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(50)bp</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SG&amp;A expenses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8,141</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8,910</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Operating margin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(110)bp</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mattress fabrics net sales for the third quarter and the first nine months of fiscal 2020 reflects the impact of holiday shutdowns in Haiti and China on our CLASS sewn cover business, as well as continued industry weakness for our legacy mattress fabrics customers. Mattress covers have become an increasingly important part of our mattress fabrics business, and losing multiple productive weeks caused a more significant impact when combined with continued industry weakness in our legacy business. Also, the anti-dumping measures enacted by the U.S. government relating to low-priced imports from China have not yet provided the relief expected for the domestic mattress industry. The first nine months of fiscal 2020 had 40 weeks compared to 39 weeks for the first nine months of fiscal 2019.</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holiday shutdowns disrupted our CLASS sewn cover operations in Haiti and China during the third quarter, this business experienced continued growth during the quarter. Demand trends for mattress covers remain favorable, especially for the growing boxed bedding space, and we continue to develop fresh products with both new and existing customers. Our production capabilities for sewn covers in the U.S., Haiti, and Asia support our diversification strategy and allow us to maximize our full supply chain potential from fabric to finished covers.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domestic disruption from low-priced mattress imports from China appears to be continuing as a result of sources for many of these imports moving to other countries, and we expect mattress fabric sales will continue to be pressured due to ongoing softness in our legacy business through at least the fourth quarter of fiscal 2020. Despite this trend, we believe our strong global platform for fabric and covers in Asia has us well positioned to capture market share with imported mattresses going forward. We also continue to invest in our design and marketing capabilities with technologies to improve the customer experience and speed to market, and we are enhancing our service platform to be more responsive to customer demand with shorter lead times. We believe we will benefit from these advanced technologies and processes that support our sales and marketing efforts with both legacy and new customers.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expectations for the fourth quarter and beyond assume the coronavirus outbreak does not have a greater than anticipated impact on the operations of our mattress fabrics segment. We are not currently experiencing any significant delays or disruption as a result of the virus, including with respect to our operations in China. We also have alternative locations for production and sourcing as needed, including capabilities in the U.S., Canada, Haiti, Vietnam, and Turkey. While we cannot predict whether the virus will have any negative impact on our operations or consumer confidence in the future, we believe our global platform supports our ability to manage disruption created by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outbreak. However, the potential impact of the coronavirus is difficult to estimate, and if conditions relating to the outbreak worsen, the impact on our employees, suppliers, consumers, and the global economy could adversely affect our operations and financial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Operating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profits declined in the third quarter and first nine months of fiscal 2020 compared with the same periods a year ago, due primarily to the decrease in net sales noted above.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of accounts receivable, inventory, assets held for sale, property, plant and equipment, right of use assets, and investment in an unconsolidated joint venture.</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color w:val="auto"/>
                <w:w w:val="97"/>
              </w:rPr>
              <w:t>February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April 28,</w:t>
            </w:r>
          </w:p>
        </w:tc>
      </w:tr>
      <w:tr>
        <w:trPr>
          <w:trHeight w:val="167"/>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12,098</w:t>
            </w:r>
          </w:p>
        </w:tc>
        <w:tc>
          <w:tcPr>
            <w:tcW w:w="8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24,649</w:t>
            </w:r>
          </w:p>
        </w:tc>
        <w:tc>
          <w:tcPr>
            <w:tcW w:w="8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44,266</w:t>
            </w:r>
          </w:p>
        </w:tc>
        <w:tc>
          <w:tcPr>
            <w:tcW w:w="8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 unconsolidated joint venture</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8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87,222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82,521</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located in the notes to the consolidated financial statements for disclosures regarding determination of our segment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 2020, accounts receivable increased 4.6% compared with January 27, 2019, and increased 7.0% compared with April 28, 2019. These increases resulted from a change in discount credit terms with key customers and fewer customers taking advantage of discounts during fiscal 2020 as compared with fiscal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 2020, inventory increased $3.5 million, or 13.3%, compared with January 27, 2019, and increased $5.1 million, or 20.7%, compared with April 28, 2019. These increases represent inventory purchases in excess of actual demand trends, which were lower than anticipated. Currently, management is adjusting inventory purchases to reduce inventory levels.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&amp; Equipment</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February 2, 2020, property plant, and equipment decreased in comparison with January 27, 2019, and April 28, 2019. This trend represents a decrease in capital expenditure requirements and a progression toward a more maintenance level of spending on our machinery and equipment.</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$42.4 million at February 2, 2020, represents property, plant, and equipment of $28.7 million and $13.7 million located in the U.S. and Canada, respectively. The $45.8 million at January 27, 2019, represents property, plant, and equipment of $33.5 million and $12.3 million located in the U.S. and Canada, respectively. The $44.3 million at April 28, 2019, represents property, plant, and equipment of $32.4 million and $11.9 million located in the U.S. and Canada,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of February 2, 2020, our right of use assets balance mostly reflects the adoption of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See notes 2 and 19 located in the notes to the consolidated financial statements for further details. The $426,000 represents right of use assets located in the 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Joint Venture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unconsolidated joint venture represents our fifty percent ownership of Class International Holdings Ltd. (See note 9 located in the notes to the consolidated financial statements for further details).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Upholstery Fabrics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Three Months Ended</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7"/>
              <w:spacing w:after="0" w:line="137" w:lineRule="exact"/>
              <w:rPr>
                <w:sz w:val="20"/>
                <w:szCs w:val="20"/>
                <w:color w:val="auto"/>
              </w:rPr>
            </w:pPr>
            <w:r>
              <w:rPr>
                <w:rFonts w:ascii="Arial" w:cs="Arial" w:eastAsia="Arial" w:hAnsi="Arial"/>
                <w:sz w:val="14"/>
                <w:szCs w:val="14"/>
                <w:color w:val="auto"/>
                <w:w w:val="92"/>
              </w:rPr>
              <w:t>February 2,</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7" w:lineRule="exact"/>
              <w:rPr>
                <w:sz w:val="20"/>
                <w:szCs w:val="20"/>
                <w:color w:val="auto"/>
              </w:rPr>
            </w:pPr>
            <w:r>
              <w:rPr>
                <w:rFonts w:ascii="Arial" w:cs="Arial" w:eastAsia="Arial" w:hAnsi="Arial"/>
                <w:sz w:val="14"/>
                <w:szCs w:val="14"/>
                <w:color w:val="auto"/>
                <w:w w:val="90"/>
              </w:rPr>
              <w:t>January 27,</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9"/>
              </w:rPr>
              <w:t>2020</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Non-U.S. Produced</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31,980</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34,450</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U.S. Produced</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2,654</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0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34,987</w:t>
            </w:r>
          </w:p>
        </w:tc>
        <w:tc>
          <w:tcPr>
            <w:tcW w:w="220" w:type="dxa"/>
            <w:vAlign w:val="bottom"/>
            <w:vMerge w:val="continue"/>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37,104</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Nine Months Ended</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7"/>
              <w:spacing w:after="0" w:line="137" w:lineRule="exact"/>
              <w:rPr>
                <w:sz w:val="20"/>
                <w:szCs w:val="20"/>
                <w:color w:val="auto"/>
              </w:rPr>
            </w:pPr>
            <w:r>
              <w:rPr>
                <w:rFonts w:ascii="Arial" w:cs="Arial" w:eastAsia="Arial" w:hAnsi="Arial"/>
                <w:sz w:val="14"/>
                <w:szCs w:val="14"/>
                <w:color w:val="auto"/>
                <w:w w:val="92"/>
              </w:rPr>
              <w:t>February 2,</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7" w:lineRule="exact"/>
              <w:rPr>
                <w:sz w:val="20"/>
                <w:szCs w:val="20"/>
                <w:color w:val="auto"/>
              </w:rPr>
            </w:pPr>
            <w:r>
              <w:rPr>
                <w:rFonts w:ascii="Arial" w:cs="Arial" w:eastAsia="Arial" w:hAnsi="Arial"/>
                <w:sz w:val="14"/>
                <w:szCs w:val="14"/>
                <w:color w:val="auto"/>
                <w:w w:val="90"/>
              </w:rPr>
              <w:t>January 27,</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9"/>
              </w:rPr>
              <w:t>2020</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Non-U.S. Produced</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92,525</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95,361</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U.S. Produced</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8,205</w:t>
            </w:r>
          </w:p>
        </w:tc>
        <w:tc>
          <w:tcPr>
            <w:tcW w:w="2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11,250</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50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100,730</w:t>
            </w:r>
          </w:p>
        </w:tc>
        <w:tc>
          <w:tcPr>
            <w:tcW w:w="220" w:type="dxa"/>
            <w:vAlign w:val="bottom"/>
            <w:vMerge w:val="continue"/>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106,611</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Net sales in this segment decreased in the third quarter and the first nine months of fiscal 2020 as compared to the same period a year ago. The first nine months of fiscal 2020 had 40 weeks compared to 39 weeks for the first nine months of fiscal 2019.</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third quarter drop in net sales for this segment relates to a slowdown in shipments heading into the Chinese New Year. It is difficult to predict the impact of the holiday shutdown from year to year, and this year we experienced a greater than expected decline in January leading up to the holiday period. As a result, we showed a modest drop in sales for the third quarter of fiscal 2020 compared with a very strong sales performance in the prior-year period, which was positively affected by advance customer purchases in anticipation of additional tariffs.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decrease in upholstery fabrics net sales for the first nine months of fiscal 2020 primarily relates to the slowdown in shipments noted for the third quarter, as well as the soft retail environment for residential furniture and ongoing issues surrounding international trade agreements and the associated tariffs during the first half of the year. Additionally, the drop in U.S. produced sales for the first nine months of fiscal 2020 reflects the closure of our Anderson, SC, production facility that was completed during the second quarter of fiscal 2019, as net sales for the first six months of fiscal 2019 included sales from the Anderson facility, whereas there were no such sales in the first six months of fiscal 2020.</w:t>
      </w:r>
    </w:p>
    <w:p>
      <w:pPr>
        <w:spacing w:after="0" w:line="17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Despite these challenges, we have continued to execute our strategic focus of introducing new products and diversifying our customer base. We experienced continued growth in our hospitality business, as we have expanded our reach in this growing market. Read Window Products, our window treatment and installation services business, is a key driver of this strategy. Additionally, our line of LiveSmart® performance fabrics continues to be very popular with both existing and new residential furniture customers, and we have experienced favorable demand trends for LiveSmart Evolve™, our recently introduced line of sustainability fabrics featuring the use of recycled fibers along with the same stain-resistant performance. This product line has received extensive placements for the upcoming April furniture market, and we expect to see continued growth as a product that can fulfill the desires of environmentally conscious consumers.</w:t>
      </w:r>
    </w:p>
    <w:p>
      <w:pPr>
        <w:spacing w:after="0" w:line="19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Our expectations for the fourth quarter and beyond assume the coronavirus outbreak does not have a greater than anticipated impact on the operations of our upholstery fabrics segment. We are not currently experiencing any significant delays or disruption as a result of the virus, and our Culp China location is operating at normal levels with virtually all employees reporting to work following the additional week of shutdowns required by the China government after the Chinese New Year holiday. We have also built a stable, long-term supply base in China, and we have experienced minimal delays as most of our suppliers are back to nearly full output. However, the potential impact of the coronavirus is difficult to estimate, and if conditions relating to the outbreak worsen, the impact on our employees, suppliers, consumers, and the global economy could adversely affect our operations and financial performance.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Selling, General &amp; Administrative Expenses, and Operating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00"/>
              <w:spacing w:after="0" w:line="137" w:lineRule="exact"/>
              <w:rPr>
                <w:sz w:val="20"/>
                <w:szCs w:val="20"/>
                <w:color w:val="auto"/>
              </w:rPr>
            </w:pPr>
            <w:r>
              <w:rPr>
                <w:rFonts w:ascii="Arial" w:cs="Arial" w:eastAsia="Arial" w:hAnsi="Arial"/>
                <w:sz w:val="14"/>
                <w:szCs w:val="14"/>
                <w:color w:val="auto"/>
                <w:w w:val="94"/>
              </w:rPr>
              <w:t>February 2,</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5"/>
              <w:spacing w:after="0" w:line="137" w:lineRule="exact"/>
              <w:rPr>
                <w:sz w:val="20"/>
                <w:szCs w:val="20"/>
                <w:color w:val="auto"/>
              </w:rPr>
            </w:pPr>
            <w:r>
              <w:rPr>
                <w:rFonts w:ascii="Arial" w:cs="Arial" w:eastAsia="Arial" w:hAnsi="Arial"/>
                <w:sz w:val="14"/>
                <w:szCs w:val="14"/>
                <w:color w:val="auto"/>
                <w:w w:val="92"/>
              </w:rPr>
              <w:t>January 27,</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gridSpan w:val="2"/>
          </w:tcPr>
          <w:p>
            <w:pPr>
              <w:ind w:left="1140"/>
              <w:spacing w:after="0"/>
              <w:rPr>
                <w:sz w:val="20"/>
                <w:szCs w:val="20"/>
                <w:color w:val="auto"/>
              </w:rPr>
            </w:pPr>
            <w:r>
              <w:rPr>
                <w:rFonts w:ascii="Arial" w:cs="Arial" w:eastAsia="Arial" w:hAnsi="Arial"/>
                <w:sz w:val="14"/>
                <w:szCs w:val="14"/>
                <w:i w:val="1"/>
                <w:iCs w:val="1"/>
                <w:color w:val="auto"/>
              </w:rPr>
              <w:t>(dollars in thousands)</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w:t>
            </w:r>
          </w:p>
        </w:tc>
        <w:tc>
          <w:tcPr>
            <w:tcW w:w="2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w:t>
            </w:r>
          </w:p>
        </w:tc>
        <w:tc>
          <w:tcPr>
            <w:tcW w:w="30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Gross profit margin</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(80)bp</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SG&amp;A expenses</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3,799</w:t>
            </w: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(150)bp</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Restructuring related charges</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60" w:type="dxa"/>
            <w:vAlign w:val="bottom"/>
            <w:gridSpan w:val="3"/>
          </w:tcPr>
          <w:p>
            <w:pPr>
              <w:jc w:val="right"/>
              <w:ind w:right="467"/>
              <w:spacing w:after="0"/>
              <w:rPr>
                <w:sz w:val="20"/>
                <w:szCs w:val="20"/>
                <w:color w:val="auto"/>
              </w:rPr>
            </w:pPr>
            <w:r>
              <w:rPr>
                <w:rFonts w:ascii="Arial" w:cs="Arial" w:eastAsia="Arial" w:hAnsi="Arial"/>
                <w:sz w:val="18"/>
                <w:szCs w:val="18"/>
                <w:color w:val="auto"/>
              </w:rPr>
              <w:t>I-36</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4"/>
                <w:szCs w:val="14"/>
                <w:color w:val="auto"/>
              </w:rPr>
              <w:t>Nine Months Ended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37"/>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500"/>
              <w:spacing w:after="0" w:line="137" w:lineRule="exact"/>
              <w:rPr>
                <w:sz w:val="20"/>
                <w:szCs w:val="20"/>
                <w:color w:val="auto"/>
              </w:rPr>
            </w:pPr>
            <w:r>
              <w:rPr>
                <w:rFonts w:ascii="Arial" w:cs="Arial" w:eastAsia="Arial" w:hAnsi="Arial"/>
                <w:sz w:val="14"/>
                <w:szCs w:val="14"/>
                <w:color w:val="auto"/>
                <w:w w:val="97"/>
              </w:rPr>
              <w:t>February 2,</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5"/>
              <w:spacing w:after="0" w:line="137" w:lineRule="exact"/>
              <w:rPr>
                <w:sz w:val="20"/>
                <w:szCs w:val="20"/>
                <w:color w:val="auto"/>
              </w:rPr>
            </w:pPr>
            <w:r>
              <w:rPr>
                <w:rFonts w:ascii="Arial" w:cs="Arial" w:eastAsia="Arial" w:hAnsi="Arial"/>
                <w:sz w:val="14"/>
                <w:szCs w:val="14"/>
                <w:color w:val="auto"/>
                <w:w w:val="95"/>
              </w:rPr>
              <w:t>January 27,</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7"/>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CFF0FC"/>
            </w:tcBorders>
          </w:tcPr>
          <w:p>
            <w:pPr>
              <w:spacing w:after="0"/>
              <w:rPr>
                <w:sz w:val="14"/>
                <w:szCs w:val="14"/>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20,031</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Gross profit margin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200bp</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SG&amp;A expenses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10,985</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9,044</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80bp</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Restructuring related charges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2,388</w:t>
            </w: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performance declined in the third quarter of fiscal 2020 compared with the same period a year ago due primarily to the decrease in net sales noted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improved operating performance for the first nine months of fiscal 2020 reflects a more profitable product mix and more favorable foreign currency exchange rates associated with our operations located in China, leading to higher gross profit and operating margin.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Exit and Disposal Activity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12, 2018, our board of directors announced the closure of our upholstery fabrics manufacturing facility located in Anderson, SC. This closure was completed during the second quarter of fiscal 2019 and was due to a continued decline in demand for the products manufactured at this facility, reflecting a change in consumer style preferences.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our restructuring credit and restructuring related charges that were associated with the above exit and disposal activity:</w:t>
      </w:r>
    </w:p>
    <w:p>
      <w:pPr>
        <w:spacing w:after="0" w:line="340"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20"/>
              <w:spacing w:after="0" w:line="137" w:lineRule="exact"/>
              <w:rPr>
                <w:sz w:val="20"/>
                <w:szCs w:val="20"/>
                <w:color w:val="auto"/>
              </w:rPr>
            </w:pPr>
            <w:r>
              <w:rPr>
                <w:rFonts w:ascii="Arial" w:cs="Arial" w:eastAsia="Arial" w:hAnsi="Arial"/>
                <w:sz w:val="14"/>
                <w:szCs w:val="14"/>
                <w:color w:val="auto"/>
              </w:rPr>
              <w:t>February 2,</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5"/>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3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Inventory markdowns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Employee termination benefits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9"/>
                <w:szCs w:val="19"/>
                <w:color w:val="auto"/>
              </w:rPr>
            </w:pPr>
          </w:p>
        </w:tc>
      </w:tr>
      <w:tr>
        <w:trPr>
          <w:trHeight w:val="215"/>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operational costs associated with a closed plant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facility</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FF0FC"/>
          </w:tcPr>
          <w:p>
            <w:pPr>
              <w:spacing w:after="0"/>
              <w:rPr>
                <w:sz w:val="20"/>
                <w:szCs w:val="20"/>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Gain on sale of equipment</w:t>
            </w: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(1,486)</w:t>
            </w:r>
          </w:p>
        </w:tc>
      </w:tr>
      <w:tr>
        <w:trPr>
          <w:trHeight w:val="223"/>
        </w:trPr>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Restructuring credit and restructuring related charges (1) (2)</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80" w:hanging="472"/>
        <w:spacing w:after="0" w:line="27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$70,000 credit was recorded to restructuring credit in the Consolidated Statements of Net Income for the nine-month period ending February 2, 2020.</w:t>
      </w:r>
    </w:p>
    <w:p>
      <w:pPr>
        <w:spacing w:after="0" w:line="62" w:lineRule="exact"/>
        <w:rPr>
          <w:rFonts w:ascii="Arial" w:cs="Arial" w:eastAsia="Arial" w:hAnsi="Arial"/>
          <w:sz w:val="18"/>
          <w:szCs w:val="18"/>
          <w:color w:val="auto"/>
        </w:rPr>
      </w:pPr>
    </w:p>
    <w:p>
      <w:pPr>
        <w:jc w:val="both"/>
        <w:ind w:left="480" w:hanging="472"/>
        <w:spacing w:after="0" w:line="263"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this total net charge, a $2.3 million charge, a charge of $40,000, and a credit of $825,000 were recorded to cost of sales, selling, general, and administrative expense, and restructuring credit, respectively, in the Consolidated Statements of Net Income for the nine-month period ending January 27,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in accrued restructuring costs: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color w:val="auto"/>
              </w:rPr>
              <w:t>Nine months ended</w:t>
            </w:r>
          </w:p>
        </w:tc>
      </w:t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360"/>
              <w:spacing w:after="0" w:line="137" w:lineRule="exact"/>
              <w:rPr>
                <w:sz w:val="20"/>
                <w:szCs w:val="20"/>
                <w:color w:val="auto"/>
              </w:rPr>
            </w:pPr>
            <w:r>
              <w:rPr>
                <w:rFonts w:ascii="Arial" w:cs="Arial" w:eastAsia="Arial" w:hAnsi="Arial"/>
                <w:sz w:val="14"/>
                <w:szCs w:val="14"/>
                <w:color w:val="auto"/>
              </w:rPr>
              <w:t>February 2,</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5"/>
              <w:spacing w:after="0" w:line="137" w:lineRule="exact"/>
              <w:rPr>
                <w:sz w:val="20"/>
                <w:szCs w:val="20"/>
                <w:color w:val="auto"/>
              </w:rPr>
            </w:pPr>
            <w:r>
              <w:rPr>
                <w:rFonts w:ascii="Arial" w:cs="Arial" w:eastAsia="Arial" w:hAnsi="Arial"/>
                <w:sz w:val="14"/>
                <w:szCs w:val="14"/>
                <w:color w:val="auto"/>
                <w:w w:val="95"/>
              </w:rPr>
              <w:t>January 27,</w:t>
            </w:r>
          </w:p>
        </w:tc>
        <w:tc>
          <w:tcPr>
            <w:tcW w:w="80" w:type="dxa"/>
            <w:vAlign w:val="bottom"/>
          </w:tcPr>
          <w:p>
            <w:pPr>
              <w:spacing w:after="0"/>
              <w:rPr>
                <w:sz w:val="11"/>
                <w:szCs w:val="11"/>
                <w:color w:val="auto"/>
              </w:rPr>
            </w:pPr>
          </w:p>
        </w:tc>
      </w:tr>
      <w:tr>
        <w:trPr>
          <w:trHeight w:val="167"/>
        </w:trPr>
        <w:tc>
          <w:tcPr>
            <w:tcW w:w="53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Accrual established in fiscal 2019</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r>
      <w:tr>
        <w:trPr>
          <w:trHeight w:val="229"/>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(434)</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r>
      <w:tr>
        <w:trPr>
          <w:trHeight w:val="223"/>
        </w:trPr>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above restructuring accrual pertains to employee termination benefits that were associated with the above exit and disposal activity.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accounts receivable, inventory, property, plant, and equipment, and right of use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color w:val="auto"/>
                <w:w w:val="97"/>
              </w:rPr>
              <w:t>February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15"/>
              <w:spacing w:after="0"/>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April 28,</w:t>
            </w:r>
          </w:p>
        </w:tc>
      </w:tr>
      <w:tr>
        <w:trPr>
          <w:trHeight w:val="167"/>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22,915</w:t>
            </w:r>
          </w:p>
        </w:tc>
        <w:tc>
          <w:tcPr>
            <w:tcW w:w="8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Right of use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41,391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35,984</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located in the notes to the consolidated financial statements for disclosures regarding determination of our segment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2, 2020, accounts receivable decreased by 3.4% compared with January 27, 2019. This decrease primarily reflects the 5.7% decrease in net sales during the third quarter of fiscal 2020 compared with the third quarter of fiscal 2019.</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February 2, 2020, accounts receivable increased by $1.6 million, or 14.5%, compared with April 28, 2019. This increase primarily reflects the increase in net sales during the third quarter of fiscal 2020 compared with the fourth quarter of fiscal 2019 due to the timing of the Chinese New Year holiday. Net sales during the third quarter of fiscal 2020 were $35.0 million, an increase of $6.0 million, or 20.5%, compared with net sales of $29.0 million during the fourth quarter of fiscal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2, 2020, inventory decreased $1.8 million, or 6.9%, compared with January 27, 2019. This decrease primarily reflects the 5.7% decrease in net sales during the third quarter of fiscal 2020, compared with the third quarter of fiscal 2019.</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February 2, 2020, inventory increased $1.3 million, or 5.9%, compared with April 28, 2019. This increase reflects higher inventory costs due to the increase in U.S. tariffs imposed on our inventory produced in China and sold to our customers located in the U.S., as well as the timing of the Chinese New Year holiday.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&amp; Equipment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$1.7 million at February 2, 2020, represents property, plant, and equipment of $1.2 million and $469,000 located in the U.S. and China,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$2.0 million at January 27, 2019, represents property, plant, and equipment of $1.3 million and $615,000 located in the U.S. and China,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$1.8 million at April 28, 2019, represents property, plant, and equipment of $1.2 million and $591,000 located in the U.S. and China, respectively.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As of February 2, 2020, our right of use assets balance mostly reflects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See notes 2 and 19 located in the notes to the consolidated financial statements for further details. The $2.1 million represents right of use assets of $1.1 million and $1.0 million located in China and the U.S.,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Home Accessories Segment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960"/>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560"/>
              <w:spacing w:after="0" w:line="137" w:lineRule="exact"/>
              <w:rPr>
                <w:sz w:val="20"/>
                <w:szCs w:val="20"/>
                <w:color w:val="auto"/>
              </w:rPr>
            </w:pPr>
            <w:r>
              <w:rPr>
                <w:rFonts w:ascii="Arial" w:cs="Arial" w:eastAsia="Arial" w:hAnsi="Arial"/>
                <w:sz w:val="14"/>
                <w:szCs w:val="14"/>
                <w:color w:val="auto"/>
                <w:w w:val="94"/>
              </w:rPr>
              <w:t>February 2,</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94"/>
              <w:spacing w:after="0" w:line="137" w:lineRule="exact"/>
              <w:rPr>
                <w:sz w:val="20"/>
                <w:szCs w:val="20"/>
                <w:color w:val="auto"/>
              </w:rPr>
            </w:pPr>
            <w:r>
              <w:rPr>
                <w:rFonts w:ascii="Arial" w:cs="Arial" w:eastAsia="Arial" w:hAnsi="Arial"/>
                <w:sz w:val="14"/>
                <w:szCs w:val="14"/>
                <w:color w:val="auto"/>
                <w:w w:val="95"/>
              </w:rPr>
              <w:t>January 27,</w:t>
            </w: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gridSpan w:val="2"/>
          </w:tcPr>
          <w:p>
            <w:pPr>
              <w:ind w:left="1140"/>
              <w:spacing w:after="0"/>
              <w:rPr>
                <w:sz w:val="20"/>
                <w:szCs w:val="20"/>
                <w:color w:val="auto"/>
              </w:rPr>
            </w:pPr>
            <w:r>
              <w:rPr>
                <w:rFonts w:ascii="Arial" w:cs="Arial" w:eastAsia="Arial" w:hAnsi="Arial"/>
                <w:sz w:val="14"/>
                <w:szCs w:val="14"/>
                <w:color w:val="auto"/>
              </w:rPr>
              <w:t>(dollars in thousands)</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92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3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4,390</w:t>
            </w:r>
          </w:p>
        </w:tc>
        <w:tc>
          <w:tcPr>
            <w:tcW w:w="36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Gross profit</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w:t>
            </w: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Gross profit margin</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23.9%</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(180)bp</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SG&amp;A expenses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1,361</w:t>
            </w: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Loss from operations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(311)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(250)bp</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80" w:type="dxa"/>
            <w:vAlign w:val="bottom"/>
            <w:gridSpan w:val="3"/>
          </w:tcPr>
          <w:p>
            <w:pPr>
              <w:jc w:val="right"/>
              <w:ind w:right="370"/>
              <w:spacing w:after="0"/>
              <w:rPr>
                <w:sz w:val="20"/>
                <w:szCs w:val="20"/>
                <w:color w:val="auto"/>
              </w:rPr>
            </w:pPr>
            <w:r>
              <w:rPr>
                <w:rFonts w:ascii="Arial" w:cs="Arial" w:eastAsia="Arial" w:hAnsi="Arial"/>
                <w:sz w:val="18"/>
                <w:szCs w:val="18"/>
                <w:color w:val="auto"/>
              </w:rPr>
              <w:t>I-38</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right"/>
              <w:ind w:right="1000"/>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37"/>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540"/>
              <w:spacing w:after="0" w:line="137" w:lineRule="exact"/>
              <w:rPr>
                <w:sz w:val="20"/>
                <w:szCs w:val="20"/>
                <w:color w:val="auto"/>
              </w:rPr>
            </w:pPr>
            <w:r>
              <w:rPr>
                <w:rFonts w:ascii="Arial" w:cs="Arial" w:eastAsia="Arial" w:hAnsi="Arial"/>
                <w:sz w:val="14"/>
                <w:szCs w:val="14"/>
                <w:color w:val="auto"/>
                <w:w w:val="97"/>
              </w:rPr>
              <w:t>February 2,</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4"/>
              <w:spacing w:after="0" w:line="137" w:lineRule="exact"/>
              <w:rPr>
                <w:sz w:val="20"/>
                <w:szCs w:val="20"/>
                <w:color w:val="auto"/>
              </w:rPr>
            </w:pPr>
            <w:r>
              <w:rPr>
                <w:rFonts w:ascii="Arial" w:cs="Arial" w:eastAsia="Arial" w:hAnsi="Arial"/>
                <w:sz w:val="14"/>
                <w:szCs w:val="14"/>
                <w:color w:val="auto"/>
                <w:w w:val="92"/>
              </w:rPr>
              <w:t>January 27,</w:t>
            </w: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7"/>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2020 (1)</w:t>
            </w:r>
          </w:p>
        </w:tc>
        <w:tc>
          <w:tcPr>
            <w:tcW w:w="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2019 (1)</w:t>
            </w:r>
          </w:p>
        </w:tc>
        <w:tc>
          <w:tcPr>
            <w:tcW w:w="3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CFF0FC"/>
            </w:tcBorders>
          </w:tcPr>
          <w:p>
            <w:pPr>
              <w:spacing w:after="0"/>
              <w:rPr>
                <w:sz w:val="14"/>
                <w:szCs w:val="14"/>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11,759</w:t>
            </w:r>
          </w:p>
        </w:tc>
        <w:tc>
          <w:tcPr>
            <w:tcW w:w="3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3,435</w:t>
            </w: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Gross profit margin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29.2%</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(830)bp</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SG&amp;A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3,690</w:t>
            </w: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(1,068)</w:t>
            </w:r>
          </w:p>
        </w:tc>
        <w:tc>
          <w:tcPr>
            <w:tcW w:w="1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(254)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320.5%</w:t>
            </w: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710bp</w:t>
            </w:r>
          </w:p>
        </w:tc>
      </w:tr>
    </w:tbl>
    <w:p>
      <w:pPr>
        <w:spacing w:after="0" w:line="229" w:lineRule="exact"/>
        <w:rPr>
          <w:sz w:val="20"/>
          <w:szCs w:val="20"/>
          <w:color w:val="auto"/>
        </w:rPr>
      </w:pPr>
    </w:p>
    <w:p>
      <w:pPr>
        <w:ind w:left="480" w:hanging="472"/>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first nine months of fiscal 2020 included 40 weeks, whereas the first nine months of fiscal 2019 included only 32 weeks as a result of the June 22, 2018, investment in eLuxury.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 Gross Profit, and Operating (Loss) Income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segment, which includes our June 2018 majority investment in eLuxury, represents our e-commerce and finished products business offering bedding accessories and home goods. The combined platform for this new segment supports sales of finished products to both consumers and businesses through global e-commerce and business-to-business sales channels.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home accessories segment, net sales for the third quarter of fiscal 2020 were $3.9 million, compared with $4.4 million for the prior year period. For this segment, the first nine months of fiscal 2020 had 40 weeks, compared to 32 weeks for the first nine months of fiscal 2019, as a result of the June 22, 2018, investment in eLuxury. Net sales for this segment for the first nine months of fiscal 2020 were $11.5 million, compared with $11.8 million for the 32-week period of fiscal 2019.</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decline in net sales for our home accessories segment reflects reduced demand for our bedding products on Amazon, a principal sales channel for this segment’s legacy e-commerce business. As noted in recent press reports, the Amazon marketplace and many of its trusted third-party sellers, including eLuxury, have been negatively affected by new sellers operating outside of Amazon’s normal terms of service.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operating loss for our home accessories segment for the third quarter of fiscal 2020, excluding the non-cash impairment charge associated with this segment, showed meaningful sequential improvement as compared to the first and second quarters of fiscal 2020. The results for the third quarter, as well as the first nine months of fiscal 2020, reflect the decline in sales noted above. Our SG&amp;A expenses declined 23.1% for the third quarter as a result of our strategic initiative to reduce marketing fees and promotional expenses and focus on improving margins. SG&amp;A expenses increased slightly for the first nine months of fiscal 2020 due to an extra eight weeks in this period as compared to the prior-year period, offset by the reduction in SG&amp;A expenses in the second and third quarters of fiscal 2020.</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ASC Topic 350, we assess goodwill and other indefinite-lived intangible assets for impairment at the end of each fiscal year or between annual tests if events or changes in circumstances indicate the carrying value of the asset may not be recovered. As a result of slower than expected growth on new e-commerce and business-to-business sales channels for this segment, and changes in future growth assumptions based on current economic conditions in the e-commerce space, management determined that impairment indicators existed for the third quarter of fiscal 2020. Accordingly, this determination required an interim assessment of the goodwill and other intangible assets for the home accessories segment. Based on this assessment, the company recorded a non-cash impairment charge of $11.2 million for goodwill and $2.4 million for certain indefinite-lived assets (trademarks and tradenames) associated with the home accessories segment. In accordance with ASC Topic 350, management will continue to assess whether impairment indicators exist each quarter, which could result in possible additional future write-downs in accordance with our policy.</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strategic focus for the segment is to develop innovative bedding products and other home accessory items through our global manufacturing platform in coordination with all of Culp’s other divisions. We have worked hard to refine our strategy and drive improved results for this business. While it is taking longer than we expected to reach our initial projections, we are encouraged by recent opportunities with new online marketplaces and business-to-business sales channels. We also remain dedicated to improving our performance on Amazon, a principal sales channel for our legacy e-commerce business, despite the challenging sales environment created primarily as a result of many new sellers operating on this platform in violation of Amazon’s normal terms of services. In tandem with these strategies, we are continuing to develop new products featuring Culp mattress fabrics and upholstery fabrics that we plan to market through this new sales channel.</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expectations for the fourth quarter and beyond assume the coronavirus outbreak does not have a greater than anticipated impact on the operations of our home accessories segment. We are not currently experiencing any significant delays or disruption as a result of the virus, and we also have alternative locations for production and sourcing, as needed. However, the potential impact of the coronavirus is difficult to estimate, and if conditions relating to the outbreak worsen, the impact on our employees, suppliers, distribution channels, consumers, and the global economy could adversely affect our operations and financial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eLuxury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June 22, 2018, we entered into an Equity Purchase Agreement (Equity Agreement) pursuant to which we acquired an 80% ownership interest in eLuxury, a company that offers bedding accessories and home goods directly to consumers. eLuxury’s primary products include a line of mattress pads manufactured at eLuxury’s facility located in Evansville, Indiana. eLuxury also offers handmade platform beds, cotton bed sheets, and other bedding items sourced from other suppliers. Its products are available on eLuxury’s own branded website, </w:t>
      </w:r>
      <w:r>
        <w:rPr>
          <w:rFonts w:ascii="Arial" w:cs="Arial" w:eastAsia="Arial" w:hAnsi="Arial"/>
          <w:sz w:val="18"/>
          <w:szCs w:val="18"/>
          <w:u w:val="single" w:color="auto"/>
          <w:color w:val="auto"/>
        </w:rPr>
        <w:t>eLuxury.com</w:t>
      </w:r>
      <w:r>
        <w:rPr>
          <w:rFonts w:ascii="Arial" w:cs="Arial" w:eastAsia="Arial" w:hAnsi="Arial"/>
          <w:sz w:val="18"/>
          <w:szCs w:val="18"/>
          <w:color w:val="auto"/>
        </w:rPr>
        <w:t>, as well as Amazon and other leading online retailers for specialty home goods.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acquisition brought together eLuxury’s experience in e-commerce, online brand building, and direct-to-consumer shopping and fulfillment expertise with our global production, sourcing, and distribution capabilities.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consideration given for the 80% ownership interest in eLuxury totaled $18.1 million, of which $12.5 million represented the estimated purchase price and $5.6 million represented the fair value for contingent consideration associated with an earn-out obligation (see below for further details). Of the $12.5 million estimated purchase price, $11.6 million was paid at closing on June 22, 2018, $185,000 was paid in August 2018, and $749,000 was paid in September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Acquired and Liabilities Assumed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final allocation of the acquisition cost to the assets acquired and liabilities assumed based on their fair values.</w:t>
      </w:r>
    </w:p>
    <w:p>
      <w:pPr>
        <w:spacing w:after="0" w:line="273"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Fair Value</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Tradename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6,549</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and other current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(1,336)</w:t>
            </w: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Non-controlling interest in eLuxury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(4,532)</w:t>
            </w:r>
          </w:p>
        </w:tc>
      </w:tr>
      <w:tr>
        <w:trPr>
          <w:trHeight w:val="223"/>
        </w:trPr>
        <w:tc>
          <w:tcPr>
            <w:tcW w:w="5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18,130</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recorded the tradename at fair market value based on the relief from royalty method. This tradename was determined to have an indefinite useful life and, therefore, is not being amortized. Equipment will be depreciated on a straight-line basis over useful lives ranging from five to ten years.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goodwill related to this acquisition is attributable to eLuxury’s reputation with the products it offers and management’s experience in e-commerce, online brand building, and direct-to-consumer shopping and fulfillment expertise. Goodwill is deductible for income tax purposes over the statutory period of fifteen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Consideration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mentioned above, the Equity Agreement contains a contingent consideration arrangement that requires us to pay the seller, who is also the owner of the noncontrolling interest, an earn-out payment based on a multiple of adjusted EBITDA, as defined in the Equity Agreement, for the twelve-month period ending August 31, 2021, less $12.0 million. We recorded a contingent liability at the acquisition date for this earn-out obligation at its fair value totaling $5.6 million based on the Black Scholes pricing model.</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required to assess the fair value of this earn-out obligation each quarterly reporting period. Based on management’s assessment as of February 2, 2020, we determined it was necessary to adjust forecasted EBITDA as it relates to this earn-out obligation. This determination was based on the future outlook of our home accessories segment and its slower than expected business improvement, as well as updated assumptions on economic conditions in the e-commerce space, combined with the upcoming time frame for determining the amount associated with this contingent consideration arrangement. As a result of these factors, we recorded a reversal of $6.1 million for the full amount of our earn-out obligation during the third quarter of fiscal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Equity Agreement contains substantive profit-sharing arrangement provisions which explicitly state the ownership interests at the effective date of this business combination and the allocation of net income or loss between the company, as the controlling interest holder, and the noncontrolling interest holder. The Equity Agreement states that at the effective date of this acquisition (June 22, 2018), we acquired an 80% ownership interest in eLuxury, with the seller retaining a 20% noncontrolling interest. Additionally, the Equity Agreement states that eLuxury’s net income or loss, future capital contributions, and equity distributions will be allocated at a percentage of 70% and 30% to the company and the noncontrolling interest holder,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Based on the terms of the Equity Agreement, we believe the related risks associated with the ownership interests are aligned and therefore, the total consideration of $18.1 million for the 80% controlling interest provides information for the equity value of eLuxury as a whole, and is useful in estimating the fair value of the 20% noncontrolling interest. In order to determine the carrying value of the noncontrolling interest in eLuxury, we applied the Hypothetical-Liquidation-At-Book-Value method (HLBV). HLBV is an approach that is used in practice to determine the carrying value of a noncontrolling interest if it is consistent with an existing profit-sharing arrangement such as the Equity Agreement. Therefore, the carrying amount of the noncontrolling interest of $253,000 at February 2, 2020, mostly represents its $4.6 million fair value determined at the acquisition date, minus its allocation of net losses which includes a charge for asset impairments of $4.1 million incurred during the third quarter of fiscal 2020, slightly offset by capital contributions totaling $360,000.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 costs totaling $270,000 were included in selling, general, and administrative expenses in our Consolidated Statement of Net Income for the nine-month period ending January 27,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accounts receivable, inventory, property, plant, and equipment, and right of use assets.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color w:val="auto"/>
                <w:w w:val="97"/>
              </w:rPr>
              <w:t>February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15"/>
              <w:spacing w:after="0"/>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April 28,</w:t>
            </w:r>
          </w:p>
        </w:tc>
      </w:tr>
      <w:tr>
        <w:trPr>
          <w:trHeight w:val="167"/>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3,296</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Right of use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5,585</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located in the notes to the consolidated financial statements for disclosures regarding determination of our segment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2020, accounts receivable did not vary by a material amount from levels at January 27, 2019, and April 28,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2020, inventory did not vary by a material amount from levels at January 27, 2019 and April 28,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&amp; Equipment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$1.7 million at February 2, 2020, $2.0 million at January 27, 2019, and $1.9 million at April 28, 2019, represent property, plant, and equipment located in the 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As of February 2, 2020, our right of use assets balance mostly reflects the adoption of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See notes 2 and 19 located in the notes to the consolidated financial statements for further details. The $949,000 represents right of use assets located in the 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Statement Categories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7"/>
              <w:spacing w:after="0" w:line="137" w:lineRule="exact"/>
              <w:rPr>
                <w:sz w:val="20"/>
                <w:szCs w:val="20"/>
                <w:color w:val="auto"/>
              </w:rPr>
            </w:pPr>
            <w:r>
              <w:rPr>
                <w:rFonts w:ascii="Arial" w:cs="Arial" w:eastAsia="Arial" w:hAnsi="Arial"/>
                <w:sz w:val="14"/>
                <w:szCs w:val="14"/>
                <w:color w:val="auto"/>
                <w:w w:val="97"/>
              </w:rPr>
              <w:t>February 2,</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5"/>
              <w:spacing w:after="0" w:line="137" w:lineRule="exact"/>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80" w:type="dxa"/>
            <w:vAlign w:val="bottom"/>
            <w:gridSpan w:val="2"/>
          </w:tcPr>
          <w:p>
            <w:pPr>
              <w:ind w:left="1140"/>
              <w:spacing w:after="0"/>
              <w:rPr>
                <w:sz w:val="20"/>
                <w:szCs w:val="20"/>
                <w:color w:val="auto"/>
              </w:rPr>
            </w:pPr>
            <w:r>
              <w:rPr>
                <w:rFonts w:ascii="Arial" w:cs="Arial" w:eastAsia="Arial" w:hAnsi="Arial"/>
                <w:sz w:val="14"/>
                <w:szCs w:val="14"/>
                <w:i w:val="1"/>
                <w:iCs w:val="1"/>
                <w:color w:val="auto"/>
              </w:rPr>
              <w:t>(dollars in thousands)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rPr>
              <w:t>% 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SG&amp;A expenses</w:t>
            </w:r>
          </w:p>
        </w:tc>
        <w:tc>
          <w:tcPr>
            <w:tcW w:w="82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9,952</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10,038</w:t>
            </w:r>
          </w:p>
        </w:tc>
        <w:tc>
          <w:tcPr>
            <w:tcW w:w="22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Reversal of contingent consideration - earn-out obligation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60" w:type="dxa"/>
            <w:vAlign w:val="bottom"/>
            <w:gridSpan w:val="3"/>
          </w:tcPr>
          <w:p>
            <w:pPr>
              <w:jc w:val="right"/>
              <w:ind w:right="587"/>
              <w:spacing w:after="0"/>
              <w:rPr>
                <w:sz w:val="20"/>
                <w:szCs w:val="20"/>
                <w:color w:val="auto"/>
              </w:rPr>
            </w:pPr>
            <w:r>
              <w:rPr>
                <w:rFonts w:ascii="Arial" w:cs="Arial" w:eastAsia="Arial" w:hAnsi="Arial"/>
                <w:sz w:val="18"/>
                <w:szCs w:val="18"/>
                <w:color w:val="auto"/>
              </w:rPr>
              <w:t>I-41</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color w:val="auto"/>
              </w:rPr>
              <w:t>Nine Months Ended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37"/>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7"/>
              <w:spacing w:after="0" w:line="137" w:lineRule="exact"/>
              <w:rPr>
                <w:sz w:val="20"/>
                <w:szCs w:val="20"/>
                <w:color w:val="auto"/>
              </w:rPr>
            </w:pPr>
            <w:r>
              <w:rPr>
                <w:rFonts w:ascii="Arial" w:cs="Arial" w:eastAsia="Arial" w:hAnsi="Arial"/>
                <w:sz w:val="14"/>
                <w:szCs w:val="14"/>
                <w:color w:val="auto"/>
                <w:w w:val="97"/>
              </w:rPr>
              <w:t>February 2,</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5"/>
              <w:spacing w:after="0" w:line="137" w:lineRule="exact"/>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7"/>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CFF0FC"/>
            </w:tcBorders>
          </w:tcPr>
          <w:p>
            <w:pPr>
              <w:spacing w:after="0"/>
              <w:rPr>
                <w:sz w:val="14"/>
                <w:szCs w:val="14"/>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SG&amp;A expenses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Reversal of contingent consideration - earn-out obligation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(35.9)%</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selling, general, and administrative expenses during the first nine months of fiscal 2020, compared with the same period a year ago, is mostly due to the following:</w:t>
      </w:r>
    </w:p>
    <w:p>
      <w:pPr>
        <w:spacing w:after="0" w:line="62" w:lineRule="exact"/>
        <w:rPr>
          <w:sz w:val="20"/>
          <w:szCs w:val="20"/>
          <w:color w:val="auto"/>
        </w:rPr>
      </w:pPr>
    </w:p>
    <w:p>
      <w:pPr>
        <w:jc w:val="both"/>
        <w:ind w:left="480" w:hanging="472"/>
        <w:spacing w:after="0" w:line="257"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Stock-based compensation expense was $831,000 during the first nine months of fiscal 2020, compared with $373,000 for the same period a year ago. This decrease in stock-based compensation expense during fiscal 2019 reflected change in estimate adjustments that were based on our assessment of the probability of whether certain pre-established targets would be met, and in turn, determine the number of performance-based restricted stock units expected to vest for awards outstanding. The change in estimate adjustments reflected our decrease in profitability during fiscal 2019 stemming from the rapid growth of low-priced mattress imports from China.</w:t>
      </w:r>
    </w:p>
    <w:p>
      <w:pPr>
        <w:spacing w:after="0" w:line="79" w:lineRule="exact"/>
        <w:rPr>
          <w:rFonts w:ascii="Arial" w:cs="Arial" w:eastAsia="Arial" w:hAnsi="Arial"/>
          <w:sz w:val="18"/>
          <w:szCs w:val="18"/>
          <w:color w:val="auto"/>
        </w:rPr>
      </w:pPr>
    </w:p>
    <w:p>
      <w:pPr>
        <w:ind w:left="480" w:right="20" w:hanging="472"/>
        <w:spacing w:after="0" w:line="277"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selling expenses associated with our CLASS mattress cover operation that mostly reflect an increase in net sales that occurred during fiscal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reflects our historically low amount of borrowings outstanding. At February 2, 2020, our borrowings totaled $925,000 and related to our subordinated loan payable between eLuxury and the owner of its non-controlling interest.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interest income reflects our current investment of excess cash held in U.S. money market funds, bond mutual funds, and investment grade U.S. corporate, foreign, and government bonds.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decrease in other expense for the third quarter and the first nine months of fiscal 2020, compared with the same periods a year ago, is primarily due to more favorable foreign currency exchange rates associated with our China operations that were experienced during fiscal 2020 compared with fiscal 2019. Additionally, the decrease in other expense for the first nine months of fiscal 2020, compared with the same period a year ago, is also due to the realized loss of $94,000 from the sale of short-term investments (available-for-sale) that occurred during the first quarter of fiscal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Income Tax Rate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income tax expense of $2.6 million, or 142.8% of income before income taxes, for the nine-month period ended February 2, 2020, compared with income tax expense of $3.4 million, or 32.5% of income before income taxes, for the nine-month period ended January 27, 2019. Our effective income tax rates for the nine-month periods ended February 2, 2020, and January 27, 2019, respectively, were based upon the estimated effective income tax rate applicable for the full year after giving effect to any significant items related specifically to interim periods. The effective income tax rate can be affected over the fiscal year by the mix and timing of actual earnings from our U.S. operations and foreign subsidiaries located in China and Canada versus annual projections, as well as changes in foreign currency exchange rates in relation to the U.S. dollar.</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schedule summarizes the principal differences between income tax expense at the U.S. federal income tax rate and the effective income tax rate reflected in the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U.S. federal income tax rate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Global Intangible Low Taxed Income Tax (GILTI)</w:t>
            </w:r>
          </w:p>
        </w:tc>
        <w:tc>
          <w:tcPr>
            <w:tcW w:w="1060" w:type="dxa"/>
            <w:vAlign w:val="bottom"/>
          </w:tcPr>
          <w:p>
            <w:pPr>
              <w:jc w:val="right"/>
              <w:spacing w:after="0"/>
              <w:rPr>
                <w:sz w:val="20"/>
                <w:szCs w:val="20"/>
                <w:color w:val="auto"/>
              </w:rPr>
            </w:pPr>
            <w:r>
              <w:rPr>
                <w:rFonts w:ascii="Arial" w:cs="Arial" w:eastAsia="Arial" w:hAnsi="Arial"/>
                <w:sz w:val="18"/>
                <w:szCs w:val="18"/>
                <w:color w:val="auto"/>
              </w:rPr>
              <w:t>58.2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Foreign income tax rate differential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9"/>
                <w:szCs w:val="19"/>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Non-controlling interest income attributable to a consolidated</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partnership</w:t>
            </w: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Tax effects of Chinese foreign exchange gains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Change in estimate of U.S. valuation allowance</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Tax effects of the 2017 Tax Cuts and Jobs Act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2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142.8%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r>
      <w:tr>
        <w:trPr>
          <w:trHeight w:val="20"/>
        </w:trPr>
        <w:tc>
          <w:tcPr>
            <w:tcW w:w="5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our effective income tax rate reflects the significant decline in our projected annual consolidated taxable income, particularly in the U.S., and the mix of our consolidated taxable income that is earned by our foreign corporations located in China and Canada that have higher income tax rates in relation to the U.S. This current mix of taxable income has led to a significant increase in our effective income tax rate that is associated with our Global Intangible Low Tax Income (GILTI) tax, which represents a U.S. income tax on foreign earnings. Additionally, our effective income tax rate significantly increased due to the income tax effects of our asset impairments associated with our home accessories segment incurred during the third quarter that were attributable to our non-controlling interest.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Treasury Department and Internal Revenue Service have issued newly proposed regulations that, if enacted, and if enacted as proposed, could provide us with some relief from the GILTI Tax under the proposed GILTI High-Tax exception, subject to the timing of enactment. Additionally, if the U.S. Treasury Department and Internal Revenue Service decide that the GILTI High-Tax exception election will apply retroactively, this could provide us with additional relief beyond the currently proposed regulations. The proposed GILTI High-Tax exception election is not currently available, and any determination with respect to retroactivity will not be known, until the proposed regulations are finalized and effective. There is no guarantee that the proposed regulations will be enacted, or that there won’t be changes to the final regulations that would reduce or eliminate the relief we would otherwise benefit from under the proposed regulations.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taking into account the effects of local tax law.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17 located in the notes to the consolidated financial statements for disclosures regarding our assessments of our recorded valuation allowance as of February 2, 2020, January 27, 2019, and April 28,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Undistributed Earnings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ASC Topic 740, we assess whether the undistributed earnings from our foreign subsidiaries will be reinvested indefinitely or eventually distributed to our U.S. parent company. ASC Topic 740 requires that a deferred tax liability should be recorded for undistributed earnings from foreign subsidiaries that will not be reinvested indefinitely.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17 located in the notes to the consolidated financial statements for disclosures regarding our assessments of our recorded deferred income tax liability balances associated with undistributed earnings from our foreign subsidiaries as of February 2, 2020, January 27, 2019, and April 28,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Income Tax Positions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Topic 740, an unrecognized income tax benefit for an uncertain income tax position can be recognized in the first interim period if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benefits will be recorded at that time.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17 located in the notes to the consolidated financial statements for disclosures regarding our assessments of our uncertain income tax positions as of February 2, 2020, January 27, 2019, and April 28,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Paid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payments totaled $4.5 million during the first nine months of fiscal 2020 compared with $6.2 million during the same period a year ago. Our income tax payments were mostly associated with our foreign subsidiaries located in Canada and China. Income taxes incurred in the U.S. on a cash basis for fiscal 2020 are expected to be minimal due to the projected utilization of our U.S. Federal net operating loss carryforwards and immediate expensing of U.S. capital expenditures.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our sources of liquidity include cash and cash equivalents, short-term investments (available-for-sale), cash flow from operations, and amounts available under our revolving credit lines. These sources have been adequate for day-to-day operations, capital expenditures, debt payments, common stock repurchases, and dividend payments. We believe our present cash and cash equivalents and short-term investments (available-for-sale) totaling $29.5 million at February 2, 2020, cash flow from operations, and the current availability ($30.8 million at February 2, 2020) under our revolving credit lines are sufficient to fund our foreseeable business needs, contractual obligations, and potential acquisitions.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February 2, 2020, our cash and investments (which comprise cash and cash equivalents, short-term investments (available-for-sale), and short-term and long-term investments (held-to-maturity)) totaled $34.8 million, compared with $45.0 million at April 28, 2019. This decrease from the end of fiscal 2019 was primarily due to net cash used in operating activities totaling $519,000, $4.5 million returned to shareholders in the form of regular quarterly dividend payments and common stock share repurchases, $4.1 million for capital expenditures that were mostly associated with our mattress fabrics segment, and $1.5 million for additional purchase price payments on our recent acquisitions.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cash used in operating activities was $519,000 for the first nine months of fiscal 2020, compared with net cash provided by operating activities of $8.1 million for the same period a year ago. This decrease was due primarily to the timing of payments in advance of Chinese New Year shutdowns and higher than expected inventories.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February 2, 2020, our borrowings totaling $925,000 related to our subordinated loan payable between eLuxury and the owner of its non-controlling interest.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cash and cash equivalents and short-term investments (available-for-sale) balance may be adversely affected by factors beyond our control, such as lower net sales due to weakening industry demand and delays in receipt of payment on accounts receivable.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Geographic Area</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our cash and cash equivalents, short-term investments (available-for-sale), and short-term and long-term investments (held-to-maturity) by geographic area 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color w:val="auto"/>
                <w:w w:val="97"/>
              </w:rPr>
              <w:t>February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15"/>
              <w:spacing w:after="0"/>
              <w:rPr>
                <w:sz w:val="20"/>
                <w:szCs w:val="20"/>
                <w:color w:val="auto"/>
              </w:rPr>
            </w:pPr>
            <w:r>
              <w:rPr>
                <w:rFonts w:ascii="Arial" w:cs="Arial" w:eastAsia="Arial" w:hAnsi="Arial"/>
                <w:sz w:val="14"/>
                <w:szCs w:val="14"/>
                <w:color w:val="auto"/>
                <w:w w:val="95"/>
              </w:rPr>
              <w:t>January 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April 28,</w:t>
            </w:r>
          </w:p>
        </w:tc>
      </w:tr>
      <w:tr>
        <w:trPr>
          <w:trHeight w:val="167"/>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33,079</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9,670</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Cayman Islands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34,847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39,962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45,009</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and fourth quarters of fiscal 2019, we experienced a significant shift of cash and investments held in the Cayman Islands to the U.S. This trend was mostly due to our strategy of taking advantage of the 2017 Tax Cuts and Jobs Act, which allows a U.S. corporation a 100% dividend received deduction on earnings and profits repatriated to the U.S. from foreign owned corporations.</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At October 28, 2018 (the end of our second quarter of fiscal 2019), we had cash and investments totaling $26.7 million that mostly pertained to investment grade U.S. corporate bonds that were held in the Cayman Islands. As our U.S. corporate bonds matured, we repatriated almost all our earnings and profits residing in the Cayman Islands to our U.S parent company. As of the end of our first quarter of fiscal 2020, all our U.S. corporate bonds that resided in the Cayman Islands have matured and all the corresponding sales proceeds have been repatriated to the U.S. parent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5, 2019, we announced that our board of directors approved an authorization for us to acquire up to $5.0 million of our common stock. During the nine-month period ending February 2, 2020, we purchased 55,750 shares of our common stock at a cost of $728,000 pursuant to this authorization, all of which were purchased during the third quarter. As a result, at February 2, 2020, we had $4.3 million available for future repurchases of our common stock associated with the $5.0 million repurchase program approved by our board of directors on September 5,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March 4, 2020, we announced that our board of directors approved an authorization to acquire up to $5.0 million of our common stock.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common stock repurchase program, shares may be purchased from time to time in open market transactions, block trades, through plans established under the Securities Exchange Act Rule 10b5-1, or otherwise. The number of shares that can be purchased and the timing of such purchases will be based on working capital requirements, market and general business conditions, and other factors, including alternative investment opportunities.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nine-month period ended January 27, 2019, we purchased 160,423 shares of common stock at a cost of $3.3 million. The 160,423 shares were purchased pursuant to a prior authorization approved by our board of directors on June 15, 2016.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Program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2020, we announced that our board of directors approved a quarterly cash dividend of $0.105 per share that will be paid on April 15, 2020, to shareholders of record as of April 7,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nine-month period ended February 2, 2020, dividend payments totaled $3.8 million, which represented quarterly dividend payments of $0.10 per share to $0.105 per share. During the nine-month period ended January 27, 2019, dividend payments totaled $3.5 million, which represented quarterly dividend payments of $0.09 per share to $0.10 per share.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Future dividend payments are subject to board approval and may be adjusted at the board’s discretion as business needs or market conditions change.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Working Capital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working capital (accounts receivable and inventories, less accounts payable-trade, accounts payable-capital expenditures, and deferred revenue) was $61.8 million at February 2, 2020, compared with $52.6 million at January 27, 2019. Operating working capital turnover was 5.4 during the third quarter of fiscal 2020 compared with 6.0 during the third quarter of fiscal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 2020, accounts receivable totaled $26.6 million, compared with $26.1 million at January 27, 2019. Although our net sales declined 6.8% during our third quarter of fiscal 2020 compared with the third quarter of fiscal 2019, we experienced a slight increase in accounts receivable. This increase resulted from a change in discount credit terms with key customers and fewer customers taking advantage of discounts that were associated with our mattress fabrics segment during fiscal 2020 as compared with fiscal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Days’ sales outstanding were 33 days during the third quarter of fiscal 2020 compared with 30 days during the third quarter of fiscal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as of February 2, 2020, totaling $57.6 million, increased $2.2 million, or 3.9%, compared with inventories totaling $55.4 million at January 27, 2019. This increase is mostly due to inventory purchases associated with our mattress fabrics segment that were in excess of actual demand trends, which were lower than anticipated, partially offset by a reduction in inventory associated with our upholstery fabrics segment reflecting a 5.7% decrease in the net sales for this segment during the third quarter of fiscal 2020 compared with the third quarter of fiscal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Inventory turns were 4.1 during the third quarter of fiscal 2020 compared with 4.6 for the third quarter of fiscal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payable - trade as of February 2, 2020, totaling $21.8 million, decreased $6.6 million, or 23.1%, compared with $28.4 million at January 27, 2019. The decrease in accounts payable is mostly due to the timing of payments in advance of Chinese New Year shutdowns.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Financing Arrangements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revolving credit agreements require us to maintain compliance with certain financial covenants as defined in the respective agreements. At February 2, 2020, we were in compliance with all our financial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February 2, 2020, we had borrowings totaling $925,000 related to our subordinated loan payable between eLuxury and its minority owner.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located in the notes to the consolidated financial statements for further details of our revolving credit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and Depreciation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Capital expenditures on a cash basis were $4.1 million for the nine-month period ending February 2, 2020, compared with $4.4 million (of which $1.4 million were vendor-financed) for the same period a year ago. Capital expenditures mostly related to our mattress fabrics segment for both periods.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$5.9 million for the nine-month period ending February 2, 2020, compared with $6.1 million for the same period a year ago.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mostly related to our mattress fabrics segment for both periods.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2020, we are projecting cash capital expenditures to be in the range of $6.0 million to $6.5 million. Depreciation expense is projected to be approximately $8.0 million in fiscal 2020. The estimated capital expenditures and depreciation expense for fiscal 2020 mostly relate to the mattress fabrics segment. These are management’s current expectations only, and changes in our business could cause changes in plans for capital expenditures and expectations related to depreciation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 Capital Expenditures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February 2, 2020, we had total amounts due regarding capital expenditures totaling $177,000, pertaining to outstanding vendor invoices, none of which were financed. The total amount outstanding of $177,000 is required to be paid based on normal credit terms.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 – 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February 2, 2020, we had open purchase commitments to acquire equipment for our mattress fabrics segment totaling $2.3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Recent Accounting Developments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February 2, 2020, there were no changes in our significant accounting policies or the application of those policies from those reported in our annual report on Form 10-K for the year ended April 28,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notes 2 and 19 located in the notes to the consolidated financial statements for recently adopted and issued accounting pronouncements since the filing of our Form 10-K for the year ended April 28,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 2020, there were no significant or new contractual obligations from those reported in our annual report on Form 10-K for the year ended April 28,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Inflation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278" w:lineRule="exact"/>
        <w:rPr>
          <w:sz w:val="20"/>
          <w:szCs w:val="20"/>
          <w:color w:val="auto"/>
        </w:rPr>
      </w:pPr>
    </w:p>
    <w:p>
      <w:pPr>
        <w:ind w:right="4140"/>
        <w:spacing w:after="0" w:line="440" w:lineRule="auto"/>
        <w:rPr>
          <w:sz w:val="20"/>
          <w:szCs w:val="20"/>
          <w:color w:val="auto"/>
        </w:rPr>
      </w:pPr>
      <w:r>
        <w:rPr>
          <w:rFonts w:ascii="Arial" w:cs="Arial" w:eastAsia="Arial" w:hAnsi="Arial"/>
          <w:sz w:val="17"/>
          <w:szCs w:val="17"/>
          <w:u w:val="single" w:color="auto"/>
          <w:color w:val="auto"/>
        </w:rPr>
        <w:t xml:space="preserve">ITEM 3. QUANTITATIVE AND QUALITATIVE DISCLOSURES ABOUT MARKET RISK </w:t>
      </w:r>
      <w:r>
        <w:rPr>
          <w:rFonts w:ascii="Arial" w:cs="Arial" w:eastAsia="Arial" w:hAnsi="Arial"/>
          <w:sz w:val="17"/>
          <w:szCs w:val="17"/>
          <w:color w:val="auto"/>
        </w:rPr>
        <w:t>We are exposed to market risk from changes in interest rates on our revolving credit lines.</w:t>
      </w:r>
    </w:p>
    <w:p>
      <w:pPr>
        <w:spacing w:after="0" w:line="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February 2, 2020, our U.S. revolving credit agreement and subordinated loan payable requires interest to be charged at a rate as a variable spread over LIBOR based on our ratio of debt to EBITDA as defined in the agreements. Our revolving credit line associated with our China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subsidiary bears interest at a rate determined by the Chinese government. There were no borrowings outstanding under our revolving credit lines at February 2, 2020. At February 2, 2020, we had outstanding borrowings of $925,000 associated with our subordinated loan payable between eLuxury and its minority owner.</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although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at February 2, 2020, would not have had a significant impact on our results of operations or financial position.</w:t>
      </w:r>
    </w:p>
    <w:p>
      <w:pPr>
        <w:spacing w:after="0" w:line="2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CONTROLS AND PROCEDURES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conducted an evaluation of the effectiveness of our disclosure controls and procedures as of February 2, 2020, the end of the period covered by this report. This evaluation was conducted under the supervision and with the participation of management, including our Executive Chairman, Chief Executive Officer, and Chief Financial Officer. Based upon that evaluation, we have concluded that these disclosure controls and procedures are effective to ensure that information required to be disclosed in the reports filed by us and submitted under the Securities Exchange Act of 1934, as amended (the “Exchange Act”) is recorded, processed, summarized, and reported as and when required. Further, we concluded that our disclosure controls and procedures are effective to ensure that information required to be disclosed in reports filed by us under the Exchange Act is accumulated and communicated to management, including our Executive Chairman, Chief Executive Officer, and Chief Financial Officer, in a manner to allow timely decisions regarding the required disclosures.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quarter ended February 2,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have not been any material changes to our legal proceedings during the three months ended February 2, 2020. Our legal proceedings are disclosed in the company’s annual report on Form 10-K filed with the Securities and Exchange Commission on July 12, 2019 for the fiscal year ended April 28, 2019.</w:t>
      </w:r>
    </w:p>
    <w:p>
      <w:pPr>
        <w:spacing w:after="0" w:line="2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detailed discussion of our risk factors is included in Item 1A “Risk Factors” of our Annual Report on Form 10-K filed July 12, 2019 for the year ended April 28, 2019. The information presented below updates and should be read in conjunction with the risk factors and information disclosed in that Form 10-K.</w:t>
      </w:r>
    </w:p>
    <w:p>
      <w:pPr>
        <w:spacing w:after="0" w:line="39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business, financial condition, and results of operation may be adversely affected by global public health epidemics, including the recent coronavirus outbreak.</w:t>
      </w:r>
    </w:p>
    <w:p>
      <w:pPr>
        <w:spacing w:after="0" w:line="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business, financial condition, and results of operations may be adversely affected if a global public health epidemic, including the recent coronavirus outbreak in China and beyond, interferes with the ability of our employees, suppliers, distribution channels, or customers to conduct business or negatively affects consumer confidence or the global economy. In December 2019, a novel strain of coronavirus was reported to have surfaced in Wuhan, China. In January 2020, the coronavirus spread to other countries, including the United States, and efforts to contain the spread of coronavirus intensified. The outbreak and any preventative or protective actions that governments or our company may take with respect to the coronavirus may have a material adverse effect on our business or our suppliers, distribution channels, and customers, including business shutdowns or disruptions for an indefinite period of time, reduced operations, restrictions on shipping products in certain jurisdictions where they are sold, or reduced consumer demand. Any resulting financial impact cannot be estimated reasonably at this time, but may materially affect our business, financial condition, or results of operation. The extent to which the coronavirus affects our results will depend on future developments, which are highly uncertain and cannot be predicted, including new information which may emerge concerning the severity of the coronavirus and the actions to contain the outbreak or treat its impact, among others.</w:t>
      </w:r>
    </w:p>
    <w:p>
      <w:pPr>
        <w:spacing w:after="0" w:line="27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(c)</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(d)</w:t>
            </w: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Number of</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Approximate</w:t>
            </w: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Dollar Value</w:t>
            </w: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Purchased</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of Shares that</w:t>
            </w: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(a)</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as Part of</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May Yet Be</w:t>
            </w: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Total</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(b)</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Publicly</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Purchased</w:t>
            </w: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Number</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Announced</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Under the</w:t>
            </w: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of Shares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Price Paid</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Plans</w:t>
            </w: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Plans or</w:t>
            </w:r>
          </w:p>
        </w:tc>
      </w:tr>
      <w:tr>
        <w:trPr>
          <w:trHeight w:val="167"/>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Purchased</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per Share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or Programs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Programs (1)</w:t>
            </w: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4, 2019 to December 8, 2019</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gridSpan w:val="2"/>
          </w:tcPr>
          <w:p>
            <w:pPr>
              <w:spacing w:after="0"/>
              <w:rPr>
                <w:sz w:val="20"/>
                <w:szCs w:val="20"/>
                <w:color w:val="auto"/>
              </w:rPr>
            </w:pPr>
            <w:r>
              <w:rPr>
                <w:rFonts w:ascii="Arial" w:cs="Arial" w:eastAsia="Arial" w:hAnsi="Arial"/>
                <w:sz w:val="18"/>
                <w:szCs w:val="18"/>
                <w:color w:val="auto"/>
              </w:rPr>
              <w:t>December 9, 2019 to January 5, 2020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9"/>
                <w:szCs w:val="19"/>
                <w:color w:val="auto"/>
              </w:rPr>
            </w:pPr>
          </w:p>
        </w:tc>
      </w:tr>
      <w:tr>
        <w:trPr>
          <w:trHeight w:val="230"/>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6, 2020 to February 2,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55,750</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4,272,222</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4,272,222</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480" w:right="40" w:hanging="472"/>
        <w:spacing w:after="0" w:line="286"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September 5, 2019, we announced that our board of directors approved an authorization for us to acquire up to $5.0 million of common stock. At February 2, 2020, the $4.3 million available for repurchases of our common stock was associated with such repurchase program. On March 4, 2020, we announced that our board of directors approved an authorization for us to acquire up to $5.0 million of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exhibits are submitted as part of this report.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7760" w:type="dxa"/>
            <w:vAlign w:val="bottom"/>
          </w:tcPr>
          <w:p>
            <w:pPr>
              <w:ind w:left="260"/>
              <w:spacing w:after="0"/>
              <w:rPr>
                <w:sz w:val="20"/>
                <w:szCs w:val="20"/>
                <w:color w:val="auto"/>
              </w:rPr>
            </w:pPr>
            <w:r>
              <w:rPr>
                <w:rFonts w:ascii="Arial" w:cs="Arial" w:eastAsia="Arial" w:hAnsi="Arial"/>
                <w:sz w:val="18"/>
                <w:szCs w:val="18"/>
                <w:color w:val="auto"/>
                <w:w w:val="92"/>
              </w:rPr>
              <w:t>Certification of Co-Principal Executive Officer Pursuant to Section 302 of Sarbanes-Oxley Act of 2002.</w:t>
            </w:r>
          </w:p>
        </w:tc>
      </w:tr>
      <w:tr>
        <w:trPr>
          <w:trHeight w:val="338"/>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7760" w:type="dxa"/>
            <w:vAlign w:val="bottom"/>
          </w:tcPr>
          <w:p>
            <w:pPr>
              <w:ind w:left="260"/>
              <w:spacing w:after="0"/>
              <w:rPr>
                <w:sz w:val="20"/>
                <w:szCs w:val="20"/>
                <w:color w:val="auto"/>
              </w:rPr>
            </w:pPr>
            <w:r>
              <w:rPr>
                <w:rFonts w:ascii="Arial" w:cs="Arial" w:eastAsia="Arial" w:hAnsi="Arial"/>
                <w:sz w:val="18"/>
                <w:szCs w:val="18"/>
                <w:color w:val="auto"/>
                <w:w w:val="92"/>
              </w:rPr>
              <w:t>Certification of Co-Principal Executive Officer Pursuant to Section 302 of Sarbanes-Oxley Act of 2002.</w:t>
            </w:r>
          </w:p>
        </w:tc>
      </w:tr>
      <w:tr>
        <w:trPr>
          <w:trHeight w:val="324"/>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31.3</w:t>
            </w:r>
          </w:p>
        </w:tc>
        <w:tc>
          <w:tcPr>
            <w:tcW w:w="7760" w:type="dxa"/>
            <w:vAlign w:val="bottom"/>
          </w:tcPr>
          <w:p>
            <w:pPr>
              <w:ind w:left="260"/>
              <w:spacing w:after="0"/>
              <w:rPr>
                <w:sz w:val="20"/>
                <w:szCs w:val="20"/>
                <w:color w:val="auto"/>
              </w:rPr>
            </w:pPr>
            <w:r>
              <w:rPr>
                <w:rFonts w:ascii="Arial" w:cs="Arial" w:eastAsia="Arial" w:hAnsi="Arial"/>
                <w:sz w:val="18"/>
                <w:szCs w:val="18"/>
                <w:color w:val="auto"/>
                <w:w w:val="96"/>
              </w:rPr>
              <w:t>Certification of Principal Financial Officer Pursuant to Section 302 of Sarbanes-Oxley Act of 2002.</w:t>
            </w:r>
          </w:p>
        </w:tc>
      </w:tr>
      <w:tr>
        <w:trPr>
          <w:trHeight w:val="338"/>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7760" w:type="dxa"/>
            <w:vAlign w:val="bottom"/>
          </w:tcPr>
          <w:p>
            <w:pPr>
              <w:ind w:left="260"/>
              <w:spacing w:after="0"/>
              <w:rPr>
                <w:sz w:val="20"/>
                <w:szCs w:val="20"/>
                <w:color w:val="auto"/>
              </w:rPr>
            </w:pPr>
            <w:r>
              <w:rPr>
                <w:rFonts w:ascii="Arial" w:cs="Arial" w:eastAsia="Arial" w:hAnsi="Arial"/>
                <w:sz w:val="18"/>
                <w:szCs w:val="18"/>
                <w:color w:val="auto"/>
                <w:w w:val="92"/>
              </w:rPr>
              <w:t>Certification of Co-Principal Executive Officer Pursuant to Section 906 of Sarbanes-Oxley Act of 2002.</w:t>
            </w:r>
          </w:p>
        </w:tc>
      </w:tr>
      <w:tr>
        <w:trPr>
          <w:trHeight w:val="338"/>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7760" w:type="dxa"/>
            <w:vAlign w:val="bottom"/>
          </w:tcPr>
          <w:p>
            <w:pPr>
              <w:ind w:left="260"/>
              <w:spacing w:after="0"/>
              <w:rPr>
                <w:sz w:val="20"/>
                <w:szCs w:val="20"/>
                <w:color w:val="auto"/>
              </w:rPr>
            </w:pPr>
            <w:r>
              <w:rPr>
                <w:rFonts w:ascii="Arial" w:cs="Arial" w:eastAsia="Arial" w:hAnsi="Arial"/>
                <w:sz w:val="18"/>
                <w:szCs w:val="18"/>
                <w:color w:val="auto"/>
                <w:w w:val="92"/>
              </w:rPr>
              <w:t>Certification of Co-Principal Executive Officer Pursuant to Section 906 of Sarbanes-Oxley Act of 2002.</w:t>
            </w:r>
          </w:p>
        </w:tc>
      </w:tr>
      <w:tr>
        <w:trPr>
          <w:trHeight w:val="311"/>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32.3</w:t>
            </w:r>
          </w:p>
        </w:tc>
        <w:tc>
          <w:tcPr>
            <w:tcW w:w="7760" w:type="dxa"/>
            <w:vAlign w:val="bottom"/>
          </w:tcPr>
          <w:p>
            <w:pPr>
              <w:ind w:left="260"/>
              <w:spacing w:after="0"/>
              <w:rPr>
                <w:sz w:val="20"/>
                <w:szCs w:val="20"/>
                <w:color w:val="auto"/>
              </w:rPr>
            </w:pPr>
            <w:r>
              <w:rPr>
                <w:rFonts w:ascii="Arial" w:cs="Arial" w:eastAsia="Arial" w:hAnsi="Arial"/>
                <w:sz w:val="18"/>
                <w:szCs w:val="18"/>
                <w:color w:val="auto"/>
                <w:w w:val="96"/>
              </w:rPr>
              <w:t>Certification of Principal Financial Officer Pursuant to Section 906 of Sarbanes-Oxley Act of 2002.</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7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7"/>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7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00" w:type="dxa"/>
            <w:vAlign w:val="bottom"/>
            <w:gridSpan w:val="5"/>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1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77"/>
        </w:trPr>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6"/>
                <w:szCs w:val="6"/>
                <w:color w:val="auto"/>
              </w:rPr>
            </w:pPr>
          </w:p>
        </w:tc>
        <w:tc>
          <w:tcPr>
            <w:tcW w:w="4400" w:type="dxa"/>
            <w:vAlign w:val="bottom"/>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4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760" w:type="dxa"/>
            <w:vAlign w:val="bottom"/>
          </w:tcPr>
          <w:p>
            <w:pPr>
              <w:jc w:val="right"/>
              <w:ind w:right="27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5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Co-Principal Executive Officer Pursuant to Section 302 of Sarbanes-Oxley Act of 2002.</w:t>
              </w:r>
            </w:hyperlink>
          </w:p>
        </w:tc>
        <w:tc>
          <w:tcPr>
            <w:tcW w:w="0" w:type="dxa"/>
            <w:vAlign w:val="bottom"/>
          </w:tcPr>
          <w:p>
            <w:pPr>
              <w:spacing w:after="0"/>
              <w:rPr>
                <w:sz w:val="1"/>
                <w:szCs w:val="1"/>
                <w:color w:val="auto"/>
              </w:rPr>
            </w:pPr>
          </w:p>
        </w:tc>
      </w:tr>
      <w:tr>
        <w:trPr>
          <w:trHeight w:val="318"/>
        </w:trPr>
        <w:tc>
          <w:tcPr>
            <w:tcW w:w="760" w:type="dxa"/>
            <w:vAlign w:val="bottom"/>
          </w:tcPr>
          <w:p>
            <w:pPr>
              <w:jc w:val="right"/>
              <w:ind w:right="27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75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Co-Principal Executive Officer Pursuant to Section 302 of Sarbanes-Oxley Act of 2002.</w:t>
              </w:r>
            </w:hyperlink>
          </w:p>
        </w:tc>
        <w:tc>
          <w:tcPr>
            <w:tcW w:w="0" w:type="dxa"/>
            <w:vAlign w:val="bottom"/>
          </w:tcPr>
          <w:p>
            <w:pPr>
              <w:spacing w:after="0"/>
              <w:rPr>
                <w:sz w:val="1"/>
                <w:szCs w:val="1"/>
                <w:color w:val="auto"/>
              </w:rPr>
            </w:pPr>
          </w:p>
        </w:tc>
      </w:tr>
      <w:tr>
        <w:trPr>
          <w:trHeight w:val="412"/>
        </w:trPr>
        <w:tc>
          <w:tcPr>
            <w:tcW w:w="760" w:type="dxa"/>
            <w:vAlign w:val="bottom"/>
          </w:tcPr>
          <w:p>
            <w:pPr>
              <w:jc w:val="right"/>
              <w:ind w:right="27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7500" w:type="dxa"/>
            <w:vAlign w:val="bottom"/>
            <w:gridSpan w:val="5"/>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Certification of Principal Financial Officer Pursuant to Section 302 of Sarbanes-Oxley Act of 2002</w:t>
              </w:r>
            </w:hyperlink>
            <w:r>
              <w:rPr>
                <w:rFonts w:ascii="Arial" w:cs="Arial" w:eastAsia="Arial" w:hAnsi="Arial"/>
                <w:sz w:val="18"/>
                <w:szCs w:val="18"/>
                <w:color w:val="000000"/>
                <w:w w:val="96"/>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27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75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Co-Principal Executive Officer Pursuant to Section 906 of Sarbanes-Oxley Act of 2002.</w:t>
              </w:r>
            </w:hyperlink>
          </w:p>
        </w:tc>
        <w:tc>
          <w:tcPr>
            <w:tcW w:w="0" w:type="dxa"/>
            <w:vAlign w:val="bottom"/>
          </w:tcPr>
          <w:p>
            <w:pPr>
              <w:spacing w:after="0"/>
              <w:rPr>
                <w:sz w:val="1"/>
                <w:szCs w:val="1"/>
                <w:color w:val="auto"/>
              </w:rPr>
            </w:pPr>
          </w:p>
        </w:tc>
      </w:tr>
      <w:tr>
        <w:trPr>
          <w:trHeight w:val="318"/>
        </w:trPr>
        <w:tc>
          <w:tcPr>
            <w:tcW w:w="760" w:type="dxa"/>
            <w:vAlign w:val="bottom"/>
          </w:tcPr>
          <w:p>
            <w:pPr>
              <w:jc w:val="right"/>
              <w:ind w:right="27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75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of Co-Principal Executive Officer Pursuant to Section 906 of Sarbanes-Oxley Act of 2002.</w:t>
              </w:r>
            </w:hyperlink>
          </w:p>
        </w:tc>
        <w:tc>
          <w:tcPr>
            <w:tcW w:w="0" w:type="dxa"/>
            <w:vAlign w:val="bottom"/>
          </w:tcPr>
          <w:p>
            <w:pPr>
              <w:spacing w:after="0"/>
              <w:rPr>
                <w:sz w:val="1"/>
                <w:szCs w:val="1"/>
                <w:color w:val="auto"/>
              </w:rPr>
            </w:pPr>
          </w:p>
        </w:tc>
      </w:tr>
      <w:tr>
        <w:trPr>
          <w:trHeight w:val="412"/>
        </w:trPr>
        <w:tc>
          <w:tcPr>
            <w:tcW w:w="760" w:type="dxa"/>
            <w:vAlign w:val="bottom"/>
          </w:tcPr>
          <w:p>
            <w:pPr>
              <w:jc w:val="right"/>
              <w:ind w:right="27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4"/>
                <w:szCs w:val="24"/>
                <w:color w:val="auto"/>
              </w:rPr>
            </w:pPr>
          </w:p>
        </w:tc>
        <w:tc>
          <w:tcPr>
            <w:tcW w:w="71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Principal Financial Officer Pursuant to Section 906 of Sarbanes-Oxley Act of 2002.</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CULP, INC.</w:t>
            </w:r>
          </w:p>
        </w:tc>
      </w:tr>
      <w:tr>
        <w:trPr>
          <w:trHeight w:val="234"/>
        </w:trPr>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March 13, 2020</w:t>
            </w:r>
          </w:p>
        </w:tc>
        <w:tc>
          <w:tcPr>
            <w:tcW w:w="7800" w:type="dxa"/>
            <w:vAlign w:val="bottom"/>
            <w:gridSpan w:val="2"/>
          </w:tcPr>
          <w:p>
            <w:pPr>
              <w:ind w:left="1860"/>
              <w:spacing w:after="0"/>
              <w:rPr>
                <w:sz w:val="20"/>
                <w:szCs w:val="20"/>
                <w:color w:val="auto"/>
              </w:rPr>
            </w:pPr>
            <w:r>
              <w:rPr>
                <w:rFonts w:ascii="Arial" w:cs="Arial" w:eastAsia="Arial" w:hAnsi="Arial"/>
                <w:sz w:val="18"/>
                <w:szCs w:val="18"/>
                <w:color w:val="auto"/>
              </w:rPr>
              <w:t>By: /s/ Kenneth R. Bowling</w:t>
            </w:r>
          </w:p>
        </w:tc>
      </w:tr>
      <w:tr>
        <w:trPr>
          <w:trHeight w:val="195"/>
        </w:trPr>
        <w:tc>
          <w:tcPr>
            <w:tcW w:w="3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Kenneth R. Bowling</w:t>
            </w:r>
          </w:p>
        </w:tc>
      </w:t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4"/>
              </w:rPr>
              <w:t>(Authorized to sign on behalf of the registrant and also signing as principal</w:t>
            </w:r>
          </w:p>
        </w:tc>
      </w:tr>
      <w:tr>
        <w:trPr>
          <w:trHeight w:val="230"/>
        </w:trPr>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439"/>
        </w:trPr>
        <w:tc>
          <w:tcPr>
            <w:tcW w:w="3440" w:type="dxa"/>
            <w:vAlign w:val="bottom"/>
          </w:tcPr>
          <w:p>
            <w:pPr>
              <w:spacing w:after="0"/>
              <w:rPr>
                <w:sz w:val="24"/>
                <w:szCs w:val="24"/>
                <w:color w:val="auto"/>
              </w:rPr>
            </w:pPr>
          </w:p>
        </w:tc>
        <w:tc>
          <w:tcPr>
            <w:tcW w:w="7800" w:type="dxa"/>
            <w:vAlign w:val="bottom"/>
            <w:gridSpan w:val="2"/>
          </w:tcPr>
          <w:p>
            <w:pPr>
              <w:ind w:left="1860"/>
              <w:spacing w:after="0"/>
              <w:rPr>
                <w:sz w:val="20"/>
                <w:szCs w:val="20"/>
                <w:color w:val="auto"/>
              </w:rPr>
            </w:pPr>
            <w:r>
              <w:rPr>
                <w:rFonts w:ascii="Arial" w:cs="Arial" w:eastAsia="Arial" w:hAnsi="Arial"/>
                <w:sz w:val="18"/>
                <w:szCs w:val="18"/>
                <w:color w:val="auto"/>
              </w:rPr>
              <w:t>By: /s/ Thomas B. Gallagher, Jr.</w:t>
            </w:r>
          </w:p>
        </w:tc>
      </w:tr>
      <w:tr>
        <w:trPr>
          <w:trHeight w:val="202"/>
        </w:trPr>
        <w:tc>
          <w:tcPr>
            <w:tcW w:w="3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Thomas B. Gallagher, Jr.</w:t>
            </w:r>
          </w:p>
        </w:tc>
      </w:t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4"/>
              </w:rPr>
              <w:t>(Authorized to sign on behalf of the registrant and also signing as principal</w:t>
            </w:r>
          </w:p>
        </w:tc>
      </w:tr>
      <w:tr>
        <w:trPr>
          <w:trHeight w:val="230"/>
        </w:trPr>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675"/>
        </w:trPr>
        <w:tc>
          <w:tcPr>
            <w:tcW w:w="3440" w:type="dxa"/>
            <w:vAlign w:val="bottom"/>
          </w:tcPr>
          <w:p>
            <w:pPr>
              <w:spacing w:after="0"/>
              <w:rPr>
                <w:sz w:val="24"/>
                <w:szCs w:val="24"/>
                <w:color w:val="auto"/>
              </w:rPr>
            </w:pPr>
          </w:p>
        </w:tc>
        <w:tc>
          <w:tcPr>
            <w:tcW w:w="7800" w:type="dxa"/>
            <w:vAlign w:val="bottom"/>
            <w:gridSpan w:val="2"/>
          </w:tcPr>
          <w:p>
            <w:pPr>
              <w:ind w:left="204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Franklin N. Saxon, certify that:</w:t>
      </w:r>
    </w:p>
    <w:p>
      <w:pPr>
        <w:spacing w:after="0" w:line="189"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Franklin N. Saxon</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Robert G. Culp, IV, certify that:</w:t>
      </w:r>
    </w:p>
    <w:p>
      <w:pPr>
        <w:spacing w:after="0" w:line="189"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Kenneth R. Bowling, certify that:</w:t>
      </w:r>
    </w:p>
    <w:p>
      <w:pPr>
        <w:spacing w:after="0" w:line="189" w:lineRule="exact"/>
        <w:rPr>
          <w:sz w:val="20"/>
          <w:szCs w:val="20"/>
          <w:color w:val="auto"/>
        </w:rPr>
      </w:pPr>
    </w:p>
    <w:p>
      <w:pPr>
        <w:ind w:left="620" w:hanging="612"/>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February 2, 2020, as filed with the Securities and Exchange Commission on the date hereof (the “Report”), I, Franklin N. Saxon,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Franklin N. Saxon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February 2, 2020, as filed with the Securities and Exchange Commission on the date hereof (the “Report”), I, Robert G. Culp, IV,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32.3</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3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February 2, 2020, as filed with the Securities and Exchange Commission on the date hereof (the “Report”), I, Kenneth R. Bowling,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1)"/>
      <w:numFmt w:val="decimal"/>
      <w:start w:val="7"/>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2020-03-13T08:05:26Z</dcterms:created>
  <dcterms:modified xsi:type="dcterms:W3CDTF">2020-03-13T08:05:26Z</dcterms:modified>
</cp:coreProperties>
</file>