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culp-20260910.htm"/>
      <w:bookmarkStart w:id="1" w:name="ksculp20260910"/>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5"/>
        </w:rPr>
        <w:t>UNITED STATES</w:t>
        <w:br/>
        <w:t>SECURITIES AND EXCHANGE COMMISSION</w:t>
      </w:r>
      <w:r>
        <w:rPr>
          <w:rFonts w:ascii="Times New Roman" w:hAnsi="Times New Roman"/>
          <w:b/>
          <w:color w:val="000000"/>
          <w:sz w:val="36"/>
        </w:rPr>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5"/>
        </w:rPr>
      </w:pPr>
      <w:r>
        <w:rPr>
          <w:rFonts w:ascii="Times New Roman" w:hAnsi="Times New Roman"/>
          <w:color w:val="000000"/>
          <w:sz w:val="35"/>
        </w:rPr>
        <w:t xml:space="preserve">FORM </w:t>
      </w:r>
      <w:r>
        <w:rPr>
          <w:rFonts w:ascii="Times New Roman" w:hAnsi="Times New Roman"/>
          <w:b/>
          <w:color w:val="000000"/>
          <w:sz w:val="35"/>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76" w:type="dxa"/>
        <w:jc w:val="left"/>
        <w:tblInd w:w="0" w:type="dxa"/>
        <w:tblLayout w:type="fixed"/>
        <w:tblCellMar>
          <w:top w:w="28" w:type="dxa"/>
          <w:left w:w="28" w:type="dxa"/>
          <w:bottom w:w="28" w:type="dxa"/>
          <w:right w:w="28" w:type="dxa"/>
        </w:tblCellMar>
      </w:tblPr>
      <w:tblGrid>
        <w:gridCol w:w="5776"/>
      </w:tblGrid>
      <w:tr>
        <w:trPr/>
        <w:tc>
          <w:tcPr>
            <w:tcW w:w="5776" w:type="dxa"/>
            <w:tcBorders/>
            <w:vAlign w:val="center"/>
          </w:tcPr>
          <w:p>
            <w:pPr>
              <w:pStyle w:val="TableContents"/>
              <w:bidi w:val="0"/>
              <w:spacing w:before="0" w:after="283"/>
              <w:jc w:val="left"/>
              <w:rPr>
                <w:sz w:val="4"/>
                <w:szCs w:val="4"/>
              </w:rPr>
            </w:pPr>
            <w:r>
              <w:rPr>
                <w:sz w:val="4"/>
                <w:szCs w:val="4"/>
              </w:rPr>
            </w:r>
          </w:p>
        </w:tc>
      </w:tr>
      <w:tr>
        <w:trPr/>
        <w:tc>
          <w:tcPr>
            <w:tcW w:w="5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Culp,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51"/>
        <w:gridCol w:w="864"/>
        <w:gridCol w:w="869"/>
        <w:gridCol w:w="1846"/>
        <w:gridCol w:w="1336"/>
      </w:tblGrid>
      <w:tr>
        <w:trPr/>
        <w:tc>
          <w:tcPr>
            <w:tcW w:w="95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 Carolina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1-12597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56-1001967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410 W. English Rd 5th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 Point, North Carolina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27262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336</w:t>
            </w:r>
            <w:r>
              <w:rPr>
                <w:rFonts w:ascii="Times New Roman" w:hAnsi="Times New Roman"/>
                <w:color w:val="000000"/>
                <w:sz w:val="20"/>
              </w:rPr>
              <w:t xml:space="preserve"> </w:t>
            </w:r>
            <w:r>
              <w:rPr>
                <w:rFonts w:ascii="Times New Roman" w:hAnsi="Times New Roman"/>
                <w:b/>
                <w:color w:val="000000"/>
                <w:sz w:val="20"/>
              </w:rPr>
              <w:t>889-5161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30" w:type="dxa"/>
        <w:jc w:val="left"/>
        <w:tblInd w:w="0" w:type="dxa"/>
        <w:tblLayout w:type="fixed"/>
        <w:tblCellMar>
          <w:top w:w="28" w:type="dxa"/>
          <w:left w:w="28" w:type="dxa"/>
          <w:bottom w:w="28" w:type="dxa"/>
          <w:right w:w="28" w:type="dxa"/>
        </w:tblCellMar>
      </w:tblPr>
      <w:tblGrid>
        <w:gridCol w:w="3466"/>
        <w:gridCol w:w="146"/>
        <w:gridCol w:w="946"/>
        <w:gridCol w:w="14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$0.05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CULP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and integration actions, production levels, new product launches, sales, profit margins, profitability, operating (loss) income, capital expenditures, working capital levels, cost savings (including, without limitation, anticipated cost savings from restructuring and integration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 related asset dispositions, future economic or industry trends, public health epidemics, or other future developments. There can be no assurance that we will realize these expectations or meet our guidance, or that these beliefs will prove correct.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Factors that could influence the matters discussed in such statements include the level of housing starts and sales of existing homes, demand for home furnishings products,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Relatedly, litigation is ongoing as to whether businesses that paid tariffs that were invalidated by the U.S. Supreme Court in February 2026 may receive or retain refunds for those tariffs, which could be significant. Also, economic or political instability in international areas could affect our operations or sources of goods in those areas, as well as demand for our products in international markets. The future performance of our business depends in part on our success in conducting and finalizing acquisition negotiations and integrating acquired businesses into our existing operations. The impact of public health epidemics on employees, customers, suppliers, and the global economy, such as the coronavirus pandemic,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successfully restructure our bedding operations and return the segment to profitability as well as successfully integrate our bedding and upholstery divisions, neither of which may meet our expectations. Further information about these factors, as well as other factors that could affect our future operations or financial results and the matters discussed in forward-looking statements, is included in Item 1A “Risk Factors” in our most recent Form 10-K report filed with the Securities and Exchange Commission.</w:t>
      </w:r>
    </w:p>
    <w:p>
      <w:pPr>
        <w:pStyle w:val="TextBody"/>
        <w:bidi w:val="0"/>
        <w:jc w:val="both"/>
        <w:rPr>
          <w:rFonts w:ascii="Times New Roman" w:hAnsi="Times New Roman"/>
          <w:sz w:val="20"/>
        </w:rPr>
      </w:pPr>
      <w:r>
        <w:rPr>
          <w:rFonts w:ascii="Times New Roman" w:hAnsi="Times New Roman"/>
          <w:b/>
          <w:color w:val="000000"/>
          <w:sz w:val="20"/>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report and the exhibits attached hereto as anticipated, believed, estimated, expected, intended, planned or projected. The forward-looking statements included in this report and the exhibits attached hereto are made only as of the date of this report. Unless required by United States federal securities laws, we neither intend nor assume any obligation to update these forward-looking statements for any reason after the date of this report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immaterial may also affect our business operations or financial results.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9, 2026, we issued a news release announcing our financial results for our first quarter ended August 2, 2026. A copy of the news release is attached hereto as Exhibit 99.1.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set forth in this Item 2.02 of this Current Report, and in Exhibit 99.1, is intended to be “furnished” under Item 2.02 of Form 8-K. Such information shall not be deemed “filed” for the purposes of Section 18 of the Securities Exchange Act of 1934, as amended (the "Exchange Act"), nor shall it be deemed incorporated by reference in any filing under the Securities Act of 1933, as amended, except as shall be expressly set forth by specific reference in such filing.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news release contains adjusted income statement information for the three-month periods ended August 2, 2026, and August 3, 2025, which discloses adjusted gross profit and adjusted income (loss) from operations, both of which are non-U.S. GAAP performance measures that eliminate items which are not expected to occur on a recurring or regular basis. For the three-month period ended August 2, 2026, these items include certain tariff expense refunds received by the Company following the U.S. Supreme Court's decision in February 2026 to invalidate certain tariffs previously imposed under the International Emergency Economic Powers Act (IEEPA). The company has included this adjusted information in order to show operational performance excluding the effects of items not expected to occur on a recurring or regular basis. Details of these calculations and a reconciliation to information from our U.S. GAAP financial statements are set forth in the news release. Management believes this presentation aids in the comparison of financial results among comparable financial periods. Management uses adjusted income statement information in evaluating the financial performance of our overall operations and business segments. Also, adjusted income statement information is used as a performance measure in our incentive-based executive compensation program. We note, however, that this adjusted income statement information should not be viewed in isolation or as a substitute for gross profit or income (loss) from operations calculated in accordance with U.S. GAAP.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news release contains disclosures about our net debt, which is a non-U.S. GAAP liquidity measure that we define as cash and cash equivalents (which we sometimes refer to as “cash”) plus investments that are available to fund operations minus the total amount of outstanding borrowings under our lines of credit or other debt instruments. Details of these calculations and a reconciliation to information from our U.S. GAAP financial statements are set forth in the news release. We believe this non-GAAP measure is useful to investors as it provides a way to compare our cash or debt position across periods on a consistent basis, regardless of the impact of financing activities. Also, net debt is used as a performance measure in our incentive-based executive compensation program. Net debt should not be viewed in isolation by investors and should not be used as a substitute for GAAP measures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news release contains disclosures about adjusted free cash flow, a non-U.S. GAAP liquidity measure that we define as net cash (used in) provided by operating activities, less cash capital expenditures and any payments on vendor-financed capital expenditures, plus any proceeds from the sale of property, plant, and equipment, plus proceeds from note receivable, plus proceeds from the sale of investments associated with our rabbi trust, less the purchase of investments associated with our rabbi trust, and plus or minus the effects of foreign currency exchange rate changes on cash and cash equivalents, in each case to the extent any such amount is incurred during the period presented. Details of these calculations and a reconciliation to information from our U.S. GAAP financial statements are set forth in the news release. Management believes the disclosure of adjusted free cash flow provides useful information to investors because it measures our available cash flow for potential debt repayment, stock repurchases, dividends, additions to cash and investments, or other corporate purposes. We note, however, that not all of the company’s adjusted free cash flow is available for discretionary spending, as we may have mandatory debt payments and other cash requirements that must be deducted from our cash available for future use. In operating our business, management uses adjusted free cash flow to make decisions about what commitments of cash to make for operations, such as capital expenditures (and possible financing arrangements for these expenditures), purchases of inventory or supplies, SG&amp;A expenditure levels, compensation, and other commitments of cash, while still allowing for adequate cash to meet known future commitments for cash, such as debt repayment, and also for making decisions about dividend payments and share repurchases.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news release contains disclosures about our adjusted EBITDA, which is a non-U.S. GAAP performance measure that reflects net (loss) income excluding income tax expense (benefit), net interest income, and restructuring expense or credit and restructuring related charges or credits, as well as depreciation and amortization expense, and stock-based compensation expense. Beginning in the quarter ended November 2, 2025, we modified our presentation of adjusted EBITDA to also exclude non-cash foreign exchange impacts. We believe this change enhances investor insight into our operational performance by removing the non-cash impact of changes in foreign currency exchange rates. In order to facilitate comparisons among periods, we have applied this modified definition of adjusted EBITDA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all periods presented in the news release. This measure also excludes other non-recurring charges and credits associated with our business, if and to the extent any such amount is incurred during the period presented. Details of these calculations and a reconciliation to information from our U.S. GAAP financial statements are set forth in the news release. We believe presentation of adjusted EBITDA is useful to investors because earnings before interest income and expense, income taxes, depreciation and amortization, and similar performance measures that exclude certain charges from earnings, are often used by investors and financial analysts in evaluating and comparing companies in our industry. Also, adjusted EBITDA is used as a performance measure in our incentive-based executive compensation program. We note, however, that such measures are not defined uniformly by various companies, with differing expenses being excluded from net income to calculate these performance measures. For this reason, adjusted EBITDA should not be viewed in isolation by investors and should not be used as a substitute for net income (loss) calculated in accordance with GAAP, nor should it be used for direct comparisons with similarly titled performance measures reported by other companies. Use of adjusted EBITDA as an analytical tool has limitations in that this measure does not reflect all expenses that are necessary to fund and operate our business, including funds required to pay taxes, service our debt, and fund capital expenditures, among others. Management uses adjusted EBITDA to help it analyze the company’s earnings and operating performance, by excluding the effects of expenses that depend upon capital structure and debt level, tax provisions, and non-cash items such as depreciation, amortization and stock-based compensation expense that do not require immediate uses of cash.</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8023" w:type="dxa"/>
        <w:jc w:val="left"/>
        <w:tblInd w:w="0" w:type="dxa"/>
        <w:tblLayout w:type="fixed"/>
        <w:tblCellMar>
          <w:top w:w="28" w:type="dxa"/>
          <w:left w:w="28" w:type="dxa"/>
          <w:bottom w:w="28" w:type="dxa"/>
          <w:right w:w="28" w:type="dxa"/>
        </w:tblCellMar>
      </w:tblPr>
      <w:tblGrid>
        <w:gridCol w:w="1276"/>
        <w:gridCol w:w="146"/>
        <w:gridCol w:w="660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r>
      <w:tr>
        <w:trPr/>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ulp-ex99_1.htm">
              <w:r>
                <w:rPr>
                  <w:rStyle w:val="InternetLink"/>
                  <w:rFonts w:ascii="Times New Roman" w:hAnsi="Times New Roman"/>
                  <w:color w:val="0000FF"/>
                  <w:sz w:val="20"/>
                  <w:u w:val="single"/>
                </w:rPr>
                <w:t>News Release dated September 9, 2026</w:t>
              </w:r>
            </w:hyperlink>
          </w:p>
        </w:tc>
      </w:tr>
      <w:tr>
        <w:trPr/>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3122" w:type="dxa"/>
        <w:jc w:val="left"/>
        <w:tblInd w:w="0" w:type="dxa"/>
        <w:tblLayout w:type="fixed"/>
        <w:tblCellMar>
          <w:top w:w="28" w:type="dxa"/>
          <w:left w:w="28" w:type="dxa"/>
          <w:bottom w:w="28" w:type="dxa"/>
          <w:right w:w="28" w:type="dxa"/>
        </w:tblCellMar>
      </w:tblPr>
      <w:tblGrid>
        <w:gridCol w:w="161"/>
        <w:gridCol w:w="109"/>
        <w:gridCol w:w="406"/>
        <w:gridCol w:w="244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2"/>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CULP, INC.</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(Registrant)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By:</w:t>
            </w:r>
          </w:p>
        </w:tc>
        <w:tc>
          <w:tcPr>
            <w:tcW w:w="24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 Kenneth R. Bowling</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Dated September 9, 2026</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 w:name="culp-ex99_1.htm"/>
      <w:bookmarkStart w:id="3" w:name="ksculpex99_1"/>
      <w:bookmarkEnd w:id="2"/>
      <w:bookmarkEnd w:id="3"/>
      <w:r>
        <w:rPr>
          <w:rFonts w:ascii="Arial" w:hAnsi="Arial"/>
          <w:b/>
          <w:color w:val="000000"/>
          <w:sz w:val="20"/>
        </w:rPr>
        <w:t>Exhibit 99.1</w:t>
      </w:r>
      <w:r>
        <w:br w:type="page"/>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047750"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101917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spacing w:before="13" w:after="283"/>
        <w:jc w:val="center"/>
        <w:rPr>
          <w:rFonts w:ascii="sans-serif" w:hAnsi="sans-serif"/>
          <w:sz w:val="20"/>
        </w:rPr>
      </w:pPr>
      <w:r>
        <w:rPr>
          <w:rFonts w:ascii="sans-serif" w:hAnsi="sans-serif"/>
          <w:b/>
          <w:color w:val="000000"/>
          <w:sz w:val="20"/>
        </w:rPr>
        <w:t>CULP ANNOUNCES FIRST QUARTER FISCAL 2027 RESULTS</w:t>
      </w:r>
      <w:r>
        <w:rPr>
          <w:rFonts w:ascii="sans-serif" w:hAnsi="sans-serif"/>
          <w:color w:val="000000"/>
          <w:sz w:val="20"/>
        </w:rPr>
        <w:t xml:space="preserve"> </w:t>
      </w:r>
    </w:p>
    <w:p>
      <w:pPr>
        <w:pStyle w:val="TextBody"/>
        <w:bidi w:val="0"/>
        <w:spacing w:before="13" w:after="283"/>
        <w:jc w:val="center"/>
        <w:rPr/>
      </w:pPr>
      <w:r>
        <w:rPr/>
        <w:t> </w:t>
      </w:r>
    </w:p>
    <w:p>
      <w:pPr>
        <w:pStyle w:val="TextBody"/>
        <w:bidi w:val="0"/>
        <w:spacing w:before="13" w:after="283"/>
        <w:jc w:val="center"/>
        <w:rPr>
          <w:rFonts w:ascii="sans-serif" w:hAnsi="sans-serif"/>
          <w:sz w:val="20"/>
        </w:rPr>
      </w:pPr>
      <w:r>
        <w:rPr>
          <w:rFonts w:ascii="sans-serif" w:hAnsi="sans-serif"/>
          <w:b/>
          <w:i/>
          <w:color w:val="000000"/>
          <w:sz w:val="20"/>
        </w:rPr>
        <w:t>Plan Execution Drives Above-Market Sales Growth and Improved Profitability</w:t>
      </w:r>
      <w:r>
        <w:rPr>
          <w:rFonts w:ascii="sans-serif" w:hAnsi="sans-serif"/>
          <w:color w:val="000000"/>
          <w:sz w:val="20"/>
        </w:rPr>
        <w:t xml:space="preserve"> </w:t>
      </w:r>
    </w:p>
    <w:p>
      <w:pPr>
        <w:pStyle w:val="TextBody"/>
        <w:bidi w:val="0"/>
        <w:spacing w:before="13" w:after="283"/>
        <w:jc w:val="center"/>
        <w:rPr>
          <w:rFonts w:ascii="sans-serif" w:hAnsi="sans-serif"/>
          <w:sz w:val="20"/>
        </w:rPr>
      </w:pPr>
      <w:r>
        <w:rPr>
          <w:rFonts w:ascii="sans-serif" w:hAnsi="sans-serif"/>
          <w:b/>
          <w:i/>
          <w:color w:val="000000"/>
          <w:sz w:val="20"/>
        </w:rPr>
        <w:t>Significantly Enhanced Balance Sheet from Over 70% Net Debt Reduction</w:t>
      </w:r>
      <w:r>
        <w:rPr>
          <w:rFonts w:ascii="sans-serif" w:hAnsi="sans-serif"/>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HIGH POINT, N.C. (September 9, 2026) – Culp, Inc. (NASDAQ: CULP), a leading provider of fabrics for bedding and upholstery fabrics for residential, commercial, and hospitality furniture and other applications, today reported financial and operating results for its first fiscal quarter ended August 2, 2026.</w:t>
      </w:r>
    </w:p>
    <w:p>
      <w:pPr>
        <w:pStyle w:val="TextBody"/>
        <w:bidi w:val="0"/>
        <w:jc w:val="left"/>
        <w:rPr>
          <w:rFonts w:ascii="sans-serif" w:hAnsi="sans-serif"/>
          <w:b/>
          <w:color w:val="000000"/>
          <w:sz w:val="20"/>
        </w:rPr>
      </w:pPr>
      <w:r>
        <w:rPr>
          <w:rFonts w:ascii="sans-serif" w:hAnsi="sans-serif"/>
          <w:b/>
          <w:color w:val="000000"/>
          <w:sz w:val="20"/>
        </w:rPr>
        <w:t>Fiscal 2027 First Quarter Financial Highlights</w:t>
      </w:r>
    </w:p>
    <w:p>
      <w:pPr>
        <w:pStyle w:val="TextBody"/>
        <w:bidi w:val="0"/>
        <w:jc w:val="both"/>
        <w:rPr>
          <w:color w:val="000000"/>
        </w:rPr>
      </w:pPr>
      <w:r>
        <w:rPr>
          <w:color w:val="000000"/>
        </w:rPr>
        <w:t xml:space="preserve">▪ </w:t>
      </w:r>
      <w:r>
        <w:rPr>
          <w:rFonts w:ascii="sans-serif" w:hAnsi="sans-serif"/>
          <w:color w:val="000000"/>
          <w:sz w:val="20"/>
        </w:rPr>
        <w:t>Year-over-year sales growth of 6.5%, while also overcoming one less selling week in the quarter, with consolidated net sales of $54.0 million compared to $50.7 million in the prior-year period and double-digit sales growth of 13.2% in the bedding segment.</w:t>
      </w:r>
    </w:p>
    <w:p>
      <w:pPr>
        <w:pStyle w:val="TextBody"/>
        <w:bidi w:val="0"/>
        <w:jc w:val="both"/>
        <w:rPr/>
      </w:pPr>
      <w:r>
        <w:rPr/>
        <w:t> </w:t>
      </w:r>
    </w:p>
    <w:p>
      <w:pPr>
        <w:pStyle w:val="TextBody"/>
        <w:bidi w:val="0"/>
        <w:jc w:val="both"/>
        <w:rPr/>
      </w:pPr>
      <w:r>
        <w:rPr>
          <w:color w:val="000000"/>
        </w:rPr>
        <w:t xml:space="preserve">▪ </w:t>
      </w:r>
      <w:r>
        <w:rPr>
          <w:rFonts w:ascii="sans-serif" w:hAnsi="sans-serif"/>
          <w:color w:val="000000"/>
          <w:sz w:val="20"/>
        </w:rPr>
        <w:t xml:space="preserve">Consolidated gross profit was $15.4 million, or 28.5% of sales, compared with $7.2 million, or 14.3% of sales, in the prior-year period. Excluding the impact of IEEPA tariff recoveries in the quarter associated with previously incurred costs, adjusted gross profit was $8.4 million or 15.6% of sales, an approximately 17% increase from the prior-year period driven primarily by higher sales and operational improvements (see reconciliation table on page 10). </w:t>
      </w:r>
    </w:p>
    <w:p>
      <w:pPr>
        <w:pStyle w:val="TextBody"/>
        <w:bidi w:val="0"/>
        <w:jc w:val="both"/>
        <w:rPr/>
      </w:pPr>
      <w:r>
        <w:rPr/>
        <w:t> </w:t>
      </w:r>
    </w:p>
    <w:p>
      <w:pPr>
        <w:pStyle w:val="TextBody"/>
        <w:bidi w:val="0"/>
        <w:jc w:val="both"/>
        <w:rPr/>
      </w:pPr>
      <w:r>
        <w:rPr>
          <w:color w:val="000000"/>
        </w:rPr>
        <w:t xml:space="preserve">▪ </w:t>
      </w:r>
      <w:r>
        <w:rPr>
          <w:rFonts w:ascii="sans-serif" w:hAnsi="sans-serif"/>
          <w:color w:val="000000"/>
          <w:sz w:val="20"/>
        </w:rPr>
        <w:t xml:space="preserve">Operating income of $6.7 million, or 12.4% of sales, compared to the prior year period’s operating income of $1.6 million, or 3.2% of sales. Excluding the impacts of the above-referenced tariff-related recoveries, adjusted operating loss was $271 thousand compared to the prior-year period’s adjusted operating loss of $1.9 million (see reconciliation table on page 10). </w:t>
      </w:r>
    </w:p>
    <w:p>
      <w:pPr>
        <w:pStyle w:val="TextBody"/>
        <w:bidi w:val="0"/>
        <w:jc w:val="both"/>
        <w:rPr/>
      </w:pPr>
      <w:r>
        <w:rPr/>
        <w:t> </w:t>
      </w:r>
    </w:p>
    <w:p>
      <w:pPr>
        <w:pStyle w:val="TextBody"/>
        <w:bidi w:val="0"/>
        <w:jc w:val="both"/>
        <w:rPr/>
      </w:pPr>
      <w:r>
        <w:rPr>
          <w:color w:val="000000"/>
        </w:rPr>
        <w:t xml:space="preserve">▪ </w:t>
      </w:r>
      <w:r>
        <w:rPr>
          <w:rFonts w:ascii="sans-serif" w:hAnsi="sans-serif"/>
          <w:color w:val="000000"/>
          <w:sz w:val="20"/>
        </w:rPr>
        <w:t xml:space="preserve">Net income of $6.0 million, or $.47 per diluted share, compared to a net loss of $231 thousand, or $(.02) per diluted share, in the prior-year period.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sans-serif" w:hAnsi="sans-serif"/>
          <w:color w:val="000000"/>
          <w:sz w:val="20"/>
        </w:rPr>
      </w:pPr>
      <w:r>
        <w:rPr>
          <w:rFonts w:ascii="sans-serif" w:hAnsi="sans-serif"/>
          <w:color w:val="000000"/>
          <w:sz w:val="20"/>
        </w:rPr>
        <w:t>Adjusted EBITDA of $566 thousand, which does not include the benefit of tariff recoveries, compared to negative $(938) thousand in the prior-year period (see reconciliation table on page 11), reflecting much improved operating performance during the quarter.</w:t>
      </w:r>
    </w:p>
    <w:p>
      <w:pPr>
        <w:pStyle w:val="TextBody"/>
        <w:bidi w:val="0"/>
        <w:jc w:val="left"/>
        <w:rPr/>
      </w:pPr>
      <w:r>
        <w:rPr/>
        <w:t> </w:t>
      </w:r>
    </w:p>
    <w:p>
      <w:pPr>
        <w:pStyle w:val="TextBody"/>
        <w:bidi w:val="0"/>
        <w:jc w:val="both"/>
        <w:rPr/>
      </w:pPr>
      <w:r>
        <w:rPr>
          <w:color w:val="000000"/>
        </w:rPr>
        <w:t xml:space="preserve">▪ </w:t>
      </w:r>
      <w:r>
        <w:rPr>
          <w:rFonts w:ascii="sans-serif" w:hAnsi="sans-serif"/>
          <w:color w:val="000000"/>
          <w:sz w:val="20"/>
        </w:rPr>
        <w:t xml:space="preserve">An over 70% reduction in net debt, to $3.1 million, compared to net debt at 2026 fiscal year end of $10.9 million (see reconciliation table on page 9), with the Company maintaining $10.2 million in total cash, $13.3 million in total debt, and total liquidity of $29.4 million at first quarter end. </w:t>
      </w:r>
    </w:p>
    <w:p>
      <w:pPr>
        <w:pStyle w:val="TextBody"/>
        <w:bidi w:val="0"/>
        <w:jc w:val="both"/>
        <w:rPr/>
      </w:pPr>
      <w:r>
        <w:rPr>
          <w:color w:val="000000"/>
        </w:rPr>
        <w:t xml:space="preserve">▪ </w:t>
      </w:r>
      <w:r>
        <w:rPr>
          <w:rFonts w:ascii="sans-serif" w:hAnsi="sans-serif"/>
          <w:color w:val="000000"/>
          <w:sz w:val="20"/>
        </w:rPr>
        <w:t xml:space="preserve">Cash flow from operations increased to $8.1 million compared to cash used in operations of ($695) thousand in the prior year period, and free cash flow increased to $7.8 million from negative $(874) thousand in the prior-year period. Adjusted for capital expenditures of $314 thousand and other items, free cash flow increased to $8.0 million from $311 thousand in the prior year period (see reconciliation table on page 9). </w:t>
      </w:r>
    </w:p>
    <w:p>
      <w:pPr>
        <w:pStyle w:val="TextBody"/>
        <w:bidi w:val="0"/>
        <w:jc w:val="left"/>
        <w:rPr>
          <w:rFonts w:ascii="sans-serif" w:hAnsi="sans-serif"/>
          <w:b/>
          <w:color w:val="000000"/>
          <w:sz w:val="20"/>
        </w:rPr>
      </w:pPr>
      <w:r>
        <w:rPr>
          <w:rFonts w:ascii="sans-serif" w:hAnsi="sans-serif"/>
          <w:b/>
          <w:color w:val="000000"/>
          <w:sz w:val="20"/>
        </w:rPr>
        <w:br/>
        <w:t>Management Commentary</w:t>
      </w:r>
    </w:p>
    <w:p>
      <w:pPr>
        <w:pStyle w:val="TextBody"/>
        <w:bidi w:val="0"/>
        <w:jc w:val="both"/>
        <w:rPr>
          <w:rFonts w:ascii="sans-serif" w:hAnsi="sans-serif"/>
          <w:color w:val="000000"/>
          <w:sz w:val="20"/>
        </w:rPr>
      </w:pPr>
      <w:r>
        <w:rPr>
          <w:rFonts w:ascii="sans-serif" w:hAnsi="sans-serif"/>
          <w:color w:val="000000"/>
          <w:sz w:val="20"/>
        </w:rPr>
        <w:t xml:space="preserve">Iv Culp, President and Chief Executive Officer, commented, “We are pleased with our first quarter results, namely our ability to increase sales and margins and to exceed our profitability expectations irrespective of the one-time tariff recoveries. We look at our first quarter results as more proof-of-concept that all of our work to integrate,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First Quarter Fiscal 2027</w:t>
      </w:r>
    </w:p>
    <w:p>
      <w:pPr>
        <w:pStyle w:val="TextBody"/>
        <w:bidi w:val="0"/>
        <w:jc w:val="left"/>
        <w:rPr>
          <w:rFonts w:ascii="Arial" w:hAnsi="Arial"/>
          <w:color w:val="000000"/>
          <w:sz w:val="20"/>
        </w:rPr>
      </w:pPr>
      <w:r>
        <w:rPr>
          <w:rFonts w:ascii="Arial" w:hAnsi="Arial"/>
          <w:color w:val="000000"/>
          <w:sz w:val="20"/>
        </w:rPr>
        <w:t>Page 2</w:t>
      </w:r>
    </w:p>
    <w:p>
      <w:pPr>
        <w:pStyle w:val="TextBody"/>
        <w:bidi w:val="0"/>
        <w:jc w:val="left"/>
        <w:rPr>
          <w:rFonts w:ascii="Arial" w:hAnsi="Arial"/>
          <w:color w:val="000000"/>
          <w:sz w:val="20"/>
        </w:rPr>
      </w:pPr>
      <w:r>
        <w:rPr>
          <w:rFonts w:ascii="Arial" w:hAnsi="Arial"/>
          <w:color w:val="000000"/>
          <w:sz w:val="20"/>
        </w:rPr>
        <w:t>September 9, 2026</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 xml:space="preserve">restructure and optimize our platform is generating growth and profitability even in challenging conditions like those we continue to see across home furnishings. This is a clear testament to the CULP team’s successful execution of our strategic plans over the last two years. </w:t>
      </w:r>
    </w:p>
    <w:p>
      <w:pPr>
        <w:pStyle w:val="TextBody"/>
        <w:bidi w:val="0"/>
        <w:jc w:val="both"/>
        <w:rPr/>
      </w:pPr>
      <w:r>
        <w:rPr/>
        <w:t> </w:t>
      </w:r>
    </w:p>
    <w:p>
      <w:pPr>
        <w:pStyle w:val="TextBody"/>
        <w:bidi w:val="0"/>
        <w:jc w:val="both"/>
        <w:rPr>
          <w:color w:val="000000"/>
        </w:rPr>
      </w:pPr>
      <w:r>
        <w:rPr>
          <w:color w:val="000000"/>
        </w:rPr>
        <w:t>“</w:t>
      </w:r>
      <w:r>
        <w:rPr>
          <w:rFonts w:ascii="sans-serif" w:hAnsi="sans-serif"/>
          <w:color w:val="000000"/>
          <w:sz w:val="20"/>
        </w:rPr>
        <w:t>Our bedding business grew its topline by over 13% in a low-unit market environment and with one less shipping week this quarter compared to last year. We believe our bedding sales trend is significantly exceeding industry norms and provides a good indication that our commercial strategies should provide continued revenue growth, especially once we see the industry replacement cycle that many believe is overdue. Our enhanced U.S. operations combined with flexible nearshore and offshore options are elevating our already strong customer relationships and driving our success in this business.</w:t>
      </w:r>
    </w:p>
    <w:p>
      <w:pPr>
        <w:pStyle w:val="TextBody"/>
        <w:bidi w:val="0"/>
        <w:jc w:val="both"/>
        <w:rPr/>
      </w:pPr>
      <w:r>
        <w:rPr/>
        <w:t> </w:t>
      </w:r>
    </w:p>
    <w:p>
      <w:pPr>
        <w:pStyle w:val="TextBody"/>
        <w:bidi w:val="0"/>
        <w:jc w:val="both"/>
        <w:rPr/>
      </w:pPr>
      <w:r>
        <w:rPr>
          <w:color w:val="000000"/>
        </w:rPr>
        <w:t>“</w:t>
      </w:r>
      <w:r>
        <w:rPr>
          <w:rFonts w:ascii="sans-serif" w:hAnsi="sans-serif"/>
          <w:color w:val="000000"/>
          <w:sz w:val="20"/>
        </w:rPr>
        <w:t xml:space="preserve">We are also encouraged to see sales in our upholstery business nearly comp the prior-year quarter despite a shorter selling period, and we are pleased with placement rates within our largest upholstery end market, residential furniture. In addition, we saw growth on the hospitality and contract side of our upholstery business and are excited about the potential to further grow those verticals. </w:t>
      </w:r>
    </w:p>
    <w:p>
      <w:pPr>
        <w:pStyle w:val="TextBody"/>
        <w:bidi w:val="0"/>
        <w:jc w:val="both"/>
        <w:rPr/>
      </w:pPr>
      <w:r>
        <w:rPr/>
        <w:t> </w:t>
      </w:r>
    </w:p>
    <w:p>
      <w:pPr>
        <w:pStyle w:val="TextBody"/>
        <w:bidi w:val="0"/>
        <w:jc w:val="both"/>
        <w:rPr/>
      </w:pPr>
      <w:r>
        <w:rPr>
          <w:color w:val="000000"/>
        </w:rPr>
        <w:t>“</w:t>
      </w:r>
      <w:r>
        <w:rPr>
          <w:rFonts w:ascii="sans-serif" w:hAnsi="sans-serif"/>
          <w:color w:val="000000"/>
          <w:sz w:val="20"/>
        </w:rPr>
        <w:t xml:space="preserve">Our emphasis on the balance sheet and cash flow management was well reflected in our first quarter results. Through the success of our inventory reduction initiatives and management systems, together with our use of the tariff-proceeds received during the quarter, we reduced net debt down to $3 million from $11 million at the end of last fiscal year, and we are focused on moving to a net cash position.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Overall, we are optimistic about the momentum we see across our business entering the second quarter and believe our lower cost structure and global footprint position us for continued success in this low-demand environment and accelerating profitability as conditions improve.</w:t>
      </w:r>
    </w:p>
    <w:p>
      <w:pPr>
        <w:pStyle w:val="TextBody"/>
        <w:bidi w:val="0"/>
        <w:jc w:val="both"/>
        <w:rPr/>
      </w:pPr>
      <w:r>
        <w:rPr/>
        <w:t> </w:t>
      </w:r>
    </w:p>
    <w:p>
      <w:pPr>
        <w:pStyle w:val="TextBody"/>
        <w:bidi w:val="0"/>
        <w:jc w:val="left"/>
        <w:rPr>
          <w:rFonts w:ascii="sans-serif" w:hAnsi="sans-serif"/>
          <w:sz w:val="20"/>
        </w:rPr>
      </w:pPr>
      <w:r>
        <w:rPr>
          <w:rFonts w:ascii="sans-serif" w:hAnsi="sans-serif"/>
          <w:b/>
          <w:color w:val="000000"/>
          <w:sz w:val="20"/>
        </w:rPr>
        <w:t>Financial Outlook</w:t>
      </w:r>
      <w:r>
        <w:rPr>
          <w:rFonts w:ascii="sans-serif" w:hAnsi="sans-serif"/>
          <w:color w:val="000000"/>
          <w:sz w:val="20"/>
        </w:rPr>
        <w:t xml:space="preserve"> </w:t>
      </w:r>
    </w:p>
    <w:p>
      <w:pPr>
        <w:pStyle w:val="TextBody"/>
        <w:bidi w:val="0"/>
        <w:jc w:val="both"/>
        <w:rPr>
          <w:rFonts w:ascii="sans-serif" w:hAnsi="sans-serif"/>
          <w:color w:val="000000"/>
          <w:sz w:val="20"/>
        </w:rPr>
      </w:pPr>
      <w:r>
        <w:rPr>
          <w:rFonts w:ascii="sans-serif" w:hAnsi="sans-serif"/>
          <w:color w:val="000000"/>
          <w:sz w:val="20"/>
        </w:rPr>
        <w:t>Due to macro-economic uncertainty and the fluid global trade and tariff environment, the Company is providing only limited forward guidance at this time, with such guidance based on information available at the time of this press release and reflecting certain assumptions by management regarding the Company’s business, market and industry conditions.</w:t>
      </w:r>
    </w:p>
    <w:p>
      <w:pPr>
        <w:pStyle w:val="TextBody"/>
        <w:bidi w:val="0"/>
        <w:jc w:val="both"/>
        <w:rPr>
          <w:color w:val="000000"/>
        </w:rPr>
      </w:pPr>
      <w:r>
        <w:rPr>
          <w:color w:val="000000"/>
        </w:rPr>
        <w:t xml:space="preserve">▪ </w:t>
      </w:r>
      <w:r>
        <w:rPr>
          <w:rFonts w:ascii="sans-serif" w:hAnsi="sans-serif"/>
          <w:color w:val="000000"/>
          <w:sz w:val="20"/>
        </w:rPr>
        <w:t>The Company expects consistent sequential sales volumes in the second quarter, with some growth over the prior-year quarter, and to continue to outpace bedding industry revenue trends in what it anticipates to remain a pressured demand environment for home furnishings.</w:t>
      </w:r>
    </w:p>
    <w:p>
      <w:pPr>
        <w:pStyle w:val="TextBody"/>
        <w:bidi w:val="0"/>
        <w:jc w:val="both"/>
        <w:rPr/>
      </w:pPr>
      <w:r>
        <w:rPr>
          <w:color w:val="000000"/>
        </w:rPr>
        <w:t xml:space="preserve">▪ </w:t>
      </w:r>
      <w:r>
        <w:rPr>
          <w:rFonts w:ascii="sans-serif" w:hAnsi="sans-serif"/>
          <w:color w:val="000000"/>
          <w:sz w:val="20"/>
        </w:rPr>
        <w:t xml:space="preserve">The Company expects the operational benefits of its recent integration and platform optimization initiatives, along with recent pricing and strategic actions, to drive break-even operating income for the second quarter, which would be a significant improvement from the comparable prior-year period in what remains a challenging market environment. The Company also expects accelerating adjusted EBITDA results for the second quarter. </w:t>
      </w:r>
    </w:p>
    <w:p>
      <w:pPr>
        <w:pStyle w:val="TextBody"/>
        <w:bidi w:val="0"/>
        <w:jc w:val="both"/>
        <w:rPr>
          <w:color w:val="000000"/>
        </w:rPr>
      </w:pPr>
      <w:r>
        <w:rPr>
          <w:color w:val="000000"/>
        </w:rPr>
        <w:t xml:space="preserve">▪ </w:t>
      </w:r>
      <w:r>
        <w:rPr>
          <w:rFonts w:ascii="sans-serif" w:hAnsi="sans-serif"/>
          <w:color w:val="000000"/>
          <w:sz w:val="20"/>
        </w:rPr>
        <w:t>The Company will continue to prioritize debt reduction and free cash flow generation, and expects to continue improving its net debt position throughout the second quarter while maintaining some strategic borrowings under its China credit facilities to both maintain flexibility and leverage preferred interest rates.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Fiscal 2027 First Quarter Business Segment Highlights</w:t>
      </w:r>
    </w:p>
    <w:p>
      <w:pPr>
        <w:pStyle w:val="TextBody"/>
        <w:bidi w:val="0"/>
        <w:jc w:val="left"/>
        <w:rPr>
          <w:rFonts w:ascii="sans-serif" w:hAnsi="sans-serif"/>
          <w:sz w:val="20"/>
        </w:rPr>
      </w:pPr>
      <w:r>
        <w:rPr>
          <w:rFonts w:ascii="sans-serif" w:hAnsi="sans-serif"/>
          <w:i/>
          <w:color w:val="000000"/>
          <w:sz w:val="20"/>
        </w:rPr>
        <w:t>Bedding</w:t>
      </w:r>
      <w:r>
        <w:rPr>
          <w:rFonts w:ascii="sans-serif" w:hAnsi="sans-serif"/>
          <w:color w:val="000000"/>
          <w:sz w:val="20"/>
        </w:rPr>
        <w:t xml:space="preserve"> </w:t>
      </w:r>
    </w:p>
    <w:p>
      <w:pPr>
        <w:pStyle w:val="TextBody"/>
        <w:bidi w:val="0"/>
        <w:jc w:val="both"/>
        <w:rPr/>
      </w:pPr>
      <w:r>
        <w:rPr>
          <w:color w:val="000000"/>
        </w:rPr>
        <w:t xml:space="preserve">▪ </w:t>
      </w:r>
      <w:r>
        <w:rPr>
          <w:rFonts w:ascii="sans-serif" w:hAnsi="sans-serif"/>
          <w:color w:val="000000"/>
          <w:sz w:val="20"/>
        </w:rPr>
        <w:t xml:space="preserve">Sales in this segment were $31.8 million for the first quarter, up 13.2% compared with the prior-year period despite there being one less week in the first quarter. </w:t>
      </w:r>
    </w:p>
    <w:p>
      <w:pPr>
        <w:pStyle w:val="TextBody"/>
        <w:bidi w:val="0"/>
        <w:jc w:val="both"/>
        <w:rPr>
          <w:color w:val="000000"/>
        </w:rPr>
      </w:pPr>
      <w:r>
        <w:rPr>
          <w:color w:val="000000"/>
        </w:rPr>
        <w:t xml:space="preserve">▪ </w:t>
      </w:r>
      <w:r>
        <w:rPr>
          <w:rFonts w:ascii="sans-serif" w:hAnsi="sans-serif"/>
          <w:color w:val="000000"/>
          <w:sz w:val="20"/>
        </w:rPr>
        <w:t>Gross profit (excluding the impact of the tariff-related recoveries) in the bedding segment was $4.3 million, or 13.6% of sales, a significant improvement from the prior-year period’s gross profit of $2.9 million, or 10.5% of sales, driven primarily by higher revenue and enhanced operating efficiencies.</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First Quarter Fiscal 2027</w:t>
      </w:r>
    </w:p>
    <w:p>
      <w:pPr>
        <w:pStyle w:val="TextBody"/>
        <w:bidi w:val="0"/>
        <w:jc w:val="left"/>
        <w:rPr>
          <w:rFonts w:ascii="Arial" w:hAnsi="Arial"/>
          <w:color w:val="000000"/>
          <w:sz w:val="20"/>
        </w:rPr>
      </w:pPr>
      <w:r>
        <w:rPr>
          <w:rFonts w:ascii="Arial" w:hAnsi="Arial"/>
          <w:color w:val="000000"/>
          <w:sz w:val="20"/>
        </w:rPr>
        <w:t>Page 3</w:t>
      </w:r>
    </w:p>
    <w:p>
      <w:pPr>
        <w:pStyle w:val="TextBody"/>
        <w:bidi w:val="0"/>
        <w:jc w:val="left"/>
        <w:rPr>
          <w:rFonts w:ascii="Arial" w:hAnsi="Arial"/>
          <w:color w:val="000000"/>
          <w:sz w:val="20"/>
        </w:rPr>
      </w:pPr>
      <w:r>
        <w:rPr>
          <w:rFonts w:ascii="Arial" w:hAnsi="Arial"/>
          <w:color w:val="000000"/>
          <w:sz w:val="20"/>
        </w:rPr>
        <w:t>September 9, 2026</w:t>
      </w:r>
    </w:p>
    <w:p>
      <w:pPr>
        <w:pStyle w:val="TextBody"/>
        <w:bidi w:val="0"/>
        <w:jc w:val="left"/>
        <w:rPr/>
      </w:pPr>
      <w:r>
        <w:rPr/>
        <w:t> </w:t>
      </w:r>
    </w:p>
    <w:p>
      <w:pPr>
        <w:pStyle w:val="TextBody"/>
        <w:bidi w:val="0"/>
        <w:jc w:val="left"/>
        <w:rPr>
          <w:rFonts w:ascii="sans-serif" w:hAnsi="sans-serif"/>
          <w:sz w:val="20"/>
        </w:rPr>
      </w:pPr>
      <w:r>
        <w:rPr>
          <w:rFonts w:ascii="sans-serif" w:hAnsi="sans-serif"/>
          <w:i/>
          <w:color w:val="000000"/>
          <w:sz w:val="20"/>
        </w:rPr>
        <w:t>Upholstery</w:t>
      </w:r>
      <w:r>
        <w:rPr>
          <w:rFonts w:ascii="sans-serif" w:hAnsi="sans-serif"/>
          <w:color w:val="000000"/>
          <w:sz w:val="20"/>
        </w:rPr>
        <w:t xml:space="preserve"> </w:t>
      </w:r>
    </w:p>
    <w:p>
      <w:pPr>
        <w:pStyle w:val="TextBody"/>
        <w:bidi w:val="0"/>
        <w:jc w:val="both"/>
        <w:rPr/>
      </w:pPr>
      <w:r>
        <w:rPr>
          <w:color w:val="000000"/>
        </w:rPr>
        <w:t xml:space="preserve">▪ </w:t>
      </w:r>
      <w:r>
        <w:rPr>
          <w:rFonts w:ascii="sans-serif" w:hAnsi="sans-serif"/>
          <w:color w:val="000000"/>
          <w:sz w:val="20"/>
        </w:rPr>
        <w:t xml:space="preserve">Sales in this segment were $22.2 million for the first quarter, generally flat to prior-year period sales of $22.7 million despite the shorter selling period. </w:t>
      </w:r>
    </w:p>
    <w:p>
      <w:pPr>
        <w:pStyle w:val="TextBody"/>
        <w:bidi w:val="0"/>
        <w:jc w:val="both"/>
        <w:rPr/>
      </w:pPr>
      <w:r>
        <w:rPr>
          <w:color w:val="000000"/>
        </w:rPr>
        <w:t xml:space="preserve">▪ </w:t>
      </w:r>
      <w:r>
        <w:rPr>
          <w:rFonts w:ascii="sans-serif" w:hAnsi="sans-serif"/>
          <w:color w:val="000000"/>
          <w:sz w:val="20"/>
        </w:rPr>
        <w:t xml:space="preserve">Gross profit (excluding the impact of the tariff-related recoveries) was $4.1 million, or 18.6% of sales, compared to $4.3 million, or 18.9% of sales, in the prior-year period, reflecting consistent operating margins. </w:t>
      </w:r>
    </w:p>
    <w:p>
      <w:pPr>
        <w:pStyle w:val="TextBody"/>
        <w:bidi w:val="0"/>
        <w:jc w:val="both"/>
        <w:rPr/>
      </w:pPr>
      <w:r>
        <w:rPr/>
        <w:t> </w:t>
      </w:r>
    </w:p>
    <w:p>
      <w:pPr>
        <w:pStyle w:val="TextBody"/>
        <w:bidi w:val="0"/>
        <w:jc w:val="both"/>
        <w:rPr>
          <w:rFonts w:ascii="sans-serif" w:hAnsi="sans-serif"/>
          <w:sz w:val="20"/>
        </w:rPr>
      </w:pPr>
      <w:r>
        <w:rPr>
          <w:rFonts w:ascii="sans-serif" w:hAnsi="sans-serif"/>
          <w:b/>
          <w:color w:val="000000"/>
          <w:sz w:val="20"/>
        </w:rPr>
        <w:t>Conference Call</w:t>
      </w:r>
      <w:r>
        <w:rPr>
          <w:rFonts w:ascii="sans-serif" w:hAnsi="sans-serif"/>
          <w:color w:val="000000"/>
          <w:sz w:val="20"/>
        </w:rPr>
        <w:t xml:space="preserve"> </w:t>
      </w:r>
    </w:p>
    <w:p>
      <w:pPr>
        <w:pStyle w:val="TextBody"/>
        <w:bidi w:val="0"/>
        <w:jc w:val="both"/>
        <w:rPr>
          <w:rFonts w:ascii="sans-serif" w:hAnsi="sans-serif"/>
          <w:color w:val="000000"/>
          <w:sz w:val="20"/>
        </w:rPr>
      </w:pPr>
      <w:r>
        <w:rPr>
          <w:rFonts w:ascii="sans-serif" w:hAnsi="sans-serif"/>
          <w:color w:val="000000"/>
          <w:sz w:val="20"/>
        </w:rPr>
        <w:t>Culp, Inc. will hold a conference call to discuss financial results for the first quarter of its fiscal year 2027 on Thursday, September 10, 2026, at 9:00 a.m. Eastern Time. A live webcast of this call can be accessed on the “Upcoming Events” section on the “Investor Relations” page of the Company’s website, www.culp.com. A replay of the webcast will be available for 30 days under the “Past Events” section on the “Investor Relations” page of the Company’s website.</w:t>
      </w:r>
    </w:p>
    <w:p>
      <w:pPr>
        <w:pStyle w:val="TextBody"/>
        <w:bidi w:val="0"/>
        <w:jc w:val="both"/>
        <w:rPr>
          <w:rFonts w:ascii="sans-serif" w:hAnsi="sans-serif"/>
          <w:b/>
          <w:color w:val="000000"/>
          <w:sz w:val="20"/>
        </w:rPr>
      </w:pPr>
      <w:r>
        <w:rPr>
          <w:rFonts w:ascii="sans-serif" w:hAnsi="sans-serif"/>
          <w:b/>
          <w:color w:val="000000"/>
          <w:sz w:val="20"/>
        </w:rPr>
        <w:t>About the Company</w:t>
      </w:r>
    </w:p>
    <w:p>
      <w:pPr>
        <w:pStyle w:val="TextBody"/>
        <w:bidi w:val="0"/>
        <w:jc w:val="both"/>
        <w:rPr>
          <w:rFonts w:ascii="sans-serif" w:hAnsi="sans-serif"/>
          <w:color w:val="000000"/>
          <w:sz w:val="20"/>
        </w:rPr>
      </w:pPr>
      <w:r>
        <w:rPr>
          <w:rFonts w:ascii="sans-serif" w:hAnsi="sans-serif"/>
          <w:color w:val="000000"/>
          <w:sz w:val="20"/>
        </w:rPr>
        <w:t xml:space="preserve">Culp, Inc. is one of the largest marketers of mattress fabrics for bedding and upholstery fabrics for residential, commercial, and hospitality furniture and other applications in North America. The Company markets a variety of fabrics to its global customer base of leading bedding and furniture companies, including fabrics produced at Culp’s manufacturing facilities and fabrics sourced through other suppliers. Culp has manufacturing and sourcing capabilities located in the United States, China, Haiti, Turkey, and Vietnam. </w:t>
      </w:r>
    </w:p>
    <w:p>
      <w:pPr>
        <w:pStyle w:val="TextBody"/>
        <w:bidi w:val="0"/>
        <w:jc w:val="both"/>
        <w:rPr>
          <w:rFonts w:ascii="sans-serif" w:hAnsi="sans-serif"/>
          <w:b/>
          <w:color w:val="000000"/>
          <w:sz w:val="20"/>
        </w:rPr>
      </w:pPr>
      <w:r>
        <w:rPr>
          <w:rFonts w:ascii="sans-serif" w:hAnsi="sans-serif"/>
          <w:b/>
          <w:color w:val="000000"/>
          <w:sz w:val="20"/>
        </w:rPr>
        <w:t>Investor Relations Contact</w:t>
      </w:r>
    </w:p>
    <w:p>
      <w:pPr>
        <w:pStyle w:val="TextBody"/>
        <w:bidi w:val="0"/>
        <w:jc w:val="both"/>
        <w:rPr>
          <w:rFonts w:ascii="sans-serif" w:hAnsi="sans-serif"/>
          <w:color w:val="000000"/>
          <w:sz w:val="20"/>
        </w:rPr>
      </w:pPr>
      <w:r>
        <w:rPr>
          <w:rFonts w:ascii="sans-serif" w:hAnsi="sans-serif"/>
          <w:color w:val="000000"/>
          <w:sz w:val="20"/>
        </w:rPr>
        <w:t xml:space="preserve">Ken Bowling, Executive Vice President, Chief Financial Officer, and Treasurer: </w:t>
      </w:r>
    </w:p>
    <w:p>
      <w:pPr>
        <w:pStyle w:val="TextBody"/>
        <w:bidi w:val="0"/>
        <w:jc w:val="both"/>
        <w:rPr>
          <w:rFonts w:ascii="sans-serif" w:hAnsi="sans-serif"/>
          <w:color w:val="000000"/>
          <w:sz w:val="20"/>
        </w:rPr>
      </w:pPr>
      <w:r>
        <w:rPr>
          <w:rFonts w:ascii="sans-serif" w:hAnsi="sans-serif"/>
          <w:color w:val="000000"/>
          <w:sz w:val="20"/>
        </w:rPr>
        <w:t>(336) 881-5630</w:t>
      </w:r>
    </w:p>
    <w:p>
      <w:pPr>
        <w:pStyle w:val="TextBody"/>
        <w:bidi w:val="0"/>
        <w:jc w:val="both"/>
        <w:rPr>
          <w:rFonts w:ascii="sans-serif" w:hAnsi="sans-serif"/>
          <w:color w:val="000000"/>
          <w:sz w:val="20"/>
        </w:rPr>
      </w:pPr>
      <w:r>
        <w:rPr>
          <w:rFonts w:ascii="sans-serif" w:hAnsi="sans-serif"/>
          <w:color w:val="000000"/>
          <w:sz w:val="20"/>
        </w:rPr>
        <w:t xml:space="preserve">krbowling@culp.com </w:t>
      </w:r>
    </w:p>
    <w:p>
      <w:pPr>
        <w:pStyle w:val="TextBody"/>
        <w:bidi w:val="0"/>
        <w:jc w:val="both"/>
        <w:rPr>
          <w:rFonts w:ascii="sans-serif" w:hAnsi="sans-serif"/>
          <w:b/>
          <w:color w:val="000000"/>
          <w:sz w:val="20"/>
        </w:rPr>
      </w:pPr>
      <w:r>
        <w:rPr>
          <w:rFonts w:ascii="sans-serif" w:hAnsi="sans-serif"/>
          <w:b/>
          <w:color w:val="000000"/>
          <w:sz w:val="20"/>
        </w:rPr>
        <w:t>Forward Looking Statements</w:t>
      </w:r>
    </w:p>
    <w:p>
      <w:pPr>
        <w:pStyle w:val="TextBody"/>
        <w:bidi w:val="0"/>
        <w:jc w:val="both"/>
        <w:rPr>
          <w:rFonts w:ascii="sans-serif" w:hAnsi="sans-serif"/>
          <w:color w:val="000000"/>
          <w:sz w:val="20"/>
        </w:rPr>
      </w:pPr>
      <w:r>
        <w:rPr>
          <w:rFonts w:ascii="sans-serif" w:hAnsi="sans-serif"/>
          <w:color w:val="000000"/>
          <w:sz w:val="20"/>
        </w:rPr>
        <w:t>This release contains “forward-looking statements” within the meaning of the federal securities laws, including the Private Securities Litigation Reform Act of 1995 (Section 27A of the Securities Act of 1933 and Section 21E of the Securities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expectations with respect to tariffs, strategic initiatives and plans, restructuring and integration actions, production levels, new product launches, sales, profit margins, profitability, operating (loss) income, capital expenditures, working capital levels, cost savings (including, without limitation, anticipated cost savings from restructuring and integration actions), income taxes, SG&amp;A or other expenses, pre-tax (loss) income, earnings, cash flow, and other performance or liquidity measures, as well as any statements regarding dividends, share repurchases, liquidity, use of cash and cash requirements, ending cash balances and cash positions, borrowing capacity, investments, potential acquisitions, cash and non-cash restructuring and restructuring-related charges, expenses, and/or credits, net proceeds from restructuring related asset dispositions, future economic or industry trends, public health epidemics, or other future developments. There can be no assurance that we will realize these expectations or meet our guidance, or that these beliefs will prove correct.</w:t>
      </w:r>
    </w:p>
    <w:p>
      <w:pPr>
        <w:pStyle w:val="TextBody"/>
        <w:bidi w:val="0"/>
        <w:jc w:val="both"/>
        <w:rPr>
          <w:rFonts w:ascii="sans-serif" w:hAnsi="sans-serif"/>
          <w:color w:val="000000"/>
          <w:sz w:val="20"/>
        </w:rPr>
      </w:pPr>
      <w:r>
        <w:rPr>
          <w:rFonts w:ascii="sans-serif" w:hAnsi="sans-serif"/>
          <w:color w:val="000000"/>
          <w:sz w:val="20"/>
        </w:rPr>
        <w:t xml:space="preserve">Factors that could influence the matters discussed in such statements include the level of housing starts and sales of existing homes, demand for home furnishings products,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Relatedly, litigation is ongoing as to whether businesses that paid tariffs that were invalidated by the U.S. Supreme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First Quarter Fiscal 2027</w:t>
      </w:r>
    </w:p>
    <w:p>
      <w:pPr>
        <w:pStyle w:val="TextBody"/>
        <w:bidi w:val="0"/>
        <w:jc w:val="left"/>
        <w:rPr>
          <w:rFonts w:ascii="Arial" w:hAnsi="Arial"/>
          <w:color w:val="000000"/>
          <w:sz w:val="20"/>
        </w:rPr>
      </w:pPr>
      <w:r>
        <w:rPr>
          <w:rFonts w:ascii="Arial" w:hAnsi="Arial"/>
          <w:color w:val="000000"/>
          <w:sz w:val="20"/>
        </w:rPr>
        <w:t>Page 4</w:t>
      </w:r>
    </w:p>
    <w:p>
      <w:pPr>
        <w:pStyle w:val="TextBody"/>
        <w:bidi w:val="0"/>
        <w:jc w:val="left"/>
        <w:rPr>
          <w:rFonts w:ascii="Arial" w:hAnsi="Arial"/>
          <w:color w:val="000000"/>
          <w:sz w:val="20"/>
        </w:rPr>
      </w:pPr>
      <w:r>
        <w:rPr>
          <w:rFonts w:ascii="Arial" w:hAnsi="Arial"/>
          <w:color w:val="000000"/>
          <w:sz w:val="20"/>
        </w:rPr>
        <w:t>September 9, 2026</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Court in February 2026 may receive or retain refunds for those tariffs, which could be significant. Also, economic or political instability in international areas could affect our operations or sources of goods in those areas, as well as demand for our products in international markets. The future performance of our business depends in part on our success in conducting and finalizing acquisition negotiations and integrating acquired businesses into our existing operations. The impact of public health emergencies or epidemics on employees, customers, suppliers, and the global economy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successfully restructure our bedding operations, integrate our bedding and upholstery segments and realize the expected benefits of that integration effort, which may not meet our expectations. Further information about these factors, as well as other factors that could affect our future operations or financial results and the matters discussed in forward-looking statements, is included in Item 1A “Risk Factors” in our most recent Form 10-K report filed with the Securities and Exchange Commission.</w:t>
      </w:r>
    </w:p>
    <w:p>
      <w:pPr>
        <w:pStyle w:val="TextBody"/>
        <w:bidi w:val="0"/>
        <w:jc w:val="both"/>
        <w:rPr>
          <w:rFonts w:ascii="sans-serif" w:hAnsi="sans-serif"/>
          <w:color w:val="000000"/>
          <w:sz w:val="20"/>
        </w:rPr>
      </w:pPr>
      <w:r>
        <w:rPr>
          <w:rFonts w:ascii="sans-serif" w:hAnsi="sans-serif"/>
          <w:color w:val="000000"/>
          <w:sz w:val="20"/>
        </w:rPr>
        <w:t xml:space="preserve">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release as anticipated, believed, estimated, expected, intended, planned or projected. The forward-looking statements included in this release are made only as of the date of this release. Unless required by United States federal securities laws, we neither intend nor assume any obligation to update these forward-looking statements for any reason after the date of this release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First Quarter Fiscal 2027</w:t>
      </w:r>
    </w:p>
    <w:p>
      <w:pPr>
        <w:pStyle w:val="TextBody"/>
        <w:bidi w:val="0"/>
        <w:jc w:val="left"/>
        <w:rPr>
          <w:rFonts w:ascii="Arial" w:hAnsi="Arial"/>
          <w:color w:val="000000"/>
          <w:sz w:val="20"/>
        </w:rPr>
      </w:pPr>
      <w:r>
        <w:rPr>
          <w:rFonts w:ascii="Arial" w:hAnsi="Arial"/>
          <w:color w:val="000000"/>
          <w:sz w:val="20"/>
        </w:rPr>
        <w:t>Page 5</w:t>
      </w:r>
    </w:p>
    <w:p>
      <w:pPr>
        <w:pStyle w:val="TextBody"/>
        <w:bidi w:val="0"/>
        <w:jc w:val="left"/>
        <w:rPr>
          <w:rFonts w:ascii="Arial" w:hAnsi="Arial"/>
          <w:color w:val="000000"/>
          <w:sz w:val="20"/>
        </w:rPr>
      </w:pPr>
      <w:r>
        <w:rPr>
          <w:rFonts w:ascii="Arial" w:hAnsi="Arial"/>
          <w:color w:val="000000"/>
          <w:sz w:val="20"/>
        </w:rPr>
        <w:t>September 9, 2026</w:t>
      </w:r>
    </w:p>
    <w:p>
      <w:pPr>
        <w:pStyle w:val="TextBody"/>
        <w:bidi w:val="0"/>
        <w:jc w:val="left"/>
        <w:rPr/>
      </w:pPr>
      <w:r>
        <w:rPr/>
        <w:t> </w:t>
      </w:r>
    </w:p>
    <w:p>
      <w:pPr>
        <w:pStyle w:val="TextBody"/>
        <w:bidi w:val="0"/>
        <w:jc w:val="center"/>
        <w:rPr>
          <w:rFonts w:ascii="Arial" w:hAnsi="Arial"/>
          <w:sz w:val="20"/>
        </w:rPr>
      </w:pPr>
      <w:r>
        <w:rPr>
          <w:rFonts w:ascii="Arial" w:hAnsi="Arial"/>
          <w:b/>
          <w:color w:val="404040"/>
          <w:sz w:val="20"/>
        </w:rPr>
        <w:t>CULP, INC.</w:t>
      </w:r>
      <w:r>
        <w:rPr>
          <w:rFonts w:ascii="Arial" w:hAnsi="Arial"/>
          <w:color w:val="404040"/>
          <w:sz w:val="20"/>
        </w:rPr>
        <w:t xml:space="preserve"> </w:t>
      </w:r>
    </w:p>
    <w:p>
      <w:pPr>
        <w:pStyle w:val="TextBody"/>
        <w:bidi w:val="0"/>
        <w:jc w:val="center"/>
        <w:rPr>
          <w:rFonts w:ascii="Arial" w:hAnsi="Arial"/>
          <w:b/>
          <w:color w:val="404040"/>
          <w:sz w:val="20"/>
        </w:rPr>
      </w:pPr>
      <w:r>
        <w:rPr>
          <w:rFonts w:ascii="Arial" w:hAnsi="Arial"/>
          <w:b/>
          <w:color w:val="404040"/>
          <w:sz w:val="20"/>
        </w:rPr>
        <w:t>CONSOLIDATED STATEMENTS OF NET INCOME (LOSS)</w:t>
      </w:r>
    </w:p>
    <w:p>
      <w:pPr>
        <w:pStyle w:val="TextBody"/>
        <w:bidi w:val="0"/>
        <w:jc w:val="center"/>
        <w:rPr>
          <w:rFonts w:ascii="Arial" w:hAnsi="Arial"/>
          <w:b/>
          <w:color w:val="404040"/>
          <w:sz w:val="20"/>
        </w:rPr>
      </w:pPr>
      <w:r>
        <w:rPr>
          <w:rFonts w:ascii="Arial" w:hAnsi="Arial"/>
          <w:b/>
          <w:color w:val="404040"/>
          <w:sz w:val="20"/>
        </w:rPr>
        <w:t>FOR THE THREE MONTHS ENDED AUGUST 2, 2026 AND AUGUST 3, 2025</w:t>
      </w:r>
    </w:p>
    <w:p>
      <w:pPr>
        <w:pStyle w:val="TextBody"/>
        <w:bidi w:val="0"/>
        <w:jc w:val="center"/>
        <w:rPr>
          <w:rFonts w:ascii="Arial" w:hAnsi="Arial"/>
          <w:b/>
          <w:color w:val="404040"/>
          <w:sz w:val="18"/>
        </w:rPr>
      </w:pPr>
      <w:r>
        <w:rPr>
          <w:rFonts w:ascii="Arial" w:hAnsi="Arial"/>
          <w:b/>
          <w:color w:val="404040"/>
          <w:sz w:val="18"/>
        </w:rPr>
        <w:t>Unaudited</w:t>
      </w:r>
    </w:p>
    <w:p>
      <w:pPr>
        <w:pStyle w:val="TextBody"/>
        <w:bidi w:val="0"/>
        <w:jc w:val="center"/>
        <w:rPr>
          <w:rFonts w:ascii="Arial" w:hAnsi="Arial"/>
          <w:b/>
          <w:color w:val="404040"/>
          <w:sz w:val="18"/>
        </w:rPr>
      </w:pPr>
      <w:r>
        <w:rPr>
          <w:rFonts w:ascii="Arial" w:hAnsi="Arial"/>
          <w:b/>
          <w:color w:val="404040"/>
          <w:sz w:val="18"/>
        </w:rPr>
        <w:t>(Amounts in Thousands, Except for Per Share Data)</w:t>
      </w:r>
    </w:p>
    <w:p>
      <w:pPr>
        <w:pStyle w:val="TextBody"/>
        <w:bidi w:val="0"/>
        <w:jc w:val="center"/>
        <w:rPr/>
      </w:pPr>
      <w:r>
        <w:rPr/>
        <w:t> </w:t>
      </w:r>
    </w:p>
    <w:p>
      <w:pPr>
        <w:pStyle w:val="TextBody"/>
        <w:bidi w:val="0"/>
        <w:jc w:val="left"/>
        <w:rPr/>
      </w:pPr>
      <w:r>
        <w:rPr/>
        <w:t> </w:t>
      </w:r>
    </w:p>
    <w:p>
      <w:pPr>
        <w:pStyle w:val="TextBody"/>
        <w:bidi w:val="0"/>
        <w:jc w:val="left"/>
        <w:rPr/>
      </w:pPr>
      <w:r>
        <w:rPr/>
        <w:t> </w:t>
      </w:r>
    </w:p>
    <w:tbl>
      <w:tblPr>
        <w:tblW w:w="8880" w:type="dxa"/>
        <w:jc w:val="left"/>
        <w:tblInd w:w="0" w:type="dxa"/>
        <w:tblLayout w:type="fixed"/>
        <w:tblCellMar>
          <w:top w:w="28" w:type="dxa"/>
          <w:left w:w="28" w:type="dxa"/>
          <w:bottom w:w="28" w:type="dxa"/>
          <w:right w:w="28" w:type="dxa"/>
        </w:tblCellMar>
      </w:tblPr>
      <w:tblGrid>
        <w:gridCol w:w="2776"/>
        <w:gridCol w:w="146"/>
        <w:gridCol w:w="199"/>
        <w:gridCol w:w="671"/>
        <w:gridCol w:w="166"/>
        <w:gridCol w:w="146"/>
        <w:gridCol w:w="196"/>
        <w:gridCol w:w="661"/>
        <w:gridCol w:w="166"/>
        <w:gridCol w:w="146"/>
        <w:gridCol w:w="146"/>
        <w:gridCol w:w="571"/>
        <w:gridCol w:w="316"/>
        <w:gridCol w:w="146"/>
        <w:gridCol w:w="192"/>
        <w:gridCol w:w="678"/>
        <w:gridCol w:w="256"/>
        <w:gridCol w:w="146"/>
        <w:gridCol w:w="176"/>
        <w:gridCol w:w="619"/>
        <w:gridCol w:w="36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Percent of Sales</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August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August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 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August 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August 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(Under)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53,973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71.5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85.7</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(expense)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 expense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120.3</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Average shares outstanding-basic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Average shares outstanding-diluted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pBdr>
          <w:bottom w:val="single" w:sz="4" w:space="1" w:color="000000"/>
        </w:pBdr>
        <w:bidi w:val="0"/>
        <w:jc w:val="left"/>
        <w:rPr>
          <w:rFonts w:ascii="Arial" w:hAnsi="Arial"/>
          <w:color w:val="404040"/>
          <w:sz w:val="16"/>
        </w:rPr>
      </w:pPr>
      <w:r>
        <w:rPr>
          <w:rFonts w:ascii="Arial" w:hAnsi="Arial"/>
          <w:color w:val="404040"/>
          <w:sz w:val="16"/>
        </w:rPr>
        <w:t>Notes</w:t>
      </w:r>
    </w:p>
    <w:p>
      <w:pPr>
        <w:pStyle w:val="TextBody"/>
        <w:bidi w:val="0"/>
        <w:jc w:val="both"/>
        <w:rPr>
          <w:rFonts w:ascii="Arial" w:hAnsi="Arial"/>
          <w:color w:val="404040"/>
          <w:sz w:val="16"/>
        </w:rPr>
      </w:pPr>
      <w:r>
        <w:rPr>
          <w:rFonts w:ascii="Arial" w:hAnsi="Arial"/>
          <w:color w:val="404040"/>
          <w:sz w:val="16"/>
        </w:rPr>
        <w:t>(1) Other income includes $814,000 related to insurance proceeds in connection with the resolution of a legal matter.</w:t>
      </w:r>
    </w:p>
    <w:p>
      <w:pPr>
        <w:pStyle w:val="TextBody"/>
        <w:bidi w:val="0"/>
        <w:jc w:val="both"/>
        <w:rPr/>
      </w:pPr>
      <w:r>
        <w:rPr/>
        <w:t> </w:t>
      </w:r>
    </w:p>
    <w:p>
      <w:pPr>
        <w:pStyle w:val="TextBody"/>
        <w:bidi w:val="0"/>
        <w:jc w:val="both"/>
        <w:rPr>
          <w:rFonts w:ascii="Arial" w:hAnsi="Arial"/>
          <w:color w:val="404040"/>
          <w:sz w:val="16"/>
        </w:rPr>
      </w:pPr>
      <w:r>
        <w:rPr>
          <w:rFonts w:ascii="Arial" w:hAnsi="Arial"/>
          <w:color w:val="404040"/>
          <w:sz w:val="16"/>
        </w:rPr>
        <w:t>(2) The percent of sales column for income tax expense is calculated as a percent of income before income taxes.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First Quarter Fiscal 2027</w:t>
      </w:r>
    </w:p>
    <w:p>
      <w:pPr>
        <w:pStyle w:val="TextBody"/>
        <w:bidi w:val="0"/>
        <w:jc w:val="left"/>
        <w:rPr>
          <w:rFonts w:ascii="Arial" w:hAnsi="Arial"/>
          <w:color w:val="000000"/>
          <w:sz w:val="20"/>
        </w:rPr>
      </w:pPr>
      <w:r>
        <w:rPr>
          <w:rFonts w:ascii="Arial" w:hAnsi="Arial"/>
          <w:color w:val="000000"/>
          <w:sz w:val="20"/>
        </w:rPr>
        <w:t>Page 6</w:t>
      </w:r>
    </w:p>
    <w:p>
      <w:pPr>
        <w:pStyle w:val="TextBody"/>
        <w:bidi w:val="0"/>
        <w:jc w:val="left"/>
        <w:rPr>
          <w:rFonts w:ascii="Arial" w:hAnsi="Arial"/>
          <w:color w:val="000000"/>
          <w:sz w:val="20"/>
        </w:rPr>
      </w:pPr>
      <w:r>
        <w:rPr>
          <w:rFonts w:ascii="Arial" w:hAnsi="Arial"/>
          <w:color w:val="000000"/>
          <w:sz w:val="20"/>
        </w:rPr>
        <w:t>September 9, 2026</w:t>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20"/>
        </w:rPr>
      </w:pPr>
      <w:r>
        <w:rPr>
          <w:rFonts w:ascii="Arial" w:hAnsi="Arial"/>
          <w:b/>
          <w:color w:val="000000"/>
          <w:sz w:val="20"/>
        </w:rPr>
        <w:t>CONSOLIDATED BALANCE SHEETS</w:t>
      </w:r>
    </w:p>
    <w:p>
      <w:pPr>
        <w:pStyle w:val="TextBody"/>
        <w:bidi w:val="0"/>
        <w:jc w:val="center"/>
        <w:rPr>
          <w:rFonts w:ascii="Arial" w:hAnsi="Arial"/>
          <w:b/>
          <w:color w:val="000000"/>
          <w:sz w:val="20"/>
        </w:rPr>
      </w:pPr>
      <w:r>
        <w:rPr>
          <w:rFonts w:ascii="Arial" w:hAnsi="Arial"/>
          <w:b/>
          <w:color w:val="000000"/>
          <w:sz w:val="20"/>
        </w:rPr>
        <w:t>AUGUST 2, 2026, AUGUST 3, 2025, AND MAY 3, 2026</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both"/>
        <w:rPr/>
      </w:pPr>
      <w:r>
        <w:rPr/>
        <w:t> </w:t>
      </w:r>
    </w:p>
    <w:tbl>
      <w:tblPr>
        <w:tblW w:w="7822" w:type="dxa"/>
        <w:jc w:val="left"/>
        <w:tblInd w:w="0" w:type="dxa"/>
        <w:tblLayout w:type="fixed"/>
        <w:tblCellMar>
          <w:top w:w="28" w:type="dxa"/>
          <w:left w:w="28" w:type="dxa"/>
          <w:bottom w:w="28" w:type="dxa"/>
          <w:right w:w="28" w:type="dxa"/>
        </w:tblCellMar>
      </w:tblPr>
      <w:tblGrid>
        <w:gridCol w:w="3231"/>
        <w:gridCol w:w="146"/>
        <w:gridCol w:w="251"/>
        <w:gridCol w:w="889"/>
        <w:gridCol w:w="146"/>
        <w:gridCol w:w="146"/>
        <w:gridCol w:w="235"/>
        <w:gridCol w:w="830"/>
        <w:gridCol w:w="146"/>
        <w:gridCol w:w="146"/>
        <w:gridCol w:w="235"/>
        <w:gridCol w:w="830"/>
        <w:gridCol w:w="59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(Condensed)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(Condensed)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(Condensed)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August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August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 May 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Short-term investments -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42,253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47,494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Short-term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Current 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78,753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80,697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plant &amp;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investments -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4,991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108,486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111,990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Lines of credit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Accounts payable -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Accounts payable -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Operating lease liability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compensation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Accrued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Income taxes payable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43,477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Line of credit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liability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payable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4,883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compensation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63,843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54,201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48,147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liabilities and shareholders'</w:t>
              <w:br/>
              <w: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108,486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111,990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i/>
          <w:color w:val="000000"/>
          <w:sz w:val="16"/>
        </w:rPr>
      </w:pPr>
      <w:r>
        <w:rPr>
          <w:rFonts w:ascii="Arial" w:hAnsi="Arial"/>
          <w:i/>
          <w:color w:val="000000"/>
          <w:sz w:val="16"/>
        </w:rPr>
        <w:t>* Derived from audited financial statements.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First Quarter Fiscal 2027</w:t>
      </w:r>
    </w:p>
    <w:p>
      <w:pPr>
        <w:pStyle w:val="TextBody"/>
        <w:bidi w:val="0"/>
        <w:jc w:val="left"/>
        <w:rPr>
          <w:rFonts w:ascii="Arial" w:hAnsi="Arial"/>
          <w:color w:val="000000"/>
          <w:sz w:val="20"/>
        </w:rPr>
      </w:pPr>
      <w:r>
        <w:rPr>
          <w:rFonts w:ascii="Arial" w:hAnsi="Arial"/>
          <w:color w:val="000000"/>
          <w:sz w:val="20"/>
        </w:rPr>
        <w:t>Page 7</w:t>
      </w:r>
    </w:p>
    <w:p>
      <w:pPr>
        <w:pStyle w:val="TextBody"/>
        <w:bidi w:val="0"/>
        <w:jc w:val="left"/>
        <w:rPr>
          <w:rFonts w:ascii="Arial" w:hAnsi="Arial"/>
          <w:color w:val="000000"/>
          <w:sz w:val="20"/>
        </w:rPr>
      </w:pPr>
      <w:r>
        <w:rPr>
          <w:rFonts w:ascii="Arial" w:hAnsi="Arial"/>
          <w:color w:val="000000"/>
          <w:sz w:val="20"/>
        </w:rPr>
        <w:t>September 9, 2026</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20"/>
        </w:rPr>
      </w:pPr>
      <w:r>
        <w:rPr>
          <w:rFonts w:ascii="Arial" w:hAnsi="Arial"/>
          <w:b/>
          <w:color w:val="000000"/>
          <w:sz w:val="20"/>
        </w:rPr>
        <w:t>CONSOLIDATED STATEMENTS OF CASH FLOWS</w:t>
      </w:r>
    </w:p>
    <w:p>
      <w:pPr>
        <w:pStyle w:val="TextBody"/>
        <w:bidi w:val="0"/>
        <w:jc w:val="center"/>
        <w:rPr>
          <w:rFonts w:ascii="Arial" w:hAnsi="Arial"/>
          <w:b/>
          <w:color w:val="000000"/>
          <w:sz w:val="20"/>
        </w:rPr>
      </w:pPr>
      <w:r>
        <w:rPr>
          <w:rFonts w:ascii="Arial" w:hAnsi="Arial"/>
          <w:b/>
          <w:color w:val="000000"/>
          <w:sz w:val="20"/>
        </w:rPr>
        <w:t>FOR THE THREE MONTHS ENDED AUGUST 2, 2026 AND AUGUST 3, 2025</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center"/>
        <w:rPr/>
      </w:pPr>
      <w:r>
        <w:rPr/>
        <w:t> </w:t>
      </w:r>
    </w:p>
    <w:tbl>
      <w:tblPr>
        <w:tblW w:w="9151" w:type="dxa"/>
        <w:jc w:val="left"/>
        <w:tblInd w:w="0" w:type="dxa"/>
        <w:tblLayout w:type="fixed"/>
        <w:tblCellMar>
          <w:top w:w="28" w:type="dxa"/>
          <w:left w:w="28" w:type="dxa"/>
          <w:bottom w:w="28" w:type="dxa"/>
          <w:right w:w="28" w:type="dxa"/>
        </w:tblCellMar>
      </w:tblPr>
      <w:tblGrid>
        <w:gridCol w:w="5956"/>
        <w:gridCol w:w="146"/>
        <w:gridCol w:w="203"/>
        <w:gridCol w:w="686"/>
        <w:gridCol w:w="172"/>
        <w:gridCol w:w="151"/>
        <w:gridCol w:w="203"/>
        <w:gridCol w:w="623"/>
        <w:gridCol w:w="10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August 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August 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5,981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Adjustments to reconcile net income (loss) to net cash provided by (used in)</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Non-cash inventory charge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(843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Realized gain on sale of investments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Gain on sale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Non-cash restructuring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Foreign currency exchange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113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4,542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(1,485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Accounts payable -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Accrued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Accrued expenses and 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724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6"/>
              </w:rPr>
            </w:pPr>
            <w:r>
              <w:rPr>
                <w:rFonts w:ascii="Arial" w:hAnsi="Arial"/>
                <w:color w:val="000000"/>
                <w:sz w:val="16"/>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8,102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Proceeds from the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Proceeds from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Proceeds from the sale of investments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Purchase of investments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Proceeds from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6,122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5,886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Payments on lines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(12,085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Common stock surrendered for withholding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6"/>
              </w:rPr>
            </w:pPr>
            <w:r>
              <w:rPr>
                <w:rFonts w:ascii="Arial" w:hAnsi="Arial"/>
                <w:color w:val="000000"/>
                <w:sz w:val="16"/>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(6,066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foreign currency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1,962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5,465</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8,273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10,235</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11,094</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First Quarter Fiscal 2027</w:t>
      </w:r>
    </w:p>
    <w:p>
      <w:pPr>
        <w:pStyle w:val="TextBody"/>
        <w:bidi w:val="0"/>
        <w:jc w:val="left"/>
        <w:rPr>
          <w:rFonts w:ascii="Arial" w:hAnsi="Arial"/>
          <w:color w:val="000000"/>
          <w:sz w:val="20"/>
        </w:rPr>
      </w:pPr>
      <w:r>
        <w:rPr>
          <w:rFonts w:ascii="Arial" w:hAnsi="Arial"/>
          <w:color w:val="000000"/>
          <w:sz w:val="20"/>
        </w:rPr>
        <w:t>Page 8</w:t>
      </w:r>
    </w:p>
    <w:p>
      <w:pPr>
        <w:pStyle w:val="TextBody"/>
        <w:bidi w:val="0"/>
        <w:jc w:val="left"/>
        <w:rPr>
          <w:rFonts w:ascii="Arial" w:hAnsi="Arial"/>
          <w:color w:val="000000"/>
          <w:sz w:val="20"/>
        </w:rPr>
      </w:pPr>
      <w:r>
        <w:rPr>
          <w:rFonts w:ascii="Arial" w:hAnsi="Arial"/>
          <w:color w:val="000000"/>
          <w:sz w:val="20"/>
        </w:rPr>
        <w:t>September 9, 2026</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20"/>
        </w:rPr>
      </w:pPr>
      <w:r>
        <w:rPr>
          <w:rFonts w:ascii="Arial" w:hAnsi="Arial"/>
          <w:b/>
          <w:color w:val="000000"/>
          <w:sz w:val="20"/>
        </w:rPr>
        <w:t>STATEMENTS OF NET SALES AND GROSS PROFIT BY SEGMENT</w:t>
      </w:r>
    </w:p>
    <w:p>
      <w:pPr>
        <w:pStyle w:val="TextBody"/>
        <w:bidi w:val="0"/>
        <w:jc w:val="center"/>
        <w:rPr>
          <w:rFonts w:ascii="Arial" w:hAnsi="Arial"/>
          <w:b/>
          <w:color w:val="000000"/>
          <w:sz w:val="20"/>
        </w:rPr>
      </w:pPr>
      <w:r>
        <w:rPr>
          <w:rFonts w:ascii="Arial" w:hAnsi="Arial"/>
          <w:b/>
          <w:color w:val="000000"/>
          <w:sz w:val="20"/>
        </w:rPr>
        <w:t>FOR THE THREE MONTHS ENDED AUGUST 2, 2026 AND AUGUST 3, 2025</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center"/>
        <w:rPr/>
      </w:pPr>
      <w:r>
        <w:rPr/>
        <w:t> </w:t>
      </w:r>
    </w:p>
    <w:p>
      <w:pPr>
        <w:pStyle w:val="TextBody"/>
        <w:bidi w:val="0"/>
        <w:jc w:val="center"/>
        <w:rPr/>
      </w:pPr>
      <w:r>
        <w:rPr/>
        <w:t> </w:t>
      </w:r>
    </w:p>
    <w:tbl>
      <w:tblPr>
        <w:tblW w:w="8404" w:type="dxa"/>
        <w:jc w:val="left"/>
        <w:tblInd w:w="0" w:type="dxa"/>
        <w:tblLayout w:type="fixed"/>
        <w:tblCellMar>
          <w:top w:w="28" w:type="dxa"/>
          <w:left w:w="28" w:type="dxa"/>
          <w:bottom w:w="28" w:type="dxa"/>
          <w:right w:w="28" w:type="dxa"/>
        </w:tblCellMar>
      </w:tblPr>
      <w:tblGrid>
        <w:gridCol w:w="2301"/>
        <w:gridCol w:w="146"/>
        <w:gridCol w:w="214"/>
        <w:gridCol w:w="656"/>
        <w:gridCol w:w="146"/>
        <w:gridCol w:w="146"/>
        <w:gridCol w:w="196"/>
        <w:gridCol w:w="601"/>
        <w:gridCol w:w="146"/>
        <w:gridCol w:w="146"/>
        <w:gridCol w:w="150"/>
        <w:gridCol w:w="526"/>
        <w:gridCol w:w="316"/>
        <w:gridCol w:w="146"/>
        <w:gridCol w:w="192"/>
        <w:gridCol w:w="678"/>
        <w:gridCol w:w="256"/>
        <w:gridCol w:w="146"/>
        <w:gridCol w:w="176"/>
        <w:gridCol w:w="619"/>
        <w:gridCol w:w="501"/>
      </w:tblGrid>
      <w:tr>
        <w:trP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Percent of Total Sales</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August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August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 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August 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August 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by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(Under)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Bedding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Upholstery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22,223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44.7</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53,973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 by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Gross Margin</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Bedding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Upholstery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18.6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Tariff Refunds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28.5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pBdr>
          <w:bottom w:val="single" w:sz="4" w:space="1" w:color="000000"/>
        </w:pBdr>
        <w:bidi w:val="0"/>
        <w:jc w:val="left"/>
        <w:rPr>
          <w:rFonts w:ascii="Arial" w:hAnsi="Arial"/>
          <w:color w:val="000000"/>
          <w:sz w:val="18"/>
        </w:rPr>
      </w:pPr>
      <w:r>
        <w:rPr>
          <w:rFonts w:ascii="Arial" w:hAnsi="Arial"/>
          <w:color w:val="000000"/>
          <w:sz w:val="18"/>
        </w:rPr>
        <w:t>Notes</w:t>
      </w:r>
    </w:p>
    <w:p>
      <w:pPr>
        <w:pStyle w:val="TextBody"/>
        <w:bidi w:val="0"/>
        <w:jc w:val="left"/>
        <w:rPr/>
      </w:pPr>
      <w:r>
        <w:rPr/>
        <w:t> </w:t>
      </w:r>
    </w:p>
    <w:p>
      <w:pPr>
        <w:pStyle w:val="TextBody"/>
        <w:bidi w:val="0"/>
        <w:jc w:val="both"/>
        <w:rPr>
          <w:rFonts w:ascii="Arial" w:hAnsi="Arial"/>
          <w:color w:val="000000"/>
          <w:sz w:val="17"/>
        </w:rPr>
      </w:pPr>
      <w:r>
        <w:rPr>
          <w:rFonts w:ascii="Arial" w:hAnsi="Arial"/>
          <w:color w:val="000000"/>
          <w:sz w:val="17"/>
        </w:rPr>
        <w:t>(1) During the three-month period ended August 2, 2026, the company received tariff refunds from the U.S. Customs and Border Protection Agency. The $6.9 million, excluding interest, was recorded within cost of sales in the first quarter fiscal 2027 Consolidated Statement of Net Income.</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First Quarter Fiscal 2027</w:t>
      </w:r>
    </w:p>
    <w:p>
      <w:pPr>
        <w:pStyle w:val="TextBody"/>
        <w:bidi w:val="0"/>
        <w:jc w:val="left"/>
        <w:rPr>
          <w:rFonts w:ascii="Arial" w:hAnsi="Arial"/>
          <w:color w:val="000000"/>
          <w:sz w:val="20"/>
        </w:rPr>
      </w:pPr>
      <w:r>
        <w:rPr>
          <w:rFonts w:ascii="Arial" w:hAnsi="Arial"/>
          <w:color w:val="000000"/>
          <w:sz w:val="20"/>
        </w:rPr>
        <w:t>Page 9</w:t>
      </w:r>
    </w:p>
    <w:p>
      <w:pPr>
        <w:pStyle w:val="TextBody"/>
        <w:bidi w:val="0"/>
        <w:jc w:val="left"/>
        <w:rPr>
          <w:rFonts w:ascii="Arial" w:hAnsi="Arial"/>
          <w:color w:val="000000"/>
          <w:sz w:val="20"/>
        </w:rPr>
      </w:pPr>
      <w:r>
        <w:rPr>
          <w:rFonts w:ascii="Arial" w:hAnsi="Arial"/>
          <w:color w:val="000000"/>
          <w:sz w:val="20"/>
        </w:rPr>
        <w:t>September 9, 2026</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20"/>
        </w:rPr>
      </w:pPr>
      <w:r>
        <w:rPr>
          <w:rFonts w:ascii="Arial" w:hAnsi="Arial"/>
          <w:b/>
          <w:color w:val="000000"/>
          <w:sz w:val="20"/>
        </w:rPr>
        <w:t>RECONCILIATIONS OF NON-GAAP FINANCIAL MEASURES</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RECONCILIATION OF NET DEBT</w:t>
      </w:r>
    </w:p>
    <w:tbl>
      <w:tblPr>
        <w:tblW w:w="6186" w:type="dxa"/>
        <w:jc w:val="left"/>
        <w:tblInd w:w="0" w:type="dxa"/>
        <w:tblLayout w:type="fixed"/>
        <w:tblCellMar>
          <w:top w:w="28" w:type="dxa"/>
          <w:left w:w="28" w:type="dxa"/>
          <w:bottom w:w="28" w:type="dxa"/>
          <w:right w:w="28" w:type="dxa"/>
        </w:tblCellMar>
      </w:tblPr>
      <w:tblGrid>
        <w:gridCol w:w="2301"/>
        <w:gridCol w:w="146"/>
        <w:gridCol w:w="214"/>
        <w:gridCol w:w="656"/>
        <w:gridCol w:w="166"/>
        <w:gridCol w:w="146"/>
        <w:gridCol w:w="196"/>
        <w:gridCol w:w="601"/>
        <w:gridCol w:w="166"/>
        <w:gridCol w:w="146"/>
        <w:gridCol w:w="196"/>
        <w:gridCol w:w="661"/>
        <w:gridCol w:w="591"/>
      </w:tblGrid>
      <w:tr>
        <w:trP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August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August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 May 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8,273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Lines of credit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Line of credit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6"/>
              </w:rPr>
            </w:pPr>
            <w:r>
              <w:rPr>
                <w:rFonts w:ascii="Arial" w:hAnsi="Arial"/>
                <w:color w:val="000000"/>
                <w:sz w:val="16"/>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13,324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debt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(10,856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r>
    </w:tbl>
    <w:p>
      <w:pPr>
        <w:pStyle w:val="TextBody"/>
        <w:bidi w:val="0"/>
        <w:jc w:val="left"/>
        <w:rPr>
          <w:rFonts w:ascii="Arial" w:hAnsi="Arial"/>
          <w:i/>
          <w:color w:val="000000"/>
          <w:sz w:val="16"/>
        </w:rPr>
      </w:pPr>
      <w:r>
        <w:rPr>
          <w:rFonts w:ascii="Arial" w:hAnsi="Arial"/>
          <w:i/>
          <w:color w:val="000000"/>
          <w:sz w:val="16"/>
        </w:rPr>
        <w:t>* Derived from audited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4" w:name="fcf"/>
      <w:bookmarkEnd w:id="4"/>
      <w:r>
        <w:rPr>
          <w:rFonts w:ascii="Arial" w:hAnsi="Arial"/>
          <w:b/>
          <w:color w:val="000000"/>
          <w:sz w:val="18"/>
        </w:rPr>
        <w:t>RECONCILIATION OF ADJUSTED FREE CASH FLOW</w:t>
      </w:r>
    </w:p>
    <w:tbl>
      <w:tblPr>
        <w:tblW w:w="8656" w:type="dxa"/>
        <w:jc w:val="left"/>
        <w:tblInd w:w="0" w:type="dxa"/>
        <w:tblLayout w:type="fixed"/>
        <w:tblCellMar>
          <w:top w:w="28" w:type="dxa"/>
          <w:left w:w="28" w:type="dxa"/>
          <w:bottom w:w="28" w:type="dxa"/>
          <w:right w:w="28" w:type="dxa"/>
        </w:tblCellMar>
      </w:tblPr>
      <w:tblGrid>
        <w:gridCol w:w="6046"/>
        <w:gridCol w:w="146"/>
        <w:gridCol w:w="242"/>
        <w:gridCol w:w="631"/>
        <w:gridCol w:w="205"/>
        <w:gridCol w:w="180"/>
        <w:gridCol w:w="246"/>
        <w:gridCol w:w="549"/>
        <w:gridCol w:w="41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August 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August 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8,102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Minus: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7,788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Proceeds from the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Proceeds from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Plus: Proceeds from the sale of investments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313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Minus: Purchase of investments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Effects of foreign currency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Adjusted 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8,028</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First Quarter Fiscal 2027</w:t>
      </w:r>
    </w:p>
    <w:p>
      <w:pPr>
        <w:pStyle w:val="TextBody"/>
        <w:bidi w:val="0"/>
        <w:jc w:val="left"/>
        <w:rPr>
          <w:rFonts w:ascii="Arial" w:hAnsi="Arial"/>
          <w:color w:val="000000"/>
          <w:sz w:val="20"/>
        </w:rPr>
      </w:pPr>
      <w:r>
        <w:rPr>
          <w:rFonts w:ascii="Arial" w:hAnsi="Arial"/>
          <w:color w:val="000000"/>
          <w:sz w:val="20"/>
        </w:rPr>
        <w:t>Page 10</w:t>
      </w:r>
    </w:p>
    <w:p>
      <w:pPr>
        <w:pStyle w:val="TextBody"/>
        <w:bidi w:val="0"/>
        <w:jc w:val="left"/>
        <w:rPr>
          <w:rFonts w:ascii="Arial" w:hAnsi="Arial"/>
          <w:color w:val="000000"/>
          <w:sz w:val="20"/>
        </w:rPr>
      </w:pPr>
      <w:r>
        <w:rPr>
          <w:rFonts w:ascii="Arial" w:hAnsi="Arial"/>
          <w:color w:val="000000"/>
          <w:sz w:val="20"/>
        </w:rPr>
        <w:t>September 9, 2026</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20"/>
        </w:rPr>
      </w:pPr>
      <w:r>
        <w:rPr>
          <w:rFonts w:ascii="Arial" w:hAnsi="Arial"/>
          <w:b/>
          <w:color w:val="000000"/>
          <w:sz w:val="20"/>
        </w:rPr>
        <w:t>RECONCILIATIONS OF NON-GAAP FINANCIAL MEASURES (CONTINUED)</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5" w:name="adjusted_results_qtd"/>
      <w:bookmarkEnd w:id="5"/>
      <w:r>
        <w:rPr>
          <w:rFonts w:ascii="Arial" w:hAnsi="Arial"/>
          <w:b/>
          <w:color w:val="000000"/>
          <w:sz w:val="18"/>
        </w:rPr>
        <w:t>RECONCILIATION OF SELECTED INCOME STATEMENT INFORMATION TO ADJUSTED RESULTS</w:t>
      </w:r>
    </w:p>
    <w:p>
      <w:pPr>
        <w:pStyle w:val="TextBody"/>
        <w:bidi w:val="0"/>
        <w:jc w:val="left"/>
        <w:rPr/>
      </w:pPr>
      <w:r>
        <w:rPr/>
        <w:t> </w:t>
      </w:r>
    </w:p>
    <w:p>
      <w:pPr>
        <w:pStyle w:val="TextBody"/>
        <w:bidi w:val="0"/>
        <w:jc w:val="left"/>
        <w:rPr/>
      </w:pPr>
      <w:r>
        <w:rPr/>
        <w:t> </w:t>
      </w:r>
    </w:p>
    <w:tbl>
      <w:tblPr>
        <w:tblW w:w="6998" w:type="dxa"/>
        <w:jc w:val="left"/>
        <w:tblInd w:w="0" w:type="dxa"/>
        <w:tblLayout w:type="fixed"/>
        <w:tblCellMar>
          <w:top w:w="28" w:type="dxa"/>
          <w:left w:w="28" w:type="dxa"/>
          <w:bottom w:w="28" w:type="dxa"/>
          <w:right w:w="28" w:type="dxa"/>
        </w:tblCellMar>
      </w:tblPr>
      <w:tblGrid>
        <w:gridCol w:w="2581"/>
        <w:gridCol w:w="146"/>
        <w:gridCol w:w="250"/>
        <w:gridCol w:w="845"/>
        <w:gridCol w:w="166"/>
        <w:gridCol w:w="146"/>
        <w:gridCol w:w="204"/>
        <w:gridCol w:w="802"/>
        <w:gridCol w:w="166"/>
        <w:gridCol w:w="146"/>
        <w:gridCol w:w="305"/>
        <w:gridCol w:w="1030"/>
        <w:gridCol w:w="2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Three months ended August 2,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Adjusted Results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August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August 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53,973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(38,595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6,669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p>
      <w:pPr>
        <w:pStyle w:val="TextBody"/>
        <w:pBdr>
          <w:bottom w:val="single" w:sz="4" w:space="1" w:color="000000"/>
        </w:pBdr>
        <w:bidi w:val="0"/>
        <w:jc w:val="left"/>
        <w:rPr>
          <w:rFonts w:ascii="Arial" w:hAnsi="Arial"/>
          <w:color w:val="000000"/>
          <w:sz w:val="18"/>
        </w:rPr>
      </w:pPr>
      <w:r>
        <w:rPr>
          <w:rFonts w:ascii="Arial" w:hAnsi="Arial"/>
          <w:color w:val="000000"/>
          <w:sz w:val="18"/>
        </w:rPr>
        <w:t>Notes</w:t>
      </w:r>
    </w:p>
    <w:p>
      <w:pPr>
        <w:pStyle w:val="TextBody"/>
        <w:bidi w:val="0"/>
        <w:jc w:val="left"/>
        <w:rPr/>
      </w:pPr>
      <w:r>
        <w:rPr/>
        <w:t> </w:t>
      </w:r>
    </w:p>
    <w:p>
      <w:pPr>
        <w:pStyle w:val="TextBody"/>
        <w:bidi w:val="0"/>
        <w:jc w:val="both"/>
        <w:rPr>
          <w:rFonts w:ascii="Arial" w:hAnsi="Arial"/>
          <w:color w:val="000000"/>
          <w:sz w:val="17"/>
        </w:rPr>
      </w:pPr>
      <w:r>
        <w:rPr>
          <w:rFonts w:ascii="Arial" w:hAnsi="Arial"/>
          <w:color w:val="000000"/>
          <w:sz w:val="17"/>
        </w:rPr>
        <w:t>(1) During the three-month period ended August 2, 2026, the $6.9 million represents cash proceeds regarding final approval from the U.S. Customs and Border Protection Agency regarding our tariff refund claims. The $6.9 million excludes interest and was recorded within cost of sales in the first quarter fiscal 2027 Consolidated Statement of Net Income.</w:t>
      </w:r>
    </w:p>
    <w:p>
      <w:pPr>
        <w:pStyle w:val="TextBody"/>
        <w:bidi w:val="0"/>
        <w:jc w:val="left"/>
        <w:rPr/>
      </w:pPr>
      <w:r>
        <w:rPr/>
        <w:t> </w:t>
      </w:r>
    </w:p>
    <w:p>
      <w:pPr>
        <w:pStyle w:val="TextBody"/>
        <w:bidi w:val="0"/>
        <w:jc w:val="center"/>
        <w:rPr/>
      </w:pPr>
      <w:r>
        <w:rPr/>
        <w:t> </w:t>
      </w:r>
    </w:p>
    <w:tbl>
      <w:tblPr>
        <w:tblW w:w="6998" w:type="dxa"/>
        <w:jc w:val="left"/>
        <w:tblInd w:w="0" w:type="dxa"/>
        <w:tblLayout w:type="fixed"/>
        <w:tblCellMar>
          <w:top w:w="28" w:type="dxa"/>
          <w:left w:w="28" w:type="dxa"/>
          <w:bottom w:w="28" w:type="dxa"/>
          <w:right w:w="28" w:type="dxa"/>
        </w:tblCellMar>
      </w:tblPr>
      <w:tblGrid>
        <w:gridCol w:w="2581"/>
        <w:gridCol w:w="146"/>
        <w:gridCol w:w="250"/>
        <w:gridCol w:w="845"/>
        <w:gridCol w:w="166"/>
        <w:gridCol w:w="146"/>
        <w:gridCol w:w="204"/>
        <w:gridCol w:w="802"/>
        <w:gridCol w:w="166"/>
        <w:gridCol w:w="146"/>
        <w:gridCol w:w="305"/>
        <w:gridCol w:w="1030"/>
        <w:gridCol w:w="2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Three months ended August 3,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Adjusted Results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August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August 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(43,463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credit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jc w:val="both"/>
        <w:rPr/>
      </w:pPr>
      <w:r>
        <w:rPr/>
        <w:t> </w:t>
      </w:r>
    </w:p>
    <w:p>
      <w:pPr>
        <w:pStyle w:val="TextBody"/>
        <w:pBdr>
          <w:bottom w:val="single" w:sz="4" w:space="1" w:color="000000"/>
        </w:pBdr>
        <w:bidi w:val="0"/>
        <w:jc w:val="left"/>
        <w:rPr>
          <w:rFonts w:ascii="Arial" w:hAnsi="Arial"/>
          <w:color w:val="000000"/>
          <w:sz w:val="18"/>
        </w:rPr>
      </w:pPr>
      <w:r>
        <w:rPr>
          <w:rFonts w:ascii="Arial" w:hAnsi="Arial"/>
          <w:color w:val="000000"/>
          <w:sz w:val="18"/>
        </w:rPr>
        <w:t>Notes</w:t>
      </w:r>
    </w:p>
    <w:p>
      <w:pPr>
        <w:pStyle w:val="TextBody"/>
        <w:bidi w:val="0"/>
        <w:jc w:val="left"/>
        <w:rPr/>
      </w:pPr>
      <w:r>
        <w:rPr/>
        <w:t> </w:t>
      </w:r>
    </w:p>
    <w:p>
      <w:pPr>
        <w:pStyle w:val="TextBody"/>
        <w:bidi w:val="0"/>
        <w:jc w:val="both"/>
        <w:rPr>
          <w:rFonts w:ascii="Arial" w:hAnsi="Arial"/>
          <w:color w:val="000000"/>
          <w:sz w:val="17"/>
        </w:rPr>
      </w:pPr>
      <w:r>
        <w:rPr>
          <w:rFonts w:ascii="Arial" w:hAnsi="Arial"/>
          <w:color w:val="000000"/>
          <w:sz w:val="17"/>
        </w:rPr>
        <w:t>(1) During the three-month period ended August 3, 2025, restructuring credit mostly represented a gain from the sale of the manufacturing facility located in Quebec, Canada totaling $4.0 million, partially offset by charges related to our activities to transform our operating model and reduce fixed costs.</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CULP Announces Results for First Quarter Fiscal 2027</w:t>
      </w:r>
    </w:p>
    <w:p>
      <w:pPr>
        <w:pStyle w:val="TextBody"/>
        <w:bidi w:val="0"/>
        <w:jc w:val="left"/>
        <w:rPr>
          <w:rFonts w:ascii="Arial" w:hAnsi="Arial"/>
          <w:color w:val="000000"/>
          <w:sz w:val="20"/>
        </w:rPr>
      </w:pPr>
      <w:r>
        <w:rPr>
          <w:rFonts w:ascii="Arial" w:hAnsi="Arial"/>
          <w:color w:val="000000"/>
          <w:sz w:val="20"/>
        </w:rPr>
        <w:t>Page 11</w:t>
      </w:r>
    </w:p>
    <w:p>
      <w:pPr>
        <w:pStyle w:val="TextBody"/>
        <w:bidi w:val="0"/>
        <w:jc w:val="left"/>
        <w:rPr>
          <w:rFonts w:ascii="Arial" w:hAnsi="Arial"/>
          <w:color w:val="000000"/>
          <w:sz w:val="20"/>
        </w:rPr>
      </w:pPr>
      <w:r>
        <w:rPr>
          <w:rFonts w:ascii="Arial" w:hAnsi="Arial"/>
          <w:color w:val="000000"/>
          <w:sz w:val="20"/>
        </w:rPr>
        <w:t>September 9, 2026</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CULP, INC.</w:t>
      </w:r>
    </w:p>
    <w:p>
      <w:pPr>
        <w:pStyle w:val="TextBody"/>
        <w:bidi w:val="0"/>
        <w:jc w:val="center"/>
        <w:rPr>
          <w:rFonts w:ascii="Arial" w:hAnsi="Arial"/>
          <w:b/>
          <w:color w:val="000000"/>
          <w:sz w:val="19"/>
        </w:rPr>
      </w:pPr>
      <w:r>
        <w:rPr>
          <w:rFonts w:ascii="Arial" w:hAnsi="Arial"/>
          <w:b/>
          <w:color w:val="000000"/>
          <w:sz w:val="19"/>
        </w:rPr>
        <w:t>RECONCILIATIONS OF NON-GAAP FINANCIAL MEASURES (CONTINUED)</w:t>
      </w:r>
    </w:p>
    <w:p>
      <w:pPr>
        <w:pStyle w:val="TextBody"/>
        <w:bidi w:val="0"/>
        <w:jc w:val="center"/>
        <w:rPr>
          <w:rFonts w:ascii="Arial" w:hAnsi="Arial"/>
          <w:b/>
          <w:color w:val="000000"/>
          <w:sz w:val="18"/>
        </w:rPr>
      </w:pPr>
      <w:r>
        <w:rPr>
          <w:rFonts w:ascii="Arial" w:hAnsi="Arial"/>
          <w:b/>
          <w:color w:val="000000"/>
          <w:sz w:val="18"/>
        </w:rPr>
        <w:t>Unaudited</w:t>
      </w:r>
    </w:p>
    <w:p>
      <w:pPr>
        <w:pStyle w:val="TextBody"/>
        <w:bidi w:val="0"/>
        <w:jc w:val="center"/>
        <w:rPr>
          <w:rFonts w:ascii="Arial" w:hAnsi="Arial"/>
          <w:b/>
          <w:color w:val="000000"/>
          <w:sz w:val="18"/>
        </w:rPr>
      </w:pPr>
      <w:r>
        <w:rPr>
          <w:rFonts w:ascii="Arial" w:hAnsi="Arial"/>
          <w:b/>
          <w:color w:val="000000"/>
          <w:sz w:val="18"/>
        </w:rPr>
        <w:t>(Amounts in Thousands)</w:t>
      </w:r>
    </w:p>
    <w:p>
      <w:pPr>
        <w:pStyle w:val="TextBody"/>
        <w:bidi w:val="0"/>
        <w:jc w:val="center"/>
        <w:rPr/>
      </w:pPr>
      <w:r>
        <w:rPr/>
        <w:t> </w:t>
      </w:r>
    </w:p>
    <w:p>
      <w:pPr>
        <w:pStyle w:val="TextBody"/>
        <w:bidi w:val="0"/>
        <w:jc w:val="center"/>
        <w:rPr/>
      </w:pPr>
      <w:r>
        <w:rPr/>
        <w:t> </w:t>
      </w:r>
    </w:p>
    <w:p>
      <w:pPr>
        <w:pStyle w:val="TextBody"/>
        <w:bidi w:val="0"/>
        <w:jc w:val="left"/>
        <w:rPr>
          <w:rFonts w:ascii="Arial" w:hAnsi="Arial"/>
          <w:b/>
          <w:color w:val="000000"/>
          <w:sz w:val="18"/>
        </w:rPr>
      </w:pPr>
      <w:r>
        <w:rPr>
          <w:rFonts w:ascii="Arial" w:hAnsi="Arial"/>
          <w:b/>
          <w:color w:val="000000"/>
          <w:sz w:val="18"/>
        </w:rPr>
        <w:t>RECONCILIATION OF ADJUSTED EBITDA</w:t>
      </w:r>
    </w:p>
    <w:p>
      <w:pPr>
        <w:pStyle w:val="TextBody"/>
        <w:bidi w:val="0"/>
        <w:jc w:val="center"/>
        <w:rPr/>
      </w:pPr>
      <w:r>
        <w:rPr/>
        <w:t> </w:t>
      </w:r>
    </w:p>
    <w:tbl>
      <w:tblPr>
        <w:tblW w:w="8615" w:type="dxa"/>
        <w:jc w:val="left"/>
        <w:tblInd w:w="0" w:type="dxa"/>
        <w:tblLayout w:type="fixed"/>
        <w:tblCellMar>
          <w:top w:w="28" w:type="dxa"/>
          <w:left w:w="28" w:type="dxa"/>
          <w:bottom w:w="28" w:type="dxa"/>
          <w:right w:w="28" w:type="dxa"/>
        </w:tblCellMar>
      </w:tblPr>
      <w:tblGrid>
        <w:gridCol w:w="2581"/>
        <w:gridCol w:w="146"/>
        <w:gridCol w:w="243"/>
        <w:gridCol w:w="672"/>
        <w:gridCol w:w="271"/>
        <w:gridCol w:w="146"/>
        <w:gridCol w:w="228"/>
        <w:gridCol w:w="627"/>
        <w:gridCol w:w="271"/>
        <w:gridCol w:w="146"/>
        <w:gridCol w:w="181"/>
        <w:gridCol w:w="496"/>
        <w:gridCol w:w="271"/>
        <w:gridCol w:w="146"/>
        <w:gridCol w:w="188"/>
        <w:gridCol w:w="517"/>
        <w:gridCol w:w="271"/>
        <w:gridCol w:w="146"/>
        <w:gridCol w:w="181"/>
        <w:gridCol w:w="571"/>
        <w:gridCol w:w="31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Trailing</w:t>
              <w:br/>
              <w:t>12 Months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November 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February 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May 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August 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August 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(4,306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(3,432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(2,242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5,981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(3,999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868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1,425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3,905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255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14"/>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(2,995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(2,262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7,810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1,346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Restructuring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Restructuring related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Resolution of legal matter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(814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(1,814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Tariff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(6,940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(6,940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Foreign currency exchange loss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369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1,507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14"/>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(992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(2,180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(560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566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(3,166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58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w:t>
            </w:r>
          </w:p>
        </w:tc>
        <w:tc>
          <w:tcPr>
            <w:tcW w:w="2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(4.5</w:t>
            </w:r>
          </w:p>
        </w:tc>
        <w:tc>
          <w:tcPr>
            <w:tcW w:w="2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w:t>
            </w:r>
          </w:p>
        </w:tc>
        <w:tc>
          <w:tcPr>
            <w:tcW w:w="2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w:t>
            </w:r>
          </w:p>
        </w:tc>
        <w:tc>
          <w:tcPr>
            <w:tcW w:w="2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w:t>
            </w:r>
          </w:p>
        </w:tc>
        <w:tc>
          <w:tcPr>
            <w:tcW w:w="31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Quarter</w:t>
              <w:br/>
              <w:t>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Trailing</w:t>
              <w:br/>
              <w:t>12 Months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October 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January 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April 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August 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August 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(5,644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(4,126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(12,074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1,496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4,970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401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14"/>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(2,560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2,292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(5,683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Restructuring expense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1,655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1,422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(3,508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1,600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Restructuring related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769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Foreign currency exchange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(68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14"/>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(1,131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(457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511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(938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(2,015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w:t>
            </w:r>
          </w:p>
        </w:tc>
        <w:tc>
          <w:tcPr>
            <w:tcW w:w="2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(0.9</w:t>
            </w:r>
          </w:p>
        </w:tc>
        <w:tc>
          <w:tcPr>
            <w:tcW w:w="2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w:t>
            </w:r>
          </w:p>
        </w:tc>
        <w:tc>
          <w:tcPr>
            <w:tcW w:w="2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(1.9</w:t>
            </w:r>
          </w:p>
        </w:tc>
        <w:tc>
          <w:tcPr>
            <w:tcW w:w="2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(1.0</w:t>
            </w:r>
          </w:p>
        </w:tc>
        <w:tc>
          <w:tcPr>
            <w:tcW w:w="31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 Over (Under)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(12.3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377.0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(209.6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(160.3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57.1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w:t>
            </w:r>
          </w:p>
        </w:tc>
      </w:tr>
    </w:tbl>
    <w:p>
      <w:pPr>
        <w:pStyle w:val="TextBody"/>
        <w:bidi w:val="0"/>
        <w:jc w:val="left"/>
        <w:rPr/>
      </w:pPr>
      <w:r>
        <w:rPr/>
        <w:t> </w:t>
      </w:r>
    </w:p>
    <w:p>
      <w:pPr>
        <w:pStyle w:val="TextBody"/>
        <w:bidi w:val="0"/>
        <w:jc w:val="both"/>
        <w:rPr/>
      </w:pPr>
      <w:r>
        <w:rPr/>
        <w:t> </w:t>
      </w:r>
    </w:p>
    <w:p>
      <w:pPr>
        <w:pStyle w:val="TextBody"/>
        <w:pBdr>
          <w:bottom w:val="single" w:sz="4" w:space="1" w:color="000000"/>
        </w:pBdr>
        <w:bidi w:val="0"/>
        <w:jc w:val="left"/>
        <w:rPr>
          <w:rFonts w:ascii="Arial" w:hAnsi="Arial"/>
          <w:color w:val="000000"/>
          <w:sz w:val="18"/>
        </w:rPr>
      </w:pPr>
      <w:r>
        <w:rPr>
          <w:rFonts w:ascii="Arial" w:hAnsi="Arial"/>
          <w:color w:val="000000"/>
          <w:sz w:val="18"/>
        </w:rPr>
        <w:t>Notes</w:t>
      </w:r>
    </w:p>
    <w:p>
      <w:pPr>
        <w:pStyle w:val="TextBody"/>
        <w:bidi w:val="0"/>
        <w:jc w:val="left"/>
        <w:rPr/>
      </w:pPr>
      <w:r>
        <w:rPr/>
        <w:t> </w:t>
      </w:r>
    </w:p>
    <w:p>
      <w:pPr>
        <w:pStyle w:val="TextBody"/>
        <w:bidi w:val="0"/>
        <w:jc w:val="both"/>
        <w:rPr>
          <w:rFonts w:ascii="Times New Roman" w:hAnsi="Times New Roman"/>
          <w:sz w:val="17"/>
        </w:rPr>
      </w:pPr>
      <w:r>
        <w:rPr>
          <w:rFonts w:ascii="Arial" w:hAnsi="Arial"/>
          <w:color w:val="000000"/>
          <w:sz w:val="17"/>
        </w:rPr>
        <w:t>(1) Represents non-cash foreign currency exchange loss (gain) related to the remeasurement of</w:t>
      </w:r>
      <w:r>
        <w:rPr>
          <w:rFonts w:ascii="Times New Roman" w:hAnsi="Times New Roman"/>
          <w:color w:val="000000"/>
          <w:sz w:val="17"/>
        </w:rPr>
        <w:t xml:space="preserve"> </w:t>
      </w:r>
      <w:r>
        <w:rPr>
          <w:rFonts w:ascii="Arial" w:hAnsi="Arial"/>
          <w:color w:val="000000"/>
          <w:sz w:val="17"/>
        </w:rPr>
        <w:t>assets and liabilities denominated in currencies other than the U.S. dollar. Beginning in the quarter ended November 2, 2025, we modified our presentation of adjusted EBITDA to exclude this measure. We believe this change enhances investor insight into our operational performance by excluding the non-cash impact of changes in foreign currency exchange rates. In order to facilitate comparisons among periods, we have applied this modified definition of adjusted EBITDA to all periods presented.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-MORE-</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6741</Words>
  <Characters>36874</Characters>
  <CharactersWithSpaces>44384</CharactersWithSpaces>
  <Paragraphs>3093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