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Heatherton Lynn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CULP INNOVATION CENTER AT CONGDON YARDS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WEST ENGLISH ROAD - 5TH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HIGH POINT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13,190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13,190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71"/>
        <w:gridCol w:w="906"/>
        <w:gridCol w:w="801"/>
        <w:gridCol w:w="891"/>
        <w:gridCol w:w="801"/>
        <w:gridCol w:w="801"/>
        <w:gridCol w:w="936"/>
        <w:gridCol w:w="831"/>
        <w:gridCol w:w="846"/>
      </w:tblGrid>
      <w:tr>
        <w:trPr>
          <w:tblHeader w:val="true"/>
        </w:trPr>
        <w:tc>
          <w:tcPr>
            <w:tcW w:w="126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13,190</w:t>
            </w:r>
            <w:r>
              <w:rPr>
                <w:rFonts w:ascii="Times;serif" w:hAnsi="Times;serif"/>
                <w:color w:val="008000"/>
                <w:position w:val="7"/>
                <w:sz w:val="16"/>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12,941</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Contingent right to receive Culp,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Reported as 13,064 due to clerical error in Form 3 filed with the SEC on October 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stock units represent the right to receive 13,190 shares of Culp, Inc. common stock based on the reporting person remaining a director through the date that is the earlier of (i) the one-year anniversary of the date of the grant, or (ii) the next annual meeting of shareholders of the Issuer which is at least 50 weeks after the immediately preceding year's annual meeting.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holds no more restricted stock units with a vesting date of the Issuer's September 23, 2026, annual meeting of shareholders.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stock units represent the right to receive 12,941 shares of Culp, Inc. common stock based on the reporting person remaining a director through the date that is the earlier of (i) the one-year anniversary of the date of the grant, or (ii) the next annual meeting of shareholders of the Issuer which is at least 50 weeks after the Issuer's September 23, 2026, annual meeting of shareholders.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Justin M. Grow,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0144"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789</Words>
  <Characters>4142</Characters>
  <CharactersWithSpaces>4836</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