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i w:val="1"/>
          <w:iCs w:val="1"/>
          <w:color w:val="auto"/>
        </w:rPr>
        <w:t>FORM 1O-K</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ANNUAL REPORT PURSUANT TO SECTION 13 OR 15(d) OF</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fiscal year ended May 1, 2022</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No. 1-12597</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CULP,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0"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4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NORTH CAROLINA</w:t>
            </w:r>
          </w:p>
        </w:tc>
        <w:tc>
          <w:tcPr>
            <w:tcW w:w="480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56-1001967</w:t>
            </w:r>
          </w:p>
        </w:tc>
        <w:tc>
          <w:tcPr>
            <w:tcW w:w="0" w:type="dxa"/>
            <w:vAlign w:val="bottom"/>
          </w:tcPr>
          <w:p>
            <w:pPr>
              <w:spacing w:after="0"/>
              <w:rPr>
                <w:sz w:val="1"/>
                <w:szCs w:val="1"/>
                <w:color w:val="auto"/>
              </w:rPr>
            </w:pPr>
          </w:p>
        </w:tc>
      </w:tr>
      <w:tr>
        <w:trPr>
          <w:trHeight w:val="216"/>
        </w:trPr>
        <w:tc>
          <w:tcPr>
            <w:tcW w:w="4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incorporation or other organization)</w:t>
            </w:r>
          </w:p>
        </w:tc>
        <w:tc>
          <w:tcPr>
            <w:tcW w:w="480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319"/>
        </w:trPr>
        <w:tc>
          <w:tcPr>
            <w:tcW w:w="4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1823 Eastchester Drive, High Point, North Carolina</w:t>
            </w:r>
          </w:p>
        </w:tc>
        <w:tc>
          <w:tcPr>
            <w:tcW w:w="48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27265</w:t>
            </w:r>
          </w:p>
        </w:tc>
        <w:tc>
          <w:tcPr>
            <w:tcW w:w="0" w:type="dxa"/>
            <w:vAlign w:val="bottom"/>
          </w:tcPr>
          <w:p>
            <w:pPr>
              <w:spacing w:after="0"/>
              <w:rPr>
                <w:sz w:val="1"/>
                <w:szCs w:val="1"/>
                <w:color w:val="auto"/>
              </w:rPr>
            </w:pPr>
          </w:p>
        </w:tc>
      </w:tr>
      <w:tr>
        <w:trPr>
          <w:trHeight w:val="248"/>
        </w:trPr>
        <w:tc>
          <w:tcPr>
            <w:tcW w:w="4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80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297"/>
        </w:trPr>
        <w:tc>
          <w:tcPr>
            <w:tcW w:w="4100" w:type="dxa"/>
            <w:vAlign w:val="bottom"/>
          </w:tcPr>
          <w:p>
            <w:pPr>
              <w:spacing w:after="0"/>
              <w:rPr>
                <w:sz w:val="24"/>
                <w:szCs w:val="24"/>
                <w:color w:val="auto"/>
              </w:rPr>
            </w:pPr>
          </w:p>
        </w:tc>
        <w:tc>
          <w:tcPr>
            <w:tcW w:w="4800" w:type="dxa"/>
            <w:vAlign w:val="bottom"/>
          </w:tcPr>
          <w:p>
            <w:pPr>
              <w:jc w:val="right"/>
              <w:ind w:right="3470"/>
              <w:spacing w:after="0"/>
              <w:rPr>
                <w:sz w:val="20"/>
                <w:szCs w:val="20"/>
                <w:color w:val="auto"/>
              </w:rPr>
            </w:pPr>
            <w:r>
              <w:rPr>
                <w:rFonts w:ascii="Times New Roman" w:cs="Times New Roman" w:eastAsia="Times New Roman" w:hAnsi="Times New Roman"/>
                <w:sz w:val="18"/>
                <w:szCs w:val="18"/>
                <w:b w:val="1"/>
                <w:bCs w:val="1"/>
                <w:color w:val="auto"/>
              </w:rPr>
              <w:t>(336) 889-5161</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2" w:lineRule="exact"/>
        <w:rPr>
          <w:sz w:val="24"/>
          <w:szCs w:val="24"/>
          <w:color w:val="auto"/>
        </w:rPr>
      </w:pPr>
    </w:p>
    <w:tbl>
      <w:tblPr>
        <w:tblLayout w:type="fixed"/>
        <w:tblInd w:w="50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4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92"/>
        </w:trPr>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60" w:type="dxa"/>
            <w:vAlign w:val="bottom"/>
            <w:gridSpan w:val="3"/>
          </w:tcPr>
          <w:p>
            <w:pPr>
              <w:jc w:val="center"/>
              <w:ind w:left="132"/>
              <w:spacing w:after="0"/>
              <w:rPr>
                <w:sz w:val="20"/>
                <w:szCs w:val="20"/>
                <w:color w:val="auto"/>
              </w:rPr>
            </w:pPr>
            <w:r>
              <w:rPr>
                <w:rFonts w:ascii="Times New Roman" w:cs="Times New Roman" w:eastAsia="Times New Roman" w:hAnsi="Times New Roman"/>
                <w:sz w:val="18"/>
                <w:szCs w:val="18"/>
                <w:color w:val="auto"/>
                <w:w w:val="99"/>
              </w:rPr>
              <w:t>Name of Each Exchange</w:t>
            </w:r>
          </w:p>
        </w:tc>
      </w:tr>
      <w:tr>
        <w:trPr>
          <w:trHeight w:val="194"/>
        </w:trPr>
        <w:tc>
          <w:tcPr>
            <w:tcW w:w="2760" w:type="dxa"/>
            <w:vAlign w:val="bottom"/>
            <w:gridSpan w:val="3"/>
          </w:tcPr>
          <w:p>
            <w:pPr>
              <w:ind w:left="700"/>
              <w:spacing w:after="0" w:line="194" w:lineRule="exact"/>
              <w:rPr>
                <w:sz w:val="20"/>
                <w:szCs w:val="20"/>
                <w:color w:val="auto"/>
              </w:rPr>
            </w:pPr>
            <w:r>
              <w:rPr>
                <w:rFonts w:ascii="Times New Roman" w:cs="Times New Roman" w:eastAsia="Times New Roman" w:hAnsi="Times New Roman"/>
                <w:sz w:val="18"/>
                <w:szCs w:val="18"/>
                <w:color w:val="auto"/>
              </w:rPr>
              <w:t>Title of Each Class</w:t>
            </w:r>
          </w:p>
        </w:tc>
        <w:tc>
          <w:tcPr>
            <w:tcW w:w="4920" w:type="dxa"/>
            <w:vAlign w:val="bottom"/>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color w:val="auto"/>
                <w:w w:val="99"/>
              </w:rPr>
              <w:t>Trading Symbol(s)</w:t>
            </w:r>
          </w:p>
        </w:tc>
        <w:tc>
          <w:tcPr>
            <w:tcW w:w="2160" w:type="dxa"/>
            <w:vAlign w:val="bottom"/>
            <w:gridSpan w:val="3"/>
          </w:tcPr>
          <w:p>
            <w:pPr>
              <w:jc w:val="center"/>
              <w:ind w:left="112"/>
              <w:spacing w:after="0" w:line="194" w:lineRule="exact"/>
              <w:rPr>
                <w:sz w:val="20"/>
                <w:szCs w:val="20"/>
                <w:color w:val="auto"/>
              </w:rPr>
            </w:pPr>
            <w:r>
              <w:rPr>
                <w:rFonts w:ascii="Times New Roman" w:cs="Times New Roman" w:eastAsia="Times New Roman" w:hAnsi="Times New Roman"/>
                <w:sz w:val="18"/>
                <w:szCs w:val="18"/>
                <w:color w:val="auto"/>
                <w:w w:val="99"/>
              </w:rPr>
              <w:t>On Which Registered</w:t>
            </w:r>
          </w:p>
        </w:tc>
      </w:tr>
      <w:tr>
        <w:trPr>
          <w:trHeight w:val="20"/>
        </w:trPr>
        <w:tc>
          <w:tcPr>
            <w:tcW w:w="7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8"/>
        </w:trPr>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Common Stock, par value $.05/ Share</w:t>
            </w:r>
          </w:p>
        </w:tc>
        <w:tc>
          <w:tcPr>
            <w:tcW w:w="1680" w:type="dxa"/>
            <w:vAlign w:val="bottom"/>
          </w:tcPr>
          <w:p>
            <w:pPr>
              <w:spacing w:after="0"/>
              <w:rPr>
                <w:sz w:val="24"/>
                <w:szCs w:val="24"/>
                <w:color w:val="auto"/>
              </w:rPr>
            </w:pPr>
          </w:p>
        </w:tc>
        <w:tc>
          <w:tcPr>
            <w:tcW w:w="3240" w:type="dxa"/>
            <w:vAlign w:val="bottom"/>
            <w:gridSpan w:val="2"/>
          </w:tcPr>
          <w:p>
            <w:pPr>
              <w:jc w:val="center"/>
              <w:ind w:right="1900"/>
              <w:spacing w:after="0"/>
              <w:rPr>
                <w:sz w:val="20"/>
                <w:szCs w:val="20"/>
                <w:color w:val="auto"/>
              </w:rPr>
            </w:pPr>
            <w:r>
              <w:rPr>
                <w:rFonts w:ascii="Times New Roman" w:cs="Times New Roman" w:eastAsia="Times New Roman" w:hAnsi="Times New Roman"/>
                <w:sz w:val="18"/>
                <w:szCs w:val="18"/>
                <w:color w:val="auto"/>
                <w:w w:val="99"/>
              </w:rPr>
              <w:t>CULP</w:t>
            </w:r>
          </w:p>
        </w:tc>
        <w:tc>
          <w:tcPr>
            <w:tcW w:w="2160" w:type="dxa"/>
            <w:vAlign w:val="bottom"/>
            <w:gridSpan w:val="3"/>
          </w:tcPr>
          <w:p>
            <w:pPr>
              <w:jc w:val="center"/>
              <w:ind w:left="132"/>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378"/>
        </w:trPr>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9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tc>
        <w:tc>
          <w:tcPr>
            <w:tcW w:w="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68"/>
        </w:trPr>
        <w:tc>
          <w:tcPr>
            <w:tcW w:w="768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2160" w:type="dxa"/>
            <w:vAlign w:val="bottom"/>
            <w:gridSpan w:val="3"/>
          </w:tcPr>
          <w:p>
            <w:pPr>
              <w:ind w:left="6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r>
    </w:tbl>
    <w:p>
      <w:pPr>
        <w:spacing w:after="0" w:line="2" w:lineRule="exact"/>
        <w:rPr>
          <w:sz w:val="24"/>
          <w:szCs w:val="24"/>
          <w:color w:val="auto"/>
        </w:rPr>
      </w:pPr>
    </w:p>
    <w:p>
      <w:pPr>
        <w:ind w:left="5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Securities Exchange Act of 1934.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5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4" w:lineRule="exact"/>
        <w:rPr>
          <w:sz w:val="24"/>
          <w:szCs w:val="24"/>
          <w:color w:val="auto"/>
        </w:rPr>
      </w:pPr>
    </w:p>
    <w:p>
      <w:pPr>
        <w:jc w:val="both"/>
        <w:ind w:right="2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and (2) has been subject to the filing requirements for at least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jc w:val="both"/>
        <w:ind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jc w:val="both"/>
        <w:ind w:firstLine="51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85" w:right="339" w:bottom="1440" w:gutter="0" w:footer="0" w:header="0"/>
        </w:sectPr>
      </w:pPr>
    </w:p>
    <w:p>
      <w:pPr>
        <w:spacing w:after="0" w:line="96" w:lineRule="exact"/>
        <w:rPr>
          <w:sz w:val="24"/>
          <w:szCs w:val="24"/>
          <w:color w:val="auto"/>
        </w:rPr>
      </w:pPr>
    </w:p>
    <w:p>
      <w:pPr>
        <w:ind w:right="400"/>
        <w:spacing w:after="0" w:line="316" w:lineRule="auto"/>
        <w:rPr>
          <w:sz w:val="20"/>
          <w:szCs w:val="20"/>
          <w:color w:val="auto"/>
        </w:rPr>
      </w:pPr>
      <w:r>
        <w:rPr>
          <w:rFonts w:ascii="Times New Roman" w:cs="Times New Roman" w:eastAsia="Times New Roman" w:hAnsi="Times New Roman"/>
          <w:sz w:val="16"/>
          <w:szCs w:val="16"/>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85" w:lineRule="exact"/>
        <w:rPr>
          <w:sz w:val="24"/>
          <w:szCs w:val="24"/>
          <w:color w:val="auto"/>
        </w:rPr>
      </w:pPr>
    </w:p>
    <w:p>
      <w:pPr>
        <w:sectPr>
          <w:pgSz w:w="11900" w:h="16838" w:orient="portrait"/>
          <w:cols w:equalWidth="0" w:num="6">
            <w:col w:w="2280" w:space="720"/>
            <w:col w:w="1140" w:space="720"/>
            <w:col w:w="2400" w:space="720"/>
            <w:col w:w="160" w:space="220"/>
            <w:col w:w="1900" w:space="720"/>
            <w:col w:w="260"/>
          </w:cols>
          <w:pgMar w:left="320" w:top="385" w:right="339" w:bottom="1440" w:gutter="0" w:footer="0" w:header="0"/>
          <w:type w:val="continuous"/>
        </w:sectPr>
      </w:pPr>
    </w:p>
    <w:p>
      <w:pPr>
        <w:ind w:right="8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2" w:lineRule="exact"/>
        <w:rPr>
          <w:sz w:val="24"/>
          <w:szCs w:val="24"/>
          <w:color w:val="auto"/>
        </w:rPr>
      </w:pPr>
    </w:p>
    <w:p>
      <w:pPr>
        <w:ind w:right="12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9" w:lineRule="exact"/>
        <w:rPr>
          <w:sz w:val="24"/>
          <w:szCs w:val="24"/>
          <w:color w:val="auto"/>
        </w:rPr>
      </w:pPr>
    </w:p>
    <w:p>
      <w:pPr>
        <w:ind w:left="5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9" w:lineRule="exact"/>
        <w:rPr>
          <w:sz w:val="24"/>
          <w:szCs w:val="24"/>
          <w:color w:val="auto"/>
        </w:rPr>
      </w:pPr>
    </w:p>
    <w:p>
      <w:pPr>
        <w:jc w:val="both"/>
        <w:ind w:firstLine="510"/>
        <w:spacing w:after="0" w:line="281" w:lineRule="auto"/>
        <w:rPr>
          <w:sz w:val="20"/>
          <w:szCs w:val="20"/>
          <w:color w:val="auto"/>
        </w:rPr>
      </w:pPr>
      <w:r>
        <w:rPr>
          <w:rFonts w:ascii="Times New Roman" w:cs="Times New Roman" w:eastAsia="Times New Roman" w:hAnsi="Times New Roman"/>
          <w:sz w:val="16"/>
          <w:szCs w:val="16"/>
          <w:color w:val="auto"/>
        </w:rPr>
        <w:t>As of July 13, 2022, 12,248,382 shares of common stock were outstanding. As of October 31, 2021, the aggregate market value of the voting stock held by non-affiliates of the registrant on that date was $154,828,758 based on the closing sales price of such stock as quoted on the New York Stock Exchange (NYSE), assuming, for purposes of this report, that all executive officers and directors of the registrant are affiliates.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72" w:lineRule="exact"/>
        <w:rPr>
          <w:sz w:val="24"/>
          <w:szCs w:val="24"/>
          <w:color w:val="auto"/>
        </w:rPr>
      </w:pPr>
    </w:p>
    <w:p>
      <w:pPr>
        <w:jc w:val="center"/>
        <w:spacing w:after="0" w:line="298" w:lineRule="auto"/>
        <w:rPr>
          <w:sz w:val="20"/>
          <w:szCs w:val="20"/>
          <w:color w:val="auto"/>
        </w:rPr>
      </w:pPr>
      <w:r>
        <w:rPr>
          <w:rFonts w:ascii="Times New Roman" w:cs="Times New Roman" w:eastAsia="Times New Roman" w:hAnsi="Times New Roman"/>
          <w:sz w:val="16"/>
          <w:szCs w:val="16"/>
          <w:color w:val="auto"/>
        </w:rPr>
        <w:t>Portions of the registrant’s definitive proxy statement to be filed with the Securities and Exchange Commission pursuant to Regulation 14A in connection with its Annual Meeting of Shareholders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80" w:type="dxa"/>
            <w:vAlign w:val="bottom"/>
            <w:gridSpan w:val="8"/>
          </w:tcPr>
          <w:p>
            <w:pPr>
              <w:jc w:val="center"/>
              <w:ind w:right="3280"/>
              <w:spacing w:after="0"/>
              <w:rPr>
                <w:sz w:val="20"/>
                <w:szCs w:val="20"/>
                <w:color w:val="auto"/>
              </w:rPr>
            </w:pPr>
            <w:r>
              <w:rPr>
                <w:rFonts w:ascii="Times New Roman" w:cs="Times New Roman" w:eastAsia="Times New Roman" w:hAnsi="Times New Roman"/>
                <w:sz w:val="18"/>
                <w:szCs w:val="18"/>
                <w:b w:val="1"/>
                <w:bCs w:val="1"/>
                <w:color w:val="auto"/>
                <w:w w:val="98"/>
              </w:rPr>
              <w:t>CULP, INC.</w:t>
            </w:r>
          </w:p>
        </w:tc>
        <w:tc>
          <w:tcPr>
            <w:tcW w:w="98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80" w:type="dxa"/>
            <w:vAlign w:val="bottom"/>
            <w:gridSpan w:val="8"/>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9"/>
              </w:rPr>
              <w:t>FORM 10-K REPORT</w:t>
            </w:r>
          </w:p>
        </w:tc>
        <w:tc>
          <w:tcPr>
            <w:tcW w:w="980" w:type="dxa"/>
            <w:vAlign w:val="bottom"/>
          </w:tcPr>
          <w:p>
            <w:pPr>
              <w:spacing w:after="0"/>
              <w:rPr>
                <w:sz w:val="18"/>
                <w:szCs w:val="18"/>
                <w:color w:val="auto"/>
              </w:rPr>
            </w:pPr>
          </w:p>
        </w:tc>
      </w:tr>
      <w:tr>
        <w:trPr>
          <w:trHeight w:val="238"/>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80" w:type="dxa"/>
            <w:vAlign w:val="bottom"/>
            <w:gridSpan w:val="8"/>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80" w:type="dxa"/>
            <w:vAlign w:val="bottom"/>
          </w:tcPr>
          <w:p>
            <w:pPr>
              <w:spacing w:after="0"/>
              <w:rPr>
                <w:sz w:val="20"/>
                <w:szCs w:val="20"/>
                <w:color w:val="auto"/>
              </w:rPr>
            </w:pPr>
          </w:p>
        </w:tc>
      </w:tr>
      <w:tr>
        <w:trPr>
          <w:trHeight w:val="372"/>
        </w:trPr>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Item No.</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Page</w:t>
            </w:r>
          </w:p>
        </w:tc>
      </w:tr>
      <w:tr>
        <w:trPr>
          <w:trHeight w:val="405"/>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1"/>
              </w:rPr>
              <w:t>PART I</w:t>
            </w:r>
          </w:p>
        </w:tc>
        <w:tc>
          <w:tcPr>
            <w:tcW w:w="8700" w:type="dxa"/>
            <w:vAlign w:val="bottom"/>
            <w:gridSpan w:val="33"/>
          </w:tcPr>
          <w:p>
            <w:pPr>
              <w:spacing w:after="0"/>
              <w:rPr>
                <w:sz w:val="24"/>
                <w:szCs w:val="24"/>
                <w:color w:val="auto"/>
              </w:rPr>
            </w:pPr>
          </w:p>
        </w:tc>
        <w:tc>
          <w:tcPr>
            <w:tcW w:w="980" w:type="dxa"/>
            <w:vAlign w:val="bottom"/>
          </w:tcPr>
          <w:p>
            <w:pPr>
              <w:spacing w:after="0"/>
              <w:rPr>
                <w:sz w:val="24"/>
                <w:szCs w:val="24"/>
                <w:color w:val="auto"/>
              </w:rPr>
            </w:pPr>
          </w:p>
        </w:tc>
      </w:tr>
      <w:tr>
        <w:trPr>
          <w:trHeight w:val="439"/>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924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Business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Overview</w:t>
            </w:r>
          </w:p>
        </w:tc>
        <w:tc>
          <w:tcPr>
            <w:tcW w:w="8340" w:type="dxa"/>
            <w:vAlign w:val="bottom"/>
            <w:gridSpan w:val="26"/>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8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COVID-19 Impact and Business Response</w:t>
            </w:r>
          </w:p>
        </w:tc>
        <w:tc>
          <w:tcPr>
            <w:tcW w:w="5980" w:type="dxa"/>
            <w:vAlign w:val="bottom"/>
            <w:gridSpan w:val="8"/>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General Information</w:t>
            </w:r>
          </w:p>
        </w:tc>
        <w:tc>
          <w:tcPr>
            <w:tcW w:w="7580" w:type="dxa"/>
            <w:vAlign w:val="bottom"/>
            <w:gridSpan w:val="19"/>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7"/>
              </w:rPr>
              <w:t>Segments</w:t>
            </w:r>
          </w:p>
        </w:tc>
        <w:tc>
          <w:tcPr>
            <w:tcW w:w="8360" w:type="dxa"/>
            <w:vAlign w:val="bottom"/>
            <w:gridSpan w:val="27"/>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Overview of Industry and Markets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rPr>
              <w:t>Overview of Bedding Industry</w:t>
            </w:r>
          </w:p>
        </w:tc>
        <w:tc>
          <w:tcPr>
            <w:tcW w:w="6580" w:type="dxa"/>
            <w:vAlign w:val="bottom"/>
            <w:gridSpan w:val="11"/>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6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w w:val="99"/>
              </w:rPr>
              <w:t>Overview of Residential and Commercial Furniture Industry</w:t>
            </w:r>
          </w:p>
        </w:tc>
        <w:tc>
          <w:tcPr>
            <w:tcW w:w="4700" w:type="dxa"/>
            <w:vAlign w:val="bottom"/>
            <w:gridSpan w:val="5"/>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Products</w:t>
            </w:r>
          </w:p>
        </w:tc>
        <w:tc>
          <w:tcPr>
            <w:tcW w:w="8420" w:type="dxa"/>
            <w:vAlign w:val="bottom"/>
            <w:gridSpan w:val="28"/>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Manufacturing and Sourcing</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Product Design and Innovation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Distribution</w:t>
            </w:r>
          </w:p>
        </w:tc>
        <w:tc>
          <w:tcPr>
            <w:tcW w:w="1360" w:type="dxa"/>
            <w:vAlign w:val="bottom"/>
            <w:tcBorders>
              <w:top w:val="single" w:sz="8" w:color="0000EE"/>
            </w:tcBorders>
            <w:gridSpan w:val="12"/>
          </w:tcPr>
          <w:p>
            <w:pPr>
              <w:spacing w:after="0"/>
              <w:rPr>
                <w:sz w:val="18"/>
                <w:szCs w:val="18"/>
                <w:color w:val="auto"/>
              </w:rPr>
            </w:pPr>
          </w:p>
        </w:tc>
        <w:tc>
          <w:tcPr>
            <w:tcW w:w="6820" w:type="dxa"/>
            <w:vAlign w:val="bottom"/>
            <w:gridSpan w:val="12"/>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8"/>
              </w:rPr>
              <w:t>Sources and Availability of Raw Materials</w:t>
            </w:r>
          </w:p>
        </w:tc>
        <w:tc>
          <w:tcPr>
            <w:tcW w:w="6000" w:type="dxa"/>
            <w:vAlign w:val="bottom"/>
            <w:gridSpan w:val="9"/>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Seasonality</w:t>
            </w:r>
          </w:p>
        </w:tc>
        <w:tc>
          <w:tcPr>
            <w:tcW w:w="8220" w:type="dxa"/>
            <w:vAlign w:val="bottom"/>
            <w:gridSpan w:val="25"/>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7"/>
              </w:rPr>
              <w:t>Competition</w:t>
            </w:r>
          </w:p>
        </w:tc>
        <w:tc>
          <w:tcPr>
            <w:tcW w:w="8160" w:type="dxa"/>
            <w:vAlign w:val="bottom"/>
            <w:gridSpan w:val="23"/>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9"/>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Environmental and Other Regulations</w:t>
            </w:r>
          </w:p>
        </w:tc>
        <w:tc>
          <w:tcPr>
            <w:tcW w:w="6320" w:type="dxa"/>
            <w:vAlign w:val="bottom"/>
            <w:gridSpan w:val="10"/>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9"/>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Human Capital</w:t>
            </w:r>
          </w:p>
        </w:tc>
        <w:tc>
          <w:tcPr>
            <w:tcW w:w="7960" w:type="dxa"/>
            <w:vAlign w:val="bottom"/>
            <w:gridSpan w:val="22"/>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Customers and Sales</w:t>
            </w:r>
          </w:p>
        </w:tc>
        <w:tc>
          <w:tcPr>
            <w:tcW w:w="7560" w:type="dxa"/>
            <w:vAlign w:val="bottom"/>
            <w:gridSpan w:val="18"/>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9"/>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Net Sales by Geographic Area</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0"/>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6"/>
              </w:rPr>
              <w:t>Backlog</w:t>
            </w:r>
          </w:p>
        </w:tc>
        <w:tc>
          <w:tcPr>
            <w:tcW w:w="1600" w:type="dxa"/>
            <w:vAlign w:val="bottom"/>
            <w:tcBorders>
              <w:top w:val="single" w:sz="8" w:color="0000EE"/>
            </w:tcBorders>
            <w:gridSpan w:val="16"/>
          </w:tcPr>
          <w:p>
            <w:pPr>
              <w:spacing w:after="0"/>
              <w:rPr>
                <w:sz w:val="18"/>
                <w:szCs w:val="18"/>
                <w:color w:val="auto"/>
              </w:rPr>
            </w:pPr>
          </w:p>
        </w:tc>
        <w:tc>
          <w:tcPr>
            <w:tcW w:w="6860" w:type="dxa"/>
            <w:vAlign w:val="bottom"/>
            <w:gridSpan w:val="13"/>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39"/>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1A.</w:t>
            </w:r>
          </w:p>
        </w:tc>
        <w:tc>
          <w:tcPr>
            <w:tcW w:w="120" w:type="dxa"/>
            <w:vAlign w:val="bottom"/>
          </w:tcPr>
          <w:p>
            <w:pPr>
              <w:spacing w:after="0"/>
              <w:rPr>
                <w:sz w:val="24"/>
                <w:szCs w:val="24"/>
                <w:color w:val="auto"/>
              </w:rPr>
            </w:pPr>
          </w:p>
        </w:tc>
        <w:tc>
          <w:tcPr>
            <w:tcW w:w="924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39"/>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1B.</w:t>
            </w:r>
          </w:p>
        </w:tc>
        <w:tc>
          <w:tcPr>
            <w:tcW w:w="120" w:type="dxa"/>
            <w:vAlign w:val="bottom"/>
          </w:tcPr>
          <w:p>
            <w:pPr>
              <w:spacing w:after="0"/>
              <w:rPr>
                <w:sz w:val="24"/>
                <w:szCs w:val="24"/>
                <w:color w:val="auto"/>
              </w:rPr>
            </w:pPr>
          </w:p>
        </w:tc>
        <w:tc>
          <w:tcPr>
            <w:tcW w:w="924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Unresolved Staff Comments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39"/>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7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Properties</w:t>
            </w:r>
          </w:p>
        </w:tc>
        <w:tc>
          <w:tcPr>
            <w:tcW w:w="1300" w:type="dxa"/>
            <w:vAlign w:val="bottom"/>
            <w:tcBorders>
              <w:top w:val="single" w:sz="8" w:color="0000EE"/>
            </w:tcBorders>
            <w:gridSpan w:val="15"/>
          </w:tcPr>
          <w:p>
            <w:pPr>
              <w:spacing w:after="0"/>
              <w:rPr>
                <w:sz w:val="24"/>
                <w:szCs w:val="24"/>
                <w:color w:val="auto"/>
              </w:rPr>
            </w:pPr>
          </w:p>
        </w:tc>
        <w:tc>
          <w:tcPr>
            <w:tcW w:w="7200" w:type="dxa"/>
            <w:vAlign w:val="bottom"/>
            <w:gridSpan w:val="15"/>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39"/>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13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7900" w:type="dxa"/>
            <w:vAlign w:val="bottom"/>
            <w:gridSpan w:val="20"/>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39"/>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4"/>
                <w:szCs w:val="24"/>
                <w:color w:val="auto"/>
              </w:rPr>
            </w:pPr>
          </w:p>
        </w:tc>
        <w:tc>
          <w:tcPr>
            <w:tcW w:w="17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8"/>
              </w:rPr>
              <w:t>Mine Safety Disclosure</w:t>
            </w:r>
          </w:p>
        </w:tc>
        <w:tc>
          <w:tcPr>
            <w:tcW w:w="7540" w:type="dxa"/>
            <w:vAlign w:val="bottom"/>
            <w:gridSpan w:val="17"/>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39"/>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5"/>
              </w:rPr>
              <w:t>PART II</w:t>
            </w:r>
          </w:p>
        </w:tc>
        <w:tc>
          <w:tcPr>
            <w:tcW w:w="8600" w:type="dxa"/>
            <w:vAlign w:val="bottom"/>
            <w:gridSpan w:val="32"/>
          </w:tcPr>
          <w:p>
            <w:pPr>
              <w:spacing w:after="0"/>
              <w:rPr>
                <w:sz w:val="24"/>
                <w:szCs w:val="24"/>
                <w:color w:val="auto"/>
              </w:rPr>
            </w:pPr>
          </w:p>
        </w:tc>
        <w:tc>
          <w:tcPr>
            <w:tcW w:w="980" w:type="dxa"/>
            <w:vAlign w:val="bottom"/>
          </w:tcPr>
          <w:p>
            <w:pPr>
              <w:spacing w:after="0"/>
              <w:rPr>
                <w:sz w:val="24"/>
                <w:szCs w:val="24"/>
                <w:color w:val="auto"/>
              </w:rPr>
            </w:pPr>
          </w:p>
        </w:tc>
      </w:tr>
      <w:tr>
        <w:trPr>
          <w:trHeight w:val="439"/>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4"/>
                <w:szCs w:val="24"/>
                <w:color w:val="auto"/>
              </w:rPr>
            </w:pPr>
          </w:p>
        </w:tc>
        <w:tc>
          <w:tcPr>
            <w:tcW w:w="924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Market for the Registrant’s Common Equity, Related Stockholder Matters, and Issuer Purchases of Equity Securities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39"/>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4"/>
                <w:szCs w:val="24"/>
                <w:color w:val="auto"/>
              </w:rPr>
            </w:pPr>
          </w:p>
        </w:tc>
        <w:tc>
          <w:tcPr>
            <w:tcW w:w="68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Reserved</w:t>
            </w:r>
          </w:p>
        </w:tc>
        <w:tc>
          <w:tcPr>
            <w:tcW w:w="7700" w:type="dxa"/>
            <w:vAlign w:val="bottom"/>
            <w:tcBorders>
              <w:top w:val="single" w:sz="8" w:color="0000EE"/>
            </w:tcBorders>
            <w:gridSpan w:val="30"/>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39"/>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4"/>
                <w:szCs w:val="24"/>
                <w:color w:val="auto"/>
              </w:rPr>
            </w:pPr>
          </w:p>
        </w:tc>
        <w:tc>
          <w:tcPr>
            <w:tcW w:w="646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780" w:type="dxa"/>
            <w:vAlign w:val="bottom"/>
            <w:gridSpan w:val="3"/>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39"/>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7A.</w:t>
            </w:r>
          </w:p>
        </w:tc>
        <w:tc>
          <w:tcPr>
            <w:tcW w:w="120" w:type="dxa"/>
            <w:vAlign w:val="bottom"/>
          </w:tcPr>
          <w:p>
            <w:pPr>
              <w:spacing w:after="0"/>
              <w:rPr>
                <w:sz w:val="24"/>
                <w:szCs w:val="24"/>
                <w:color w:val="auto"/>
              </w:rPr>
            </w:pPr>
          </w:p>
        </w:tc>
        <w:tc>
          <w:tcPr>
            <w:tcW w:w="436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880" w:type="dxa"/>
            <w:vAlign w:val="bottom"/>
            <w:gridSpan w:val="6"/>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39"/>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4"/>
                <w:szCs w:val="24"/>
                <w:color w:val="auto"/>
              </w:rPr>
            </w:pPr>
          </w:p>
        </w:tc>
        <w:tc>
          <w:tcPr>
            <w:tcW w:w="924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Consolidated Financial Statements and Supplementary Data</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14"/>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2560" w:type="dxa"/>
            <w:vAlign w:val="bottom"/>
            <w:gridSpan w:val="9"/>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39"/>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4"/>
                <w:szCs w:val="24"/>
                <w:color w:val="auto"/>
              </w:rPr>
            </w:pPr>
          </w:p>
        </w:tc>
        <w:tc>
          <w:tcPr>
            <w:tcW w:w="6480" w:type="dxa"/>
            <w:vAlign w:val="bottom"/>
            <w:tcBorders>
              <w:bottom w:val="single" w:sz="8" w:color="0000EE"/>
            </w:tcBorders>
            <w:gridSpan w:val="33"/>
          </w:tcPr>
          <w:p>
            <w:pPr>
              <w:spacing w:after="0"/>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2760" w:type="dxa"/>
            <w:vAlign w:val="bottom"/>
            <w:gridSpan w:val="2"/>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439"/>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9A.</w:t>
            </w:r>
          </w:p>
        </w:tc>
        <w:tc>
          <w:tcPr>
            <w:tcW w:w="120" w:type="dxa"/>
            <w:vAlign w:val="bottom"/>
          </w:tcPr>
          <w:p>
            <w:pPr>
              <w:spacing w:after="0"/>
              <w:rPr>
                <w:sz w:val="24"/>
                <w:szCs w:val="24"/>
                <w:color w:val="auto"/>
              </w:rPr>
            </w:pPr>
          </w:p>
        </w:tc>
        <w:tc>
          <w:tcPr>
            <w:tcW w:w="924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439"/>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9B.</w:t>
            </w:r>
          </w:p>
        </w:tc>
        <w:tc>
          <w:tcPr>
            <w:tcW w:w="120" w:type="dxa"/>
            <w:vAlign w:val="bottom"/>
          </w:tcPr>
          <w:p>
            <w:pPr>
              <w:spacing w:after="0"/>
              <w:rPr>
                <w:sz w:val="24"/>
                <w:szCs w:val="24"/>
                <w:color w:val="auto"/>
              </w:rPr>
            </w:pPr>
          </w:p>
        </w:tc>
        <w:tc>
          <w:tcPr>
            <w:tcW w:w="132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5"/>
          </w:tcPr>
          <w:p>
            <w:pPr>
              <w:spacing w:after="0"/>
              <w:rPr>
                <w:sz w:val="24"/>
                <w:szCs w:val="24"/>
                <w:color w:val="auto"/>
              </w:rPr>
            </w:pPr>
          </w:p>
        </w:tc>
        <w:tc>
          <w:tcPr>
            <w:tcW w:w="7480" w:type="dxa"/>
            <w:vAlign w:val="bottom"/>
            <w:gridSpan w:val="16"/>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439"/>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9C.</w:t>
            </w:r>
          </w:p>
        </w:tc>
        <w:tc>
          <w:tcPr>
            <w:tcW w:w="120" w:type="dxa"/>
            <w:vAlign w:val="bottom"/>
          </w:tcPr>
          <w:p>
            <w:pPr>
              <w:spacing w:after="0"/>
              <w:rPr>
                <w:sz w:val="24"/>
                <w:szCs w:val="24"/>
                <w:color w:val="auto"/>
              </w:rPr>
            </w:pPr>
          </w:p>
        </w:tc>
        <w:tc>
          <w:tcPr>
            <w:tcW w:w="924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1080"/>
        </w:trPr>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06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6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81"/>
              </w:rPr>
              <w:t>PART III</w:t>
            </w:r>
          </w:p>
        </w:tc>
        <w:tc>
          <w:tcPr>
            <w:tcW w:w="8060" w:type="dxa"/>
            <w:vAlign w:val="bottom"/>
            <w:gridSpan w:val="12"/>
          </w:tcPr>
          <w:p>
            <w:pPr>
              <w:spacing w:after="0"/>
              <w:rPr>
                <w:sz w:val="17"/>
                <w:szCs w:val="17"/>
                <w:color w:val="auto"/>
              </w:rPr>
            </w:pPr>
          </w:p>
        </w:tc>
        <w:tc>
          <w:tcPr>
            <w:tcW w:w="1560" w:type="dxa"/>
            <w:vAlign w:val="bottom"/>
          </w:tcPr>
          <w:p>
            <w:pPr>
              <w:spacing w:after="0"/>
              <w:rPr>
                <w:sz w:val="17"/>
                <w:szCs w:val="17"/>
                <w:color w:val="auto"/>
              </w:rPr>
            </w:pPr>
          </w:p>
        </w:tc>
      </w:tr>
      <w:tr>
        <w:trPr>
          <w:trHeight w:val="439"/>
        </w:trPr>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w:t>
            </w:r>
          </w:p>
        </w:tc>
        <w:tc>
          <w:tcPr>
            <w:tcW w:w="41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4520" w:type="dxa"/>
            <w:vAlign w:val="bottom"/>
            <w:gridSpan w:val="3"/>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439"/>
        </w:trPr>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11.</w:t>
            </w:r>
          </w:p>
        </w:tc>
        <w:tc>
          <w:tcPr>
            <w:tcW w:w="86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39"/>
        </w:trPr>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12.</w:t>
            </w:r>
          </w:p>
        </w:tc>
        <w:tc>
          <w:tcPr>
            <w:tcW w:w="73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13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439"/>
        </w:trPr>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13.</w:t>
            </w:r>
          </w:p>
        </w:tc>
        <w:tc>
          <w:tcPr>
            <w:tcW w:w="52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Certain Relationships, Related Transactions, and Director Independence</w:t>
            </w:r>
          </w:p>
        </w:tc>
        <w:tc>
          <w:tcPr>
            <w:tcW w:w="3460" w:type="dxa"/>
            <w:vAlign w:val="bottom"/>
            <w:gridSpan w:val="2"/>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439"/>
        </w:trPr>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14.</w:t>
            </w:r>
          </w:p>
        </w:tc>
        <w:tc>
          <w:tcPr>
            <w:tcW w:w="28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Principal Accountant Fees and Services</w:t>
            </w:r>
          </w:p>
        </w:tc>
        <w:tc>
          <w:tcPr>
            <w:tcW w:w="5800" w:type="dxa"/>
            <w:vAlign w:val="bottom"/>
            <w:gridSpan w:val="5"/>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439"/>
        </w:trPr>
        <w:tc>
          <w:tcPr>
            <w:tcW w:w="1020" w:type="dxa"/>
            <w:vAlign w:val="bottom"/>
          </w:tcPr>
          <w:p>
            <w:pPr>
              <w:spacing w:after="0"/>
              <w:rPr>
                <w:sz w:val="24"/>
                <w:szCs w:val="24"/>
                <w:color w:val="auto"/>
              </w:rPr>
            </w:pPr>
          </w:p>
        </w:tc>
        <w:tc>
          <w:tcPr>
            <w:tcW w:w="86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PART IV</w:t>
            </w:r>
          </w:p>
        </w:tc>
        <w:tc>
          <w:tcPr>
            <w:tcW w:w="156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50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39"/>
        </w:trPr>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15.</w:t>
            </w:r>
          </w:p>
        </w:tc>
        <w:tc>
          <w:tcPr>
            <w:tcW w:w="31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5500" w:type="dxa"/>
            <w:vAlign w:val="bottom"/>
            <w:gridSpan w:val="4"/>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439"/>
        </w:trPr>
        <w:tc>
          <w:tcPr>
            <w:tcW w:w="1020" w:type="dxa"/>
            <w:vAlign w:val="bottom"/>
          </w:tcPr>
          <w:p>
            <w:pPr>
              <w:spacing w:after="0"/>
              <w:rPr>
                <w:sz w:val="24"/>
                <w:szCs w:val="24"/>
                <w:color w:val="auto"/>
              </w:rPr>
            </w:pPr>
          </w:p>
        </w:tc>
        <w:tc>
          <w:tcPr>
            <w:tcW w:w="28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Documents Filed as Part of this Report</w:t>
            </w:r>
          </w:p>
        </w:tc>
        <w:tc>
          <w:tcPr>
            <w:tcW w:w="5860" w:type="dxa"/>
            <w:vAlign w:val="bottom"/>
            <w:gridSpan w:val="6"/>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439"/>
        </w:trPr>
        <w:tc>
          <w:tcPr>
            <w:tcW w:w="1020" w:type="dxa"/>
            <w:vAlign w:val="bottom"/>
          </w:tcPr>
          <w:p>
            <w:pPr>
              <w:spacing w:after="0"/>
              <w:rPr>
                <w:sz w:val="24"/>
                <w:szCs w:val="24"/>
                <w:color w:val="auto"/>
              </w:rPr>
            </w:pPr>
          </w:p>
        </w:tc>
        <w:tc>
          <w:tcPr>
            <w:tcW w:w="86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Exhibits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10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460" w:type="dxa"/>
            <w:vAlign w:val="bottom"/>
            <w:gridSpan w:val="7"/>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39"/>
        </w:trPr>
        <w:tc>
          <w:tcPr>
            <w:tcW w:w="1020" w:type="dxa"/>
            <w:vAlign w:val="bottom"/>
          </w:tcPr>
          <w:p>
            <w:pPr>
              <w:spacing w:after="0"/>
              <w:rPr>
                <w:sz w:val="24"/>
                <w:szCs w:val="24"/>
                <w:color w:val="auto"/>
              </w:rPr>
            </w:pPr>
          </w:p>
        </w:tc>
        <w:tc>
          <w:tcPr>
            <w:tcW w:w="86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Financial Statement Schedules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439"/>
        </w:trPr>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16.</w:t>
            </w:r>
          </w:p>
        </w:tc>
        <w:tc>
          <w:tcPr>
            <w:tcW w:w="220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Form 10-K Summary</w:t>
            </w:r>
          </w:p>
        </w:tc>
        <w:tc>
          <w:tcPr>
            <w:tcW w:w="6460" w:type="dxa"/>
            <w:vAlign w:val="bottom"/>
            <w:gridSpan w:val="7"/>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439"/>
        </w:trPr>
        <w:tc>
          <w:tcPr>
            <w:tcW w:w="1020" w:type="dxa"/>
            <w:vAlign w:val="bottom"/>
          </w:tcPr>
          <w:p>
            <w:pPr>
              <w:spacing w:after="0"/>
              <w:rPr>
                <w:sz w:val="24"/>
                <w:szCs w:val="24"/>
                <w:color w:val="auto"/>
              </w:rPr>
            </w:pPr>
          </w:p>
        </w:tc>
        <w:tc>
          <w:tcPr>
            <w:tcW w:w="15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Exhibit Index</w:t>
            </w:r>
          </w:p>
        </w:tc>
        <w:tc>
          <w:tcPr>
            <w:tcW w:w="7120" w:type="dxa"/>
            <w:vAlign w:val="bottom"/>
            <w:gridSpan w:val="9"/>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439"/>
        </w:trPr>
        <w:tc>
          <w:tcPr>
            <w:tcW w:w="1020" w:type="dxa"/>
            <w:vAlign w:val="bottom"/>
          </w:tcPr>
          <w:p>
            <w:pPr>
              <w:spacing w:after="0"/>
              <w:rPr>
                <w:sz w:val="24"/>
                <w:szCs w:val="24"/>
                <w:color w:val="auto"/>
              </w:rPr>
            </w:pPr>
          </w:p>
        </w:tc>
        <w:tc>
          <w:tcPr>
            <w:tcW w:w="9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7680" w:type="dxa"/>
            <w:vAlign w:val="bottom"/>
            <w:gridSpan w:val="10"/>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1323"/>
        </w:trPr>
        <w:tc>
          <w:tcPr>
            <w:tcW w:w="1020" w:type="dxa"/>
            <w:vAlign w:val="bottom"/>
            <w:tcBorders>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Parts I and II of this report contain “forward-looking statements” within the meaning of the federal securities laws, including the Private Securities Litigation Reform Act of 1995 (Section 27A of the Securities Act of 1933 and Section 21E of the Securities and Exchange Act of 1934). Such statements are inherently subject to risks and uncertainties that may cause actual events and results to differ materially from such statements. Further, forward-looking statements are intended to speak only as of the date on which they are made, and we disclaim any duty to update or alter such statements to reflect any changes in management’s expectations or any change in the assumptions or circumstances on which such statements are based, whether due to new information, future events, or otherwise. Forward-looking statements are statements that include projections, expectations, or beliefs about future events or results or otherwise are not statements of historical fact. Such statements are often but not always characterized by qualifying words such as “expect,” “believe,” “anticipate,” “estimate,” “intend,” “plan,” “project,” and their derivatives, and include but are not limited to statements about expectations for our future operations, production levels, new project launches, sales, profit margins, profitability, operating income, capital expenditures, working capital levels, income taxes, SG&amp;A or other expenses, pre-tax income, earnings, cash flow, and other performance or liquidity measures, as well as any statements regarding potential acquisitions, future economic or industry trends, public health epidemics, or future developments. There can be no assurance that we will realize these expectations, meet our guidance, or that these beliefs will prove correct.</w:t>
      </w:r>
    </w:p>
    <w:p>
      <w:pPr>
        <w:spacing w:after="0" w:line="1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Factors that could influence the matters discussed in such statements include the level of housing starts and sales of existing homes,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The future performance of our business depends in part on our success in conducting and finalizing acquisition negotiations and integrating acquired businesses into our existing operations. Changes in consumer tastes or preferences toward products not produced by us could erode demand for our products. Changes in tariffs or trade policy, or changes in the value of the U.S. dollar versus other currencies, could affect our financial results because a significant portion of our operations are located outside the United States. Strengthening of the U.S. dollar against other currencies could make our products less competitive on the basis of price in markets outside the United States, and strengthening of currencies in Canada and China can have a negative impact on our sales of products produced in those places. Also, economic or political instability in international areas could affect our operations or sources of goods in those areas, as well as demand for our products in international markets. The impact of public health epidemics on employees, customers, suppliers, and the global economy, such as the global coronavirus pandemic currently affecting countries around the world, could also adversely affect our operations and financial performance. In addition, the impact of potential goodwill or intangible asset impairments could affect our financial results. Increases in freight costs, labor costs, and raw material prices, including increases in market prices for petrochemical products, can also significantly affect the prices we pay for shipping, labor, and raw materials, respectively, and in turn, increase our operating costs and decrease our profitability. Finally, disruption in our customers’ supply chains for non-fabric components may cause declines in new orders and/or delayed shipping of existing orders while our customers wait for other components, which could adversely affect our financial results. Further information about these factors, as well as other factors that could affect our future operations or financial results and the matters discussed in forward-looking statements, is included in the “Risk Factors” section of this report in Item 1A. A forward-looking statement is neither a prediction nor a guarantee of future events or circumstances, and those future events or circumstances may not occur.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used in this document, the terms “Culp,” the “company,” “we,” “our,” and “us” refer to Culp, Inc. and its consolidated subsidiaries (unless the context indicates another meaning). The term “common stock” means the common stock of Culp, Inc., par value $.05 per share. The terms “Read Window Products” and “Read” refer to our wholly-owned subsidiary, Read Window Products, LLC. During the fourth quarter of fiscal 2020, the company sold its majority ownership interest in eLuxury, LLC (“eLuxury”), resulting in the elimination of the company’s home accessory segment at the time of such sale. Accordingly, the results of operations for this segment are excluded from the company’s continuing operations for the fiscal 2020 year and all prior periods of comparison, and the financial results are presented as a discontinued operation in the company’s consolidated financial statements. See Note 3 to the consolidated financial statements for further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Culp manufactures, sources, and markets mattress fabrics and sewn covers used for covering mattresses and foundations and other bedding products; and upholstery fabrics, including cut and sewn kits, primarily used in the production of upholstered furniture. The company competes in a business driven by fashion and product performance, and we strive to differentiate ourselves by placing a sustained focus on product innovation and creativity. In addition, we place great emphasis on providing excellent and dependable service to our customers. Our focused efforts to protect our financial strength have allowed us to maintain our position as a financially stable and trusted supplier of innovative fabrics to bedding and furniture manufacturers.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Culp is the largest producer of mattress fabrics in North America and one of the largest marketers of upholstery fabrics for furniture in North America, measured by total sales. Our operations are classified into two operating segments — mattress fabrics and upholstery fabrics. The mattress fabrics business markets primarily knitted and woven fabrics, as well as sewn covers made from those fabrics, which are used in the production of bedding products, including mattresses, foundations, and mattress sets. The upholstery fabrics business markets a variety of fabric products that are used principally in the production of residential and commercial upholstered furniture, including sofas, recliners, chairs, loveseats, sectionals, sofa-beds, and office seating, as well as window treatment products and installation services for customers in the hospitality and commercial industries.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Culp markets a variety of fabrics and other products in different categories to a global customer base, including fabrics produced at our manufacturing facilities and fabrics produced by other suppliers. As of the end of fiscal 2022, we had active production facilities located in North Carolina; Tennessee; Quebec, Canada; Shanghai, China; and Ouanaminthe, Haiti. We also source fabrics and cut and sewn kits from other manufacturers, located primarily in China, Vietnam, and Turkey, with substantially all of these products made specifically for Culp and created by Culp designers. In addition, we operate distribution centers in North Carolina, Canada, China, and Haiti to facilitate distribution of our fabric products, with additional distribution capabilities through strategic relationships in China and Vietnam.</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 the past decade, the portion of total company sales represented by fabrics produced outside of the U.S. and Canada has increased, while sales of goods produced in the U.S. have decreased. This trend is related primarily to the upholstery fabrics segment, where substantially all of our sales now consist of fabrics produced in Asia. The mattress fabrics business remains primarily based in North America.</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net sales in fiscal 2022 were $294.8 million. The mattress fabrics segment had net sales of $152.2 million (52% of total net sales), and the upholstery fabrics segment had net sales of $142.6 million (48% of total net sales).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overall sales declined 1.6% during fiscal 2022, as compared to the prior year, with mattress fabric sales decreasing 3.5% and upholstery fabric sales increasing 0.4%. This decline was driven primarily by the significant drop in sales for both businesses during the fourth quarter of fiscal 2022, which was mostly due to COVID-related shutdowns that affected our China operations, weakness in domestic mattress industry sales, and, to a lesser extent, a slowdown in new business for the residential home furnishings industry. The decline in overall sales for the year was partially offset by certain pricing and freight surcharge actions that were implemented at differing times during the year.</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Overall, Culp faced a difficult business environment during fiscal 2022. Despite these challenges, our associates around the world continued to persevere and deliver exceptional services to our customers. Both the mattress fabrics segment and upholstery fabrics segment have continued to execute our product-driven strategy, and our company’s global manufacturing and sourcing capabilities, flexible supply chain, and focus on innovation have helped us meet the evolving needs of our customers. We have also continued to diversify our platform and expand our capacity with our new upholstery cut and sew operation in Haiti, which commenced operations during the third quarter of fiscal 2022. In addition, we enhanced our focus on design creativity and innovation with the launch of our new innovation campus in High Point, North Carolina, during the first quarter of fiscal 2022.</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about trends and developments in each of our business segments is provided in the “Segments” discussion below, as well as in our “Management’s Discussion and Analysis” in Part II, Section 7 of this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Impact and Business Response</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2020, the World Health Organization declared the COVID-19 outbreak to be a global pandemic. This declaration, along with the continued spread of the disease to other countries, including the United States and other countries in which we operate, prompted federal, state, and local governments throughout the world to take a variety of actions to mitigate the spread of the virus, including travel restrictions, stay-at-home orders, temporary quarantines, restrictions on public gatherings, social distancing measures, mandated closures of non-essential businesses, occupancy limits, and other safety measures. Due to government-mandated closure requirements near the end of March 2020, we shut down our facilities in Canada and Haiti for several weeks, and most of our customers, as well as retail stores in the United States and around the globe, were similarly shut down or operating at significantly reduced capacity.</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response to the initial outbreak of the COVID-19 pandemic, we took steps to help safeguard the health of our employees, customers, and the communities we serve, including implementing detailed cleaning and disinfecting processes at our facilities, instituting temperature checks, adhering to social distancing and mask protocols, suspending non-essential travel, restricting visitors, providing remote work opportunities where possible, and offering on-site vaccination clinics to our employees, their families, and the general public. We have continued to monitor and update these procedures, in accordance with Centers for Disease Control (“CDC”) recommendations and other local laws and regulatory authorities, throughout the pandemic. During the fourth quarter of fiscal 2020, we also implemented several measures to preserve liquidity and reduce costs in response to the significant disruption and economic uncertainty, including making workforce adjustments to align with demand, implementing temporary salary reductions, eliminating the cash compensation paid to our board of directors, and proactively drawing down funds under our credit facilities to increase financial flexibility, among other measures.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first quarter of fiscal 2021, following a better-than-expected increase in demand as customers and retail stores began to reopen, we returned substantially all of our previously furloughed workers to meet this surge in demand. We also repaid all outstanding borrowings previously drawn under our credit facilities, ended temporary salary reductions, and restored the cash compensation paid to our board of directors. For the remainder of fiscal 2021, our sales recovered from the COVID-19 disruption with strong growth, driven by increased demand in the bedding industry and the residential home furnishings industry, combined with our ability to service this surge in demand through our global platform. We made several investments during the year that provided expanded capacity in our mattress fabrics business, including purchasing additional knit machines, completing construction of a second building for our Haiti sewn mattress cover operation, and acquiring the remaining fifty percent ownership interest in our Haiti sewn mattress cover platform from our joint venture partner. We also announced an additional expansion of our Haiti facilities to include a third building that would produce cut and sewn upholstery kits, primarily to support demand for an existing customer of the upholstery fabrics segment. Together, the actions taken during the fourth quarter of fiscal 2020 and beyond helped us mitigate the initial financial impact of lower industry demand and shutdowns as a result of the COVID-19 pandemic and ensure that we were well-positioned to meet the needs of our customers as retail stores reopened and consumer demand for residential home furnishings surged during fiscal 2021.</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the COVID-19 pandemic continued to spread throughout the world during fiscal 2021, we did not experience additional shutdowns of our operations, or any material shutdowns of the operations of our suppliers, during the remainder of the year, following the initial shutdowns from the fourth quarter of fiscal 2020. However, during fiscal 2022, our upholstery fabrics business was materially affected by COVID-19 related shutdowns of our sourcing partners and customers in Vietnam throughout most of the second quarter, and our operations in China were shut down during the last month of the fourth quarter of fiscal 2022, which prevented us from shipping goods in both our residential upholstery fabrics business and our sewn mattress cover business. In addition to these shutdowns, COVID-19 disruption affected our business during fiscal 2022, as well as the business of our customers and suppliers, due to employee absenteeism and labor shortages, pandemic-related effects on the availability and pricing of freight and raw material costs, and pandemic-related constraints on our customers’ capacity due to supply chain disruption for non-fabric components.</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continue to monitor and actively manage the impact of the COVID-19 crisis on our operations. The ongoing duration of the disruption and the effect it will have on our financial operations in the near and long term remain unknown and depend on factors beyond our knowledge or control. The need for any future actions in response to the COVID-19 pandemic largely depends on the spread of the virus, including new variants, in the jurisdictions in which our business, our suppliers, and our customers operate, along with the effectiveness and availability of vaccines; the status of government restrictions, directives and guidelines; the availability of workers and conditions for maintaining employee safety; global supply chain conditions; overall economic conditions and consumer confidence; the financial health of our customers, suppliers, and distribution channels; and consumer demand for our products, all of which are highly uncertain. As a result, we cannot reasonably estimate the ongoing impact of the COVID-19 pandemic on our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Culp, Inc. was organized as a North Carolina corporation in 1972 and made its initial public offering in 1983. Since 1997, our stock has been listed on the New York Stock Exchange and traded under the symbol “CFI” until July 13, 2017, at which time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Company’s ticker symbol changed to “CULP.” Our fiscal year is the 52- or 53-week period ending on the Sunday closest to April 30. Our executive offices are located in High Point, North Carolina.</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Culp maintains an internet website at www.culp.com. We will make this annual report and our other annual reports on Form 10-K, quarterly reports on Form 10-Q, current reports on Form 8-K and amendments to these reports available free of charge on our internet site as soon as reasonably practicable after such material is electronically filed with, or furnished to, the Securities and Exchange Commission (the “SEC”). Copies of any materials we file or furnish with the SEC can also be obtained free of charge through the SEC’s website at www.sec.gov. The information included on our website is not incorporated by reference into this annual report or any other reports we file with, or furnish to, the SEC.</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sale of our ownership interest in eLuxury on March 31, 2020, which resulted in the elimination of our home accessories segment, our two continuing operating segments are mattress fabrics and upholstery fabrics. The following table sets forth certain information for each of our segments.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0" w:type="dxa"/>
            <w:vAlign w:val="bottom"/>
            <w:gridSpan w:val="8"/>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Sales by Fiscal Year ($ in Millions) and Percentage of Total</w:t>
            </w:r>
          </w:p>
        </w:tc>
        <w:tc>
          <w:tcPr>
            <w:tcW w:w="700" w:type="dxa"/>
            <w:vAlign w:val="bottom"/>
          </w:tcPr>
          <w:p>
            <w:pPr>
              <w:spacing w:after="0"/>
              <w:rPr>
                <w:sz w:val="18"/>
                <w:szCs w:val="18"/>
                <w:color w:val="auto"/>
              </w:rPr>
            </w:pPr>
          </w:p>
        </w:tc>
      </w:tr>
      <w:tr>
        <w:trPr>
          <w:trHeight w:val="238"/>
        </w:trPr>
        <w:tc>
          <w:tcPr>
            <w:tcW w:w="3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Company Sales</w:t>
            </w: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01"/>
        </w:trPr>
        <w:tc>
          <w:tcPr>
            <w:tcW w:w="3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410"/>
              <w:spacing w:after="0" w:line="201" w:lineRule="exact"/>
              <w:rPr>
                <w:sz w:val="20"/>
                <w:szCs w:val="20"/>
                <w:color w:val="auto"/>
              </w:rPr>
            </w:pPr>
            <w:r>
              <w:rPr>
                <w:rFonts w:ascii="Times New Roman" w:cs="Times New Roman" w:eastAsia="Times New Roman" w:hAnsi="Times New Roman"/>
                <w:sz w:val="18"/>
                <w:szCs w:val="18"/>
                <w:b w:val="1"/>
                <w:bCs w:val="1"/>
                <w:color w:val="auto"/>
              </w:rPr>
              <w:t>Fiscal</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180"/>
              <w:spacing w:after="0" w:line="201" w:lineRule="exact"/>
              <w:rPr>
                <w:sz w:val="20"/>
                <w:szCs w:val="20"/>
                <w:color w:val="auto"/>
              </w:rPr>
            </w:pPr>
            <w:r>
              <w:rPr>
                <w:rFonts w:ascii="Times New Roman" w:cs="Times New Roman" w:eastAsia="Times New Roman" w:hAnsi="Times New Roman"/>
                <w:sz w:val="18"/>
                <w:szCs w:val="18"/>
                <w:b w:val="1"/>
                <w:bCs w:val="1"/>
                <w:color w:val="auto"/>
              </w:rPr>
              <w:t>Fiscal</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410"/>
              <w:spacing w:after="0" w:line="201" w:lineRule="exact"/>
              <w:rPr>
                <w:sz w:val="20"/>
                <w:szCs w:val="20"/>
                <w:color w:val="auto"/>
              </w:rPr>
            </w:pPr>
            <w:r>
              <w:rPr>
                <w:rFonts w:ascii="Times New Roman" w:cs="Times New Roman" w:eastAsia="Times New Roman" w:hAnsi="Times New Roman"/>
                <w:sz w:val="18"/>
                <w:szCs w:val="18"/>
                <w:b w:val="1"/>
                <w:bCs w:val="1"/>
                <w:color w:val="auto"/>
              </w:rPr>
              <w:t>Fiscal</w:t>
            </w:r>
          </w:p>
        </w:tc>
        <w:tc>
          <w:tcPr>
            <w:tcW w:w="700" w:type="dxa"/>
            <w:vAlign w:val="bottom"/>
          </w:tcPr>
          <w:p>
            <w:pPr>
              <w:spacing w:after="0"/>
              <w:rPr>
                <w:sz w:val="17"/>
                <w:szCs w:val="17"/>
                <w:color w:val="auto"/>
              </w:rPr>
            </w:pPr>
          </w:p>
        </w:tc>
      </w:tr>
      <w:tr>
        <w:trPr>
          <w:trHeight w:val="238"/>
        </w:trPr>
        <w:tc>
          <w:tcPr>
            <w:tcW w:w="3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Segment</w:t>
            </w:r>
          </w:p>
        </w:tc>
        <w:tc>
          <w:tcPr>
            <w:tcW w:w="15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FF0FC"/>
            </w:tcBorders>
          </w:tcPr>
          <w:p>
            <w:pPr>
              <w:spacing w:after="0"/>
              <w:rPr>
                <w:sz w:val="20"/>
                <w:szCs w:val="20"/>
                <w:color w:val="auto"/>
              </w:rPr>
            </w:pPr>
          </w:p>
        </w:tc>
        <w:tc>
          <w:tcPr>
            <w:tcW w:w="6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700" w:type="dxa"/>
            <w:vAlign w:val="bottom"/>
            <w:tcBorders>
              <w:bottom w:val="single" w:sz="8" w:color="CFF0FC"/>
            </w:tcBorders>
          </w:tcPr>
          <w:p>
            <w:pPr>
              <w:spacing w:after="0"/>
              <w:rPr>
                <w:sz w:val="20"/>
                <w:szCs w:val="20"/>
                <w:color w:val="auto"/>
              </w:rPr>
            </w:pPr>
          </w:p>
        </w:tc>
      </w:tr>
      <w:tr>
        <w:trPr>
          <w:trHeight w:val="223"/>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Mattress Fabrics</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152.2</w:t>
            </w:r>
          </w:p>
        </w:tc>
        <w:tc>
          <w:tcPr>
            <w:tcW w:w="8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157.7</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131.4</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Upholstery Fabrics</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3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Non-U.S.-Produced</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133.2</w:t>
            </w:r>
          </w:p>
        </w:tc>
        <w:tc>
          <w:tcPr>
            <w:tcW w:w="8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133.0</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113.6</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33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U.S.-Produced</w:t>
            </w:r>
          </w:p>
        </w:tc>
        <w:tc>
          <w:tcPr>
            <w:tcW w:w="15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840" w:type="dxa"/>
            <w:vAlign w:val="bottom"/>
            <w:tcBorders>
              <w:bottom w:val="single" w:sz="8" w:color="CFF0FC"/>
            </w:tcBorders>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Borders>
              <w:bottom w:val="single" w:sz="8" w:color="CFF0FC"/>
            </w:tcBorders>
          </w:tcPr>
          <w:p>
            <w:pPr>
              <w:spacing w:after="0"/>
              <w:rPr>
                <w:sz w:val="19"/>
                <w:szCs w:val="19"/>
                <w:color w:val="auto"/>
              </w:rPr>
            </w:pPr>
          </w:p>
        </w:tc>
        <w:tc>
          <w:tcPr>
            <w:tcW w:w="620" w:type="dxa"/>
            <w:vAlign w:val="bottom"/>
            <w:tcBorders>
              <w:bottom w:val="single" w:sz="8" w:color="CFF0FC"/>
            </w:tcBorders>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7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33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Upholstery</w:t>
            </w:r>
          </w:p>
        </w:tc>
        <w:tc>
          <w:tcPr>
            <w:tcW w:w="15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142.6</w:t>
            </w:r>
          </w:p>
        </w:tc>
        <w:tc>
          <w:tcPr>
            <w:tcW w:w="8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142.0</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124.8</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 company</w:t>
            </w:r>
          </w:p>
        </w:tc>
        <w:tc>
          <w:tcPr>
            <w:tcW w:w="15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294.8</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299.7</w:t>
            </w:r>
          </w:p>
        </w:tc>
        <w:tc>
          <w:tcPr>
            <w:tcW w:w="22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256.2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financial information about our operating segments can be found in Note 18 of the consolidated financial statements included in Item 8 of this report.</w:t>
      </w:r>
    </w:p>
    <w:p>
      <w:pPr>
        <w:spacing w:after="0" w:line="1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Mattress Fabrics. </w:t>
      </w:r>
      <w:r>
        <w:rPr>
          <w:rFonts w:ascii="Times New Roman" w:cs="Times New Roman" w:eastAsia="Times New Roman" w:hAnsi="Times New Roman"/>
          <w:sz w:val="18"/>
          <w:szCs w:val="18"/>
          <w:color w:val="auto"/>
        </w:rPr>
        <w:t>The mattress fabrics segment, also known as Culp Home Fashions, manufactures and markets mattress fabrics and sewn mattress covers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bedding manufacturers. These products include woven jacquard fabrics, knitted fabrics, and some converted fabrics. Culp Home Fashions has manufacturing facilities located in Stokesdale and High Point, North Carolina, and St. Jerome, Quebec, Canada. The division also sources products internally from Culp China, which is operated by our upholstery fabrics division, as well as from a supplier in Turkey, based on our own designs and production schedule. Additionally, Culp Home Fashions has a mattress cover facility in Haiti (which is now a wholly-owned operation following the fiscal 2021 fourth-quarter acquisition of the remaining fifty percent ownership interest from its former joint venture partner), and also utilizes our Culp China platform for the production of sewn mattress covers. Knitted fabrics are produced at both the Stokesdale and St. Jerome facilities, while jacquard (damask) fabric is produced solely at the St. Jerome facility. The majority of our finishing and inspection processes for mattress fabrics are conducted at the Stokesdale plant, while the St. Jerome plant provides additional capacity and a second location for these processes. Both of these facilities offer finished goods distribution capabilities, and the Stokesdale plant houses the division offices.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Culp Home Fashions had capital expenditures totaling $69 million during the past ten years, with especially high spending levels from fiscal 2015 through fiscal 2018. These expenditures provided for increased knit machine capacity, faster and more efficient weaving machines, and the capital required for commencement of our Haiti sewn mattress cover operation, while also allowing us to maintain our leading-edge technology through modernization and expansion projects. These capital expenditures also provided high technology finishing equipment for woven and knitted fabric and an enhanced U.S. platform for warehousing and distribution, along with a Canadian platform that now provides completely finished woven and knitted fabric.</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sewn mattress cover operation, established during fiscal 2013, has a manufacturing plant in High Point, North Carolina. This facility is leased by the company, and its operation involves a limited capital investment in equipment. In fiscal 2017, in response to continued growth in mattress cover demand, we entered into a joint venture with a third-party mattress cover provider to construct a second leased location for our mattress cover operations in Haiti, and that joint-venture facility began production of mattress covers for our business during the second quarter of fiscal 2018. We completed a 40,000-square foot expansion of this Haiti facility during the second quarter of fiscal 2021 to increase capacity, and during the fourth quarter of fiscal 2021, we acquired the remaining fifty percent ownership interest in this Haiti mattress cover business from our previous joint venture partner, giving us full control over the operation. We expect this strategic acquisition will enhance our ability to effectively manage our global cut and sew platform by further expanding our capacity and improving our flexibility to meet customer demand from this near-shore operation. As noted above, we also utilize our Culp China platform, operated by our upholstery fabrics division, to manufacture sewn mattress covers and to source additional sewn covers from third-party suppliers in Asia. These three manufacturing locations in North Carolina, Haiti, and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China give us an on-shore, near-shore, and off-shore supply chain strategy that allows us greater flexibility in meeting demand for mattress covers from bedding producers.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past five years, we completed several multi-year capital projects for the mattress fabrics business, including consolidating certain operations, expanding capacity, improving efficiency and customer service, and maintaining our flexible approach to fabric sourcing. In fiscal 2019, we continued these initiatives by consolidating our weaving operations to one facility, our plant in Quebec, Canada, and expanding production of our sewn mattress covers in Haiti and China to meet customer demand in the growing boxed bedding market. Additionally, we continued to expand our design capabilities in fiscal 2019, launching new software and a library system for cataloguing our products to drive marketing and enhance innovation. In fiscal 2020, we further enhanced our design and innovation platform by establishing a dedicated innovation team to develop and offer the latest technologies and forward-looking products, expanding our creative team to complement our innovation strategy, and releasing a new digital library, design simulations, and 3D image rendering capabilities to showcase our designs and marketing tools. We were able to leverage these new technologies during the COVID-19 pandemic, in the face of travel restrictions and cancelled tradeshows, to continue showcasing our products and support our customers through virtual design collaboration. In fiscal 2021, we invested in additional knit machines and other equipment to expand fabric capacity in North America. We also enhanced our digital project management platform, which allows us to work with customers from concept ideation and 3D mapping to product life cycle management and final merchandising. In fiscal 2022, we expanded our leading-edge technology at our Canadian manufacturing facility with the addition of a sectional warper and lamination line.</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eight consecutive years of growth, sales declined in fiscal 2019 and fiscal 2020. The decline in fiscal 2019 was mainly attributable to the acceleration of low-priced mattress imports from China towards the end of fiscal 2018 and through the first three quarters of fiscal 2019, together with the increased acceptance by consumers of roll-packed/boxed bedding delivered through major online e-commerce channels. This disrupted the U.S. bedding industry and resulted in a decline in sales for domestic bedding manufacturers, which affected our business as a supplier to those manufacturers. Fiscal 2019 was also affected by major customer and retail disruption for certain of our core customers. The decline in fiscal 2020 was primarily due to the significant disruption from the COVID-19 pandemic during the fourth quarter, which has traditionally experienced higher sales for the mattress fabrics segment due to early spring seasonality trends. Prior to the COVID-19 outbreak, our results for fiscal 2020 were also affected by continued disruption in the domestic mattress industry relating to low-priced mattress imports that moved from China to other countries.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increased significantly in fiscal 2021, as compared to fiscal 2020, which was materially affected by the COVID-19 disruption. This increase in sales was driven by the consumer focus on the home environment and overall comfort, combined with our ability to service this demand through our global platform. For fiscal 2022, sales declined compared to the prior year primarily due to industry weakness in domestic mattress industry sales, especially during the fourth quarter, along with some disruption from COVID-related shutdowns. This industry softness was driven by slowing retail demand, which we believe was mostly caused by inflationary pressures affecting consumer spending.</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Despite the challenging macro-economic conditions during fiscal 2022, we maintained a continued focus on our product-driven strategy, with an emphasis on innovation, design creativity, quality, and personalized customer service. The strength and flexibility of our global manufacturing and sourcing operations in the U.S., Canada, Haiti, Asia, and Turkey enabled us to support the evolving needs of our mattress fabric and cover customers throughout the year. While we experienced lower demand in our mattress cover business, particularly during the second half of the year, we believe our on-shore, near-shore, and off-shore supply chain strategy, as well as our fabric-to-cover model, remains a preferred platform for sewn mattress cover customers. We believe the success of our mattress fabrics segment over the long term is due to our focus on these foundational values and strategic initiatives that allow us to meet changing customer demands.</w:t>
      </w:r>
    </w:p>
    <w:p>
      <w:pPr>
        <w:spacing w:after="0" w:line="1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Upholstery Fabrics. </w:t>
      </w:r>
      <w:r>
        <w:rPr>
          <w:rFonts w:ascii="Times New Roman" w:cs="Times New Roman" w:eastAsia="Times New Roman" w:hAnsi="Times New Roman"/>
          <w:sz w:val="18"/>
          <w:szCs w:val="18"/>
          <w:color w:val="auto"/>
        </w:rPr>
        <w:t>The upholstery fabrics segment markets fabrics for residential and commercial furniture, including jacquard woven fabrics, velvets,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micro denier suedes, woven dobbies, knitted fabrics, piece-dyed woven products, and polyurethane “leather look” fabrics. With the acquisition of Read Window Products at the end of fiscal 2018, this segment also markets window treatment products and installation services, including roller shades, drapery, hardware, and top-of-mattress soft goods, for customers in the hospitality and commercial industries.</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upholstery fabrics segment currently operates two manufacturing facilities in Shanghai, China. We market cut and sewn fabric kits produced in these locations, as well as a variety of upholstery fabrics and cut and sewn kits sourced from third party producers, mostly in China and Vietnam. Our China facilities in Shanghai include production of cut and sewn kits made to specifications of furniture manufacturing customers using sourced fabrics, as well as design, finishing, warehousing, quality control, and inspection operations. During the third quarter of fiscal 2022, we also commenced operation of a new facility in Haiti dedicated to the production of cut and sewn fabric kits, and we continued to ramp up production at this facility during the fourth quarter. This facility primarily supports demand for an existing upholstery fabrics customer. We continue to expand our marketing efforts to sell our upholstery fabrics products in countries other than the U.S., including the Chinese local market. Additionally, we fabricate a variety of window treatments, using mostly customer-supplied fabrics and materials, at our facility in Knoxville, Tennessee.</w:t>
      </w:r>
    </w:p>
    <w:p>
      <w:pPr>
        <w:spacing w:after="0" w:line="1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upholstery fabrics business has moved from one that relied on a large fixed capital base that is difficult to adjust to a more flexible and scalable marketer of upholstery fabrics that meets changing levels of customer demand and tastes. At the same time, we have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maintained control of the most important “value added” aspects of our business, such as design, finishing, quality control, and logistics. This strategic approach has allowed us to limit our investment of capital in fixed assets and control the costs of our products, while continuing to leverage our design and finishing expertise, industry knowledge, and important relationships.</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increasing in the two prior years, sales declined in fiscal 2020 due to the severe disruption from the COVID-19 pandemic during the fourth quarter. In fiscal 2021, our sales recovered with strong growth, driven by increased industry demand in our residential business, as well as the benefits of product innovation and opportunities with new and existing customers. This growth was partially offset by lower sales for our hospitality business, which remained under pressure due to pandemic-related disruptions affecting the travel and leisure industries. During fiscal 2022, sales increased slightly by 0.4%, reflecting generally solid demand for residential upholstery products for the first nine months of the year, offset by a significant drop in residential sales during the fourth quarter due to COVID-related shutdowns of our facilities in China throughout the month of April and, to a lesser extent, a slowdown in new business for the residential home furnishings industry during the fourth quarter. The increase in net sales during fiscal 2022 also reflects the impact of certain pricing and freight surcharge actions that were implemented at varying time during the year.</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Throughout fiscal 2022, we maintained our sustained focus on product innovation, and our highly durable, stain resistant LiveSmart® performance fabrics, as well as our LiveSmart Evolve® performance plus sustainability fabrics, remained popular with both existing and new residential furniture customers. Our hospitality business continued to recover from pandemic-related impacts, with higher sales in our hospitality/contract fabric business and our Read business during the second half of the year.</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the success of our upholstery fabrics segment over the longer term is due largely to a business strategy that has included: 1) innovation in a low-cost environment, 2) speed-to-market execution, 3) consistent quality, 4) reliable service and lead times, and 5) increased recognition of and reliance on the Culp brand. Our progress has been achieved through a unique business model that has enabled the upholstery fabrics segment to execute a strategy that we believe is clearly differentiated from our competitors. In this way, we have maintained our ability to provide furniture manufacturers with products from nearly every category of fabric for upholstered furniture and meet continually changing demand levels and consumer preferences. In recent years, we have implemented additional steps to grow net sales, including an emphasis on markets beyond residential furniture, such as the hospitality market. One result of these efforts was the acquisition of Read Window Products at the end of fiscal 2018, representing a significant expansion of our production capabilities in the hospitality market, along with the addition of window treatment installation services.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Industry and Markets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Culp markets products primarily to manufacturers and hospitality customers in three principal markets. The mattress fabrics segment supplies the bedding industry, which produces mattress sets (mattresses, box springs, foundations and top of bed components) and bedding accessory products. The upholstery fabrics segment primarily supplies the residential furniture industry and, to a lesser extent, the commercial furniture industry. The residential furniture market includes upholstered furniture sold to consumers for household use, including sofas, sofa-beds, chairs, recliners, and sectionals. The commercial furniture, fabrics, and window treatments market includes fabrics and window treatment products used in the hospitality industry (primarily hotels and motels); fabrics used for upholstered office seating and modular office systems sold primarily for use in offices and other institutional settings, as well as commercial textile wall coverings; and window treatments for commercial application. The principal industries into which the company sells products – the bedding industry and residential and commercial furniture industry – are described in more detail below. Currently, a great majority of our products are sold to manufacturers for end use in the U.S., and thus the discussions below are focused on that market.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Bedding Industry</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bedding industry has contracted and expanded in recent years in accordance with the general economy, although traditionally the industry has been relatively mature and stable. This is due in part to the fact that a majority of bedding industry sales are replacement purchases, which are less volatile than sales based on economic growth and new household formations. During fiscal 2022, the bedding industry experienced weakness in domestic mattress industry sales, particularly during the second half of the year, due primarily to inflationary pressures affecting consumer spending, especially for mattress products in the low to mid-range price points. These pressures are expected to continue affecting the bedding industry during fiscal 2023.</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Until recently, the U.S. bedding industry has largely remained a North American-based business, with limited competition from imports. This dynamic has mainly been due to short lead times demanded by mattress manufacturers and retailers, the customized nature of product lines, the relatively low direct labor content in mattresses, and strong brand recognition. Imports of bedding into the U.S. had been increasing gradually, but this trend significantly accelerated in fiscal 2018 and 2019, especially for lower-priced bedding. China accounted for the largest share of the imported units during these years, but the level of mattress imports entering the U.S. from China began to substantially decline beginning in the fourth quarter of fiscal 2019 in connection with punitive anti-dumping duties imposed by the U.S. Department of Commerce. However, the level of mattress imports from other countries, including Vietnam, Cambodia, Indonesia, Thailand, and Turkey, among others, significantly increased during fiscal 2020 as imports from China declined. The result of the increase in imports during this period, and continuing into fiscal 2021, was a decline in sales for the major U.S. bedding manufacturers, which affected major suppliers to those manufacturers, including Culp.</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continued significant influx of low-priced imports that moved from China to other countries, the U.S. Department of Commerce imposed anti-dumping duties against seven countries, including Cambodia, Indonesia, Malaysia, Serbia, Thailand, Turkey, and Vietnam, during fiscal 2021. We believe the domestic mattress industry and, in turn, our business, began to realize some benefits from these duties during the second half of fiscal 2021 and continuing into fiscal 2022.</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key trend driving the bedding industry is the increased demand for roll-packed/compressed mattresses in both online and traditional sales channels, as consumer acceptance of boxed beds as a delivery mechanism continues to drive growth and increase market share for this product, increasing potential demand for sewn mattress covers. Another important trend is the increased awareness among consumers about the health benefits of better sleep, with an increased focus on the quality of bedding products and an apparent willingness on the part of consumers to upgrade their bedding. A further trend is the strong and growing emphasis on the design knitted or woven into mattress fabrics to appeal to the customer’s visual attraction and perceived value of the mattress on the retail floor, as well as in online sales channels and advertisements. Mattress fabric design efforts are based on current trends in home decor and fashion. Additionally, the growth in non-traditional sources for retail mattress sales, such as online e-commerce channels and wholesale warehouse clubs, has the potential to increase overall consumption of goods due to convenience and high traffic volume, which in turn results in higher turnover of product. Among fabric types, knitted fabrics have continued to increase in popularity. Knitted fabric was initially used primarily on premium mattresses, but these products are now being placed increasingly on mattresses at mid-range to lower retail price points.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Residential and Commercial Furniture Industry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Overall demand for our products depends upon consumer demand for furniture and bedding products, which is subject to variations in the general economy, including current inflationary pressures affecting consumer spending, the continued economic impact of the COVID-19 pandemic, and other geopolitical events. Because purchases of furniture and bedding products are discretionary purchases for most individuals and businesses, demand for these products may be more easily influenced by economic trends than demand for other products. Economic downturns, increases in unemployment rates, and uncertainty about future health and economic prospects can affect consumer spending habits and demand for home furnishings, which reduces the demand for our products and therefore can cause a decline in our sales and earnings.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Sales of residential and commercial furniture are affected by variations in the global economy, including economic downturns, increases in unemployment rates, and uncertainty about future health and economic prospects. These market conditions, as well as the pace of recovery from these conditions, have been uneven in recent years. In general, sales of residential furniture are influenced significantly by the housing industry and by trends in home sales and household formations, while demand for commercial furniture generally reflects economic trends affecting businesses. During fiscal 2021, disruption relating to the COVID-19 pandemic positively affected sales trends, with the increased consumer focus on the home and travel restrictions shifting discretionary spending away from travel and leisure activities towards home furnishings and enhancing comfort within the home environment. This sales trend began to reverse during fiscal 2022, particularly during the second half of the year, as COVID-related travel and mask restrictions were lifted and consumers began to resume travel and leisure activities. Inflationary pressures also began to affect consumer spending during the second half of fiscal 2022. Together, these trends have caused a slowdown in new business for the residential home furnishings industry that is expected to continue during fiscal 2023.</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sourcing of components and fully assembled furniture from overseas continues to play a major role in the furniture industry. By far, the largest source for these imports continues to be China. Imports of upholstery fabric, both in roll and in “kit” form, have also had a significant impact on the market for upholstery fabrics in recent years. Fabrics entering the U.S. from China and other low labor cost countries have resulted in increased price competition in the upholstery fabric and upholstered furniture markets.</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general, the residential furniture industry has been consolidating for several years. The result of this trend is fewer, but larger, customers for marketers of upholstery fabrics. Intense price competition continues to be an important consideration for both residential and commercial furniture.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with the ongoing global trade dispute between the U.S. and China, including the imposition of tariffs during fiscal 2019 and the possibility for additional tariffs on China imports, some of our customers began altering their supply chains away from China in late fiscal 2019. While this trend continued in fiscal 2020, fiscal 2021, and fiscal 2022, we believe Asia remains a preferred location for sourcing of components, including fabric.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above, our products include mattress fabrics and upholstery fabrics, which are our two identified operating segments. These fabrics are sold in roll form and as sewn mattress covers by the mattress fabrics segment, and in roll form and as cut and sewn kits by the upholstery fabrics segment. Our upholstery segment products also include window treatments and related products.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Mattress Fabrics Segment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Mattress fabrics segment sales constituted 52% of our total net sales for fiscal 2022, compared with 53% for fiscal 2021. The company has emphasized fabrics that have broad appeal at prices generally ranging from $1.50 to more than $10.00 per yard.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auto"/>
        </w:rPr>
        <w:t>Upholstery Fabrics Segment</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Upholstery fabrics segment sales totaled 48% of our sales for fiscal 2022, compared with 47% of for fiscal 2021. The company has emphasized fabrics that have broad appeal at “good” and “better” prices, generally ranging from $3.00 to $14.00 per yard.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Culp Product Categories by Segment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market products in most categories of fabric that manufacturers currently use for bedding and furniture. We also market window treatment products to customers in the hospitality and commercial industries. The following table indicates the product lines within each segment, and, with respect to the fabric products, a brief description of their characteristics.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Mattress Fabrics</w:t>
            </w:r>
          </w:p>
        </w:tc>
        <w:tc>
          <w:tcPr>
            <w:tcW w:w="9040" w:type="dxa"/>
            <w:vAlign w:val="bottom"/>
          </w:tcPr>
          <w:p>
            <w:pPr>
              <w:spacing w:after="0"/>
              <w:rPr>
                <w:sz w:val="17"/>
                <w:szCs w:val="17"/>
                <w:color w:val="auto"/>
              </w:rPr>
            </w:pPr>
          </w:p>
        </w:tc>
      </w:tr>
      <w:tr>
        <w:trPr>
          <w:trHeight w:val="479"/>
        </w:trPr>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Woven jacquards</w:t>
            </w:r>
          </w:p>
        </w:tc>
        <w:tc>
          <w:tcPr>
            <w:tcW w:w="900" w:type="dxa"/>
            <w:vAlign w:val="bottom"/>
            <w:gridSpan w:val="2"/>
          </w:tcPr>
          <w:p>
            <w:pPr>
              <w:spacing w:after="0"/>
              <w:rPr>
                <w:sz w:val="24"/>
                <w:szCs w:val="24"/>
                <w:color w:val="auto"/>
              </w:rPr>
            </w:pPr>
          </w:p>
        </w:tc>
        <w:tc>
          <w:tcPr>
            <w:tcW w:w="9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Various patterns and intricate designs. Woven on complex looms using a variety of synthetic and natural yarns.</w:t>
            </w:r>
          </w:p>
        </w:tc>
      </w:tr>
      <w:tr>
        <w:trPr>
          <w:trHeight w:val="414"/>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Converted</w:t>
            </w:r>
          </w:p>
        </w:tc>
        <w:tc>
          <w:tcPr>
            <w:tcW w:w="9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Suedes, pile and embroidered fabrics, and other specialty type products are sourced to offer diversity for higher end</w:t>
            </w:r>
          </w:p>
        </w:tc>
      </w:tr>
      <w:tr>
        <w:trPr>
          <w:trHeight w:val="234"/>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mattresses.</w:t>
            </w:r>
          </w:p>
        </w:tc>
      </w:tr>
      <w:tr>
        <w:trPr>
          <w:trHeight w:val="414"/>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Knitted fabric</w:t>
            </w:r>
          </w:p>
        </w:tc>
        <w:tc>
          <w:tcPr>
            <w:tcW w:w="9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Various patterns and intricate designs produced on special-width circular knit machines utilizing a variety of</w:t>
            </w:r>
          </w:p>
        </w:tc>
      </w:tr>
      <w:tr>
        <w:trPr>
          <w:trHeight w:val="216"/>
        </w:trPr>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synthetic and natural yarns. Knitted mattress fabrics have inherent stretching properties and spongy softness, which</w:t>
            </w:r>
          </w:p>
        </w:tc>
      </w:tr>
      <w:tr>
        <w:trPr>
          <w:trHeight w:val="234"/>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conforms well with layered foam packages.</w:t>
            </w:r>
          </w:p>
        </w:tc>
      </w:tr>
      <w:tr>
        <w:trPr>
          <w:trHeight w:val="414"/>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Sewn mattress covers</w:t>
            </w:r>
          </w:p>
        </w:tc>
        <w:tc>
          <w:tcPr>
            <w:tcW w:w="904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Covers for bedding (primarily specialty beds), sewn from mattress fabrics produced by our facilities or sourced from</w:t>
            </w:r>
          </w:p>
        </w:tc>
      </w:tr>
      <w:tr>
        <w:trPr>
          <w:trHeight w:val="234"/>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others.</w:t>
            </w:r>
          </w:p>
        </w:tc>
      </w:tr>
      <w:tr>
        <w:trPr>
          <w:trHeight w:val="351"/>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Upholstery Fabrics</w:t>
            </w:r>
          </w:p>
        </w:tc>
        <w:tc>
          <w:tcPr>
            <w:tcW w:w="9040" w:type="dxa"/>
            <w:vAlign w:val="bottom"/>
          </w:tcPr>
          <w:p>
            <w:pPr>
              <w:spacing w:after="0"/>
              <w:rPr>
                <w:sz w:val="24"/>
                <w:szCs w:val="24"/>
                <w:color w:val="auto"/>
              </w:rPr>
            </w:pPr>
          </w:p>
        </w:tc>
      </w:tr>
      <w:tr>
        <w:trPr>
          <w:trHeight w:val="461"/>
        </w:trPr>
        <w:tc>
          <w:tcPr>
            <w:tcW w:w="14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Woven jacquards</w:t>
            </w:r>
          </w:p>
        </w:tc>
        <w:tc>
          <w:tcPr>
            <w:tcW w:w="720" w:type="dxa"/>
            <w:vAlign w:val="bottom"/>
          </w:tcPr>
          <w:p>
            <w:pPr>
              <w:spacing w:after="0"/>
              <w:rPr>
                <w:sz w:val="24"/>
                <w:szCs w:val="24"/>
                <w:color w:val="auto"/>
              </w:rPr>
            </w:pPr>
          </w:p>
        </w:tc>
        <w:tc>
          <w:tcPr>
            <w:tcW w:w="904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Elaborate, complex designs such as florals and tapestries in traditional, transitional, and contemporary styles. Woven</w:t>
            </w:r>
          </w:p>
        </w:tc>
      </w:tr>
      <w:tr>
        <w:trPr>
          <w:trHeight w:val="234"/>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on intricate looms using a wide variety of synthetic and natural yarns.</w:t>
            </w:r>
          </w:p>
        </w:tc>
      </w:tr>
      <w:tr>
        <w:trPr>
          <w:trHeight w:val="414"/>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Woven dobbies</w:t>
            </w:r>
          </w:p>
        </w:tc>
        <w:tc>
          <w:tcPr>
            <w:tcW w:w="9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Fabrics that use straight lines to produce geometric designs such as plaids, stripes, and solids in traditional and</w:t>
            </w:r>
          </w:p>
        </w:tc>
      </w:tr>
      <w:tr>
        <w:trPr>
          <w:trHeight w:val="216"/>
        </w:trPr>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country styles. Woven on less complicated looms using a variety of weaving constructions and primarily synthetic</w:t>
            </w:r>
          </w:p>
        </w:tc>
      </w:tr>
      <w:tr>
        <w:trPr>
          <w:trHeight w:val="234"/>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yarns.</w:t>
            </w:r>
          </w:p>
        </w:tc>
      </w:tr>
      <w:tr>
        <w:trPr>
          <w:trHeight w:val="414"/>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Velvets</w:t>
            </w:r>
          </w:p>
        </w:tc>
        <w:tc>
          <w:tcPr>
            <w:tcW w:w="9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Soft fabrics with a plush feel. Woven or knitted in basic designs, using synthetic yarns that are yarn dyed or piece</w:t>
            </w:r>
          </w:p>
        </w:tc>
      </w:tr>
      <w:tr>
        <w:trPr>
          <w:trHeight w:val="234"/>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dyed.</w:t>
            </w:r>
          </w:p>
        </w:tc>
      </w:tr>
      <w:tr>
        <w:trPr>
          <w:trHeight w:val="414"/>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Suedes</w:t>
            </w:r>
          </w:p>
        </w:tc>
        <w:tc>
          <w:tcPr>
            <w:tcW w:w="9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Fabrics woven or knitted using microdenier polyester yarns, which are piece dyed and finished, usually by sanding.</w:t>
            </w:r>
          </w:p>
        </w:tc>
      </w:tr>
      <w:tr>
        <w:trPr>
          <w:trHeight w:val="216"/>
        </w:trPr>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fabrics are typically plain or small jacquard designs, with some being printed. These are sometimes referred to</w:t>
            </w:r>
          </w:p>
        </w:tc>
      </w:tr>
      <w:tr>
        <w:trPr>
          <w:trHeight w:val="234"/>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as microdenier suedes.</w:t>
            </w:r>
          </w:p>
        </w:tc>
      </w:tr>
      <w:tr>
        <w:trPr>
          <w:trHeight w:val="414"/>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Faux leathers</w:t>
            </w:r>
          </w:p>
        </w:tc>
        <w:tc>
          <w:tcPr>
            <w:tcW w:w="9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Sueded or knitted base cloths which are overprinted with polyurethane, and composite products consisting of a base</w:t>
            </w:r>
          </w:p>
        </w:tc>
      </w:tr>
      <w:tr>
        <w:trPr>
          <w:trHeight w:val="234"/>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fabric that is coated with a top layer of polyurethane, which simulates the look and feel of leather.</w:t>
            </w:r>
          </w:p>
        </w:tc>
      </w:tr>
      <w:tr>
        <w:trPr>
          <w:trHeight w:val="414"/>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Cut and sewn kits</w:t>
            </w:r>
          </w:p>
        </w:tc>
        <w:tc>
          <w:tcPr>
            <w:tcW w:w="9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Covers made from various types of upholstery fabrics and cut and sewn to specifications of furniture manufacturing</w:t>
            </w:r>
          </w:p>
        </w:tc>
      </w:tr>
      <w:tr>
        <w:trPr>
          <w:trHeight w:val="234"/>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customers for use on specific furniture frames.</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acquisition of Read Window Products at the end of fiscal 2018, the upholstery fabrics business also markets a variety of window treatment products and installation services for customers in the hospitality and commercial industries. These products include roller &amp; solar shades, drapery, roman shades and top treatments, hardware products, and soft goods such as duvet covers, bed skirts, bolsters and pillows.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Sourcing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Mattress Fabrics Segment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mattress fabrics segment operates four manufacturing plants, with two located in North Carolina (Stokesdale and High Point), one in St. Jerome, Quebec, Canada, and one in Ouanaminthe, Haiti. Over the past ten fiscal years, we made capital expenditures of approximately $69 million to consolidate our production facilities and to modernize both knit and weaving equipment, enhance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provide knit and woven finishing capabilities, and expand capacity. The result has been an increase in manufacturing efficiency and reductions in operating costs, as well as expanded product offerings and capacity.</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Knitted fabrics are produced at both our Stokesdale facility and our St. Jerome plant, while production of jacquard mattress fabrics was consolidated into the St. Jerome facility during the fourth quarter of fiscal 2019. The majority of our finishing and inspection processes for mattress fabrics are conducted at the Stokesdale plant, with the St. Jerome plant providing additional capacity and a second location for these processes, along with distribution capabilities. We produce sewn mattress covers at our manufacturing facility in High Point, North Carolina, at our facility in Haiti, and at the manufacturing facilities of our Culp China platform in China. Our High Point facility is a leased space with limited capital investment in equipment. In fiscal 2017, we entered into a 50/50 joint venture with a third party mattress cover provider to construct a second leased location for our mattress cover operations in Haiti, and this joint venture facility began production of mattress covers for our business during the second quarter of fiscal 2018. We completed a 40,000-square foot expansion of this Haiti facility during the second quarter of fiscal 2021 to increase capacity, and during the fourth quarter of fiscal 2021, we acquired the remaining fifty percent ownership interest in this Haiti mattress cover business from our previous joint venture partner, giving us full control of the operation. We expect this strategic acquisition will enhance our ability to effectively manage our global cut and sew platform by expanding our capacity and improving our flexibility to meet customer demand from this near-shore operation. Additionally, we utilize the company’s Culp China platform, operated by our upholstery fabrics division, to manufacture sewn mattress covers. These three manufacturing locations give us an on-shore, near-shore, and off-shore supply chain strategy that allows us greater agility in meeting demand for mattress covers from bedding producers.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mattress fabrics and sewn covers manufactured by Culp, we have important supply arrangements in place that allow us to source mattress fabric and sewn covers from strategic suppliers. We source some Culp-designed knitted fabrics, certain converted fabric products, and sewn mattress covers using our Culp China platform. We also source Culp-designed sewn mattress covers from a strategic supply relationship in Vietnam. Additionally, we source a portion of our woven jacquard fabric and knitted fabric, which is obtained from a supplier located in Turkey, based on designs and a production schedule created by Culp.</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Upholstery Fabrics Segment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upholstery fabrics segment currently operates two manufacturing facilities in China. During the third quarter of fiscal 2022, we also commenced operation of a new facility in Haiti that is dedicated to the production of cut and sewn upholstery fabric kits. Additionally, we fabricate a variety of window treatments, using mostly customer-supplied fabrics and materials, at our Read Window Products facility in Knoxville, Tennessee.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upholstery fabrics facilities in China are located within the same industrial area in Shanghai. At these facilities, we apply value-added finishing processes to fabrics sourced from a limited number of strategic suppliers in China, and we inspect sourced fabric there as well. In addition, the Shanghai operations include facilities where sourced fabric is cut and sewn to provide kits that are designed to be placed on specific furniture frames designated by our customers.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new upholstery fabrics operation in Haiti primarily supports demand for an existing upholstery fabrics customer. This facility uses sourced fabrics to produce cut and sewn kits designed to be placed on specific furniture frames designated by the customer.</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large portion of our upholstery fabric products, as well as certain elements of our production processes, are being sourced from outside suppliers. Our facilities in China provide a base from which to access a variety of products, including certain fabrics (such as micro denier suedes and polyurethane fabrics) that are not produced anywhere within the U.S. We have found opportunities to develop significant relationships with key overseas suppliers in China that allow us to source products on a cost-effective basis, while limiting our investment of capital in manufacturing assets. We source unfinished and finished fabrics, as well as a portion of our cut and sewn kits, from a limited number of strategic suppliers in China who are willing to commit significant capacity to meet our needs while working with our product development team located in China to meet the demands of our customers. Beginning in late fiscal 2019, we also developed strategic supplier relationships in Vietnam for additional sourcing of our cut and sewn kits, which has allowed us to begin adjusting our supply chains to meet customer demands in conjunction with ongoing trade disputes between the U.S. and China. The majority of upholstery fabrics and materials used by our Read Window Products business to fabricate window treatments are customer-supplied. These materials are generally sourced by customers, and we also source a portion of other window treatment products such as hardware and roller shades, from outside suppliers in the U.S., Turkey, and China.</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Design and Innovation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Consumer tastes and preferences related to bedding, upholstered furniture, and window treatment products change over time. The use of new fabrics, creative designs, and special production finishes and technologies remains an important consideration for manufacturers and marketers to distinguish their products at retail and to capitalize on changes in preferred colors, patterns, textures, and performance properties. Culp’s success is largely dependent on our ability to market fabrics and products with appealing designs and patterns, as well as performance properties such as cleanability, stain-resistance, cooling, and sustainability. The process of developing new designs and innovative finishes involves maintaining an awareness of broad fashion and color trends, as well as wellness and other consumer trends, both in the United States and internationally.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enhance our design and innovation creativity and advance the synergies between our mattress fabrics and upholstery fabrics segments, we launched a new innovation campus in downtown High Point, North Carolina, during fiscal 2022. This space combines our design, innovation, and sales teams for both businesses into a shared location to support collaboration across divisions and pull our top creative talent together to develop new products and technologies based on the latest consumer trends.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Mattress Fabrics Segment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Design innovation is a very important element of producing mattress fabrics. We invest significant resources to stay ahead of current design trends, including maintaining a trained and active design and innovation staff, investing in research and development activities such as participation in international design shows, and implementing systems for creating, cataloguing, and simulating new designs. Price point delineation for our fabrics and our customers’ finished mattress products is accomplished through fabric quality as well as variation in design. Consumers are drawn to the mattress that is the most visually appealing when walking into a retail showroom or viewing mattress products online, so this design variation, together with price point delineation, helps our customers merchandise different looks at various price points. Fiber differentiation also plays an important part in design. For example, rayon, organic cotton, and other special fibers, including recycled fibers promoting sustainability and fibers with cooling properties, are incorporated into the design process to allow the retailer to offer consumers additional benefits related to their sleeping experience. Similarly, many fabrics contain special production finishes that enhance fabric performance.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Mattress fabric designs are not routinely introduced on a scheduled season. Designs are typically introduced upon the request of the customer as they plan introductions of new products. Additionally, we work closely with our customers on new design offerings around the major furniture markets such as Las Vegas, Nevada, and High Point, North Carolina.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Upholstery Fabrics Segment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developed an upholstery fabrics design and product development team (with staff located in the U.S. and in China) with a primary focus on value in designing body cloths, while promoting style leadership with pillow fabrics and color. Our design staff travels regularly to international trade and design shows to maintain familiarity with current design and fashion trends. The team searches continually for new ideas and for the best sources of raw materials, yarns, and fabrics, utilizing a supply network located mostly in China. Using these design elements, they develop product offerings using ideas and materials that take both fashion trends and cost considerations into account to offer products designed to meet the needs of furniture manufacturers and ultimately the desires of consumers.</w:t>
      </w:r>
    </w:p>
    <w:p>
      <w:pPr>
        <w:spacing w:after="0" w:line="14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Upholstery fabric designs are introduced at major fabric trade conferences that occur twice a year in the United States (June and December). In recent years we have become more aggressive in registering copyrights for popular fabric patterns and taking steps to discourage the illegal copying of our proprietary designs.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Mattress Fabrics Segment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of our mattress fabrics shipments originate from our facilities in Stokesdale, North Carolina, and we have additional distribution capabilities in Canada, China, and Haiti. Through arrangements with major customers and in accordance with industry practice, we maintain a significant inventory of mattress fabrics at our distribution facility in Stokesdale (“make to stock”), so that products may be shipped to customers with short lead times and on a “just in time” basis.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Upholstery Fabrics Segment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majority of our upholstery fabrics are marketed on a “make to order” basis and are shipped directly from our distribution facilities in Burlington, North Carolina, and Shanghai, China. We also have distribution capabilities in Vietnam. In addition to “make to order” distribution, an inventory of select fabric patterns is held at our distribution facilities in Burlington and Shanghai from which our customers can obtain quick delivery of sourced fabrics through a program known as “Culp Express.” We also have distribution capabilities for our “Culp Express” program to local customers in Canada through our mattress fabrics distribution facility in Quebec, Canada. Window treatment products sold through our Read Window Products business are done on a “job order” basis, with manufactured products shipped directly from our manufacturing facility in Knoxville, Tennessee to the job installation site.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Availability of Raw Materials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Mattress Fabrics Segment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Raw materials account for approximately 60%-70% of mattress fabric production costs. The mattress fabrics segment purchases primarily synthetic yarns (polyester, polypropylene, and rayon), certain greige (unfinished) goods, glue adhesives, laminates, dyes, and other chemicals. Most of these materials are available from several suppliers, and prices fluctuate based on supply and demand, the general rate of inflation, and particularly on the price of petrochemical products.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8"/>
          <w:szCs w:val="18"/>
          <w:color w:val="auto"/>
        </w:rPr>
        <w:t>The mattress fabrics segment has generally not had significant difficulty in obtaining raw materials. During fiscal 2022, some of our outside suppliers faced extended delays and increased costs for raw materials, as well as COVID-19-related disruption that affected production. Our use of outside suppliers to source materials to produce mattress fabric and sewn covers makes the mattress fabrics segment vulnerable to price increases, delays, or production interruptions caused by problems within businesses that we do not control.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Upholstery Fabrics Segment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upholstery fabrics segment generally does not purchase raw materials directly, but raw materials, particularly synthetic yarns (polyester, acrylic, rayon, and polypropylene) and dyes, are important to our suppliers of finished and unfinished fabrics. Raw materials account for approximately 60%-70% of upholstery fabric manufacturing costs for products the company manufactures.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Increased reliance by both our U.S. and China upholstery operations on outside suppliers for basic production needs such as base fabrics, yarns, and finishing services has caused the upholstery fabrics segment to become more vulnerable to price increases, delays, or production interruptions caused by problems within businesses that we do not control.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Both Segments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our basic raw materials are petrochemical products or are produced from such products. For this reason, our raw material costs can be sensitive to changes in prices for petrochemicals and the underlying price of oil. During fiscal 2021, our raw material costs were mostly flat or slightly down during the first three quarters, as compared to the prior year, but they began to escalate during the fourth quarter primarily due to rising oil prices, a higher demand environment, and labor shortages. These pressures continued during fiscal 2022, with further increases in raw material costs, particularly during the second half of the year, due to the continued rise in oil prices and a higher demand environment.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Overall, demand for our products generally depends upon consumer demand for furniture and bedding products, which reflects sensitivity to overall economic conditions, including consumer confidence, unemployment rates, and housing market conditions. During the fourth quarter of fiscal 2020 and continuing into the first quarter of fiscal 2021, the bedding and furniture industries, including manufacturers and retail stores, were adversely affected by closures/restricted operations, supply chain disruption, and economic uncertainty due to the COVID-19 global pandemic. For the remainder of fiscal 2021, disruption relating to the COVID-19 pandemic positively affected sales trends, with the increased consumer focus on the home and travel restrictions shifting discretionary spending away from travel and leisure activities towards home furnishings and enhancing overall comfort within the home environment. However, this sales trend began to reverse during fiscal 2022, particularly during the second half of the year, as COVID-related travel and mask restrictions were lifted and consumers began to resume travel and leisure activities. Inflationary pressures also affected consumer spending during the second half of fiscal 2022. These impacts are not reflective of any seasonal trends in the bedding or furniture industries and are not an indicator that seasonal trends are changing for our business segments.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Mattress Fabrics Segment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mattress fabrics business and the bedding industry in general are slightly seasonal, with sales being the highest in early spring and late summer, with another peak in mid-winter. However, these seasonality trends relate more to in-store retail sales, whereas the growth in online sales, which began prior to the COVID-19 pandemic and increased during the pandemic, appear to be somewhat less seasonal.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Upholstery Fabrics Segment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upholstery fabrics business today is less seasonal than it once was. In the past, seasonality resulted from one-week closings of our manufacturing facilities and the facilities of most of our customers in the U.S. during our first and third fiscal quarters for the holiday weeks of July 4th and Christmas. This effect has become much less pronounced as the majority of our fabrics are produced or sold in locations outside of the U.S. The timing of the Chinese National Holiday in October and, to a larger extent, the Chinese New Year (which occurs in January or February each year), now have a more significant impact on upholstery sales than the U.S. holiday periods, often causing sales to be higher in advance of these Chinese holiday periods and sometimes lower during or immediately following the same periods.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Competition for our products is high and is based primarily on price, design, quality, product performance, timing of delivery, and service.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Mattress Fabrics Segment</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mattress fabrics market is concentrated in a few relatively large suppliers, as well as some niche producers focusing mainly on knitted products. We believe our principal mattress fabric and mattress cover competitors are BekaertDeslee Textiles (fabric and mattress cover producer), Global Textile Alliance (fabric and mattress cover producer), and several smaller companies producing knitted fabrics, sewn covers, and other fabric, including companies in China supplying fabric and cover products to sub-contract manufacturers in the U.S. In addition, our bedding customers continue to face increasing competition from imports of finished beds, which indirectly compete with our mattress fabrics by replacing potential sales of our products to those customers.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Upholstery Fabrics Segment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upholstery fabrics market, we compete against a large number of companies, ranging from a few large manufacturers comparable in size to the company to small producers and converters (companies who buy and re-sell fabrics, but have no manufacturing). We believe our principal upholstery fabric competitors are Dorell Fabrics Co., Morgan Fabrics, Richloom Fabrics, Specialty Textile, Inc. (or STI), and ZhongWang Fabrics, plus a large number of smaller competitors (both manufacturers and converters).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trend in the upholstery fabrics industry to greater overseas competition and the entry of more converters has caused the upholstery fabrics industry to become substantially more fragmented in recent years, with lower barriers to entry. This has resulted in a larger number of competitors selling upholstery fabrics, with an increase in competition based on price.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Other Regulations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various federal and state laws and regulations, including the Occupational Safety and Health Act (“OSHA”) and federal and state environmental laws, as well as similar laws governing our manufacturing facilities in China, Canada, and Haiti. We periodically review our compliance with these laws and regulations in an attempt to minimize the risk of violations.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involve a variety of materials and processes that are subject to environmental regulation. Under current law, environmental liability can arise from previously owned properties, leased properties, and properties owned by third parties, as well as from properties currently owned and leased by the company. Environmental liabilities can also be asserted by adjacent landowners or other third parties in toxic tort litigation.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under the Comprehensive Environmental Response, Compensation, and Liability Act of 1980, as amended (“CERCLA”), and analogous state statutes, liability can be imposed for the disposal of waste at sites targeted for cleanup by federal and state regulatory authorities. Liability under CERCLA is strict as well as joint and several.</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U.S. Congress is considering legislation to address climate change that is intended to reduce overall greenhouse gas emissions, including carbon dioxide. In addition, the U.S. Environmental Protection Agency has made a determination that greenhouse gas emissions may be a threat to human health and the environment. International agreements may also result in new regulations on greenhouse gas emissions. It is uncertain if, when, and in what form, a mandatory carbon dioxide emissions reduction program may be enacted either through legislation or regulation. However, if enacted, this type of program could materially increase our operating costs, including costs of raw materials, transportation, and electricity. It is difficult to predict the extent to which any new rules or regulations would affect our business, but we would expect the effect on our operations to be similar to that for other manufacturers, particularly those in our industry.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periodically involved in environmental claims or litigation and requests for information from environmental regulators. Each of these matters is carefully evaluated, and the company provides for environmental matters based on information presently available. Based on this information, we do not currently believe that environmental matters will have a material adverse effect on either the company’s financial condition or results of operations. However, there can be no assurance that the costs associated with environmental matters will not increase in the future.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Employees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end of fiscal 2022, we employed 1,582 people, an increase of 152 employees as compared to the end of the prior fiscal year. The mattress fabrics segments employed 945 people at fiscal year-end, a decrease of 48 employees, while the upholstery segment employed 603 people, an increase of 202 employees from the prior year. The increase in the number of employees in the upholstery fabrics segment in fiscal 2022, as compared to the prior year, was associated with opening of our new upholstery cut and sew facility in Haiti. The remaining employees comprise the company’s shared services functions. Approximately 537 employees work in the United States, and 1,045 are employed in international locations. We employ the vast majority of our employees on a full-time basis.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The hourly employees at our manufacturing facility in Canada (approximately 10% of our workforce) are represented by a local, unaffiliated union. The collective bargaining agreement for these employees expires on February 1, 2023. We are not aware of any efforts to organize any more of our employees, and we believe our employee relations are very good with both our unionized and non-unionized workforce. Our companywide annual employee turnover rate was approximately 25% during the past fiscal year.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Mission Statement and Values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human resources department has adopted a mission statement that embodies our values and goals in the company’s relationships with our employees.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mission statement is as follows:</w:t>
      </w:r>
    </w:p>
    <w:p>
      <w:pPr>
        <w:spacing w:after="0" w:line="166"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Culp HR Services is committed to providing outstanding employee support in a mutually respectful, safe, diverse, and collaborative environment through innovative programming that engages our associates and promotes the success of Culp, Inc.</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strive to maintain a welcoming and inclusive workplace. Discrimination on the basis of race, ethnicity, sex, age, religion, national origin, sexual orientation, gender, gender identity, genetic information, disability, veteran status, or other status protected by law, as well as sexual harassment or harassment of any kind, are not tolerated in our workplaces. Employees have multiple avenues available to report inappropriate behavior, including a dedicated “HR Connection” phone line. All reports of inappropriate behavior are promptly investigated and appropriate action is taken to prevent their recurrence. We also prohibit retaliation against individuals who, in good faith, report any violation of company policies, including unlawful discrimination or harassment.</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Along with our mission statement and values, we act in accordance with our Code of Business Conduct and Ethics (“Code of Conduct”), which sets forth expectations and guidance for employees to make appropriate decisions. Our Code of Conduct covers topics such as conflicts of interest, fair dealing, protecting confidential information, appropriate use of company assets, compliance with laws (including, without limitation, anti-corruption and antitrust laws), workplace safety and environmental stewardship, and reporting Code of Conduct violations. The Code of Conduct reflects our commitment to operating in a fair, honest, ethical, and responsible manner, and also provides direction for reporting complaints in the event of alleged violations of our policies. Our executive officers and supervisors maintain “open door” policies and any form of retaliation is strictly prohibited.</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conduct regular training programs with our management and employee leaders to inform and refresh their knowledge about company policies and procedures pertaining to employment and human capital.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Recruitment, Development, Engagement, and Wellness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strive to attract, recruit, and retain employees through competitive compensation and benefit programs that are aligned with those of comparable industries and in the geographic areas where our facilities are located, and in compliance with local regulatory requirements. We also provide development opportunities that support career growth and maintain a wide variety of programs to engage with our employees and promote overall wellness. We believe these efforts support all of our personnel in the workplace and elsewhere in their lives, which in turn aids in our employee satisfaction and retention.</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example, the “CULPgrow” program was launched in 2021 to provide employees with skills assessment and education assistance, such as GED, ESOL (English to Speakers of Other Languages), and computer literacy programs. The purpose of CULPgrow is to provide a workplace where every employee has the key resources they need to grow, develop, and reach their career goals. The program focuses on identifying the skills and goals of each employee, as well as ways the company can invest in their future and provide tools and resources that support their career advancement. It also provides resources such as financial educational assistance, as well as mentorship opportunities where employees can be matched with a company mentor and guided through pathways for success within the company.</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in fiscal 2022, the company held its first company-wide global giving initiative, with a program called “Share the Love.” The program involved employees in each of our geographic locations choosing a charitable endeavor to support, based on their knowledge of local cultural considerations and areas of need. For example, our U.S. and Canadian locations held food drives for donations to local food banks, while Culp China’s facilities contributed to help cancer patients. Employees in Haiti made blankets in-house using Culp fabric and then donated them to a local orphanage and the local fire department.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examples of employee engagement initiatives include: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6" w:name="page17"/>
    <w:bookmarkEnd w:id="16"/>
    <w:p>
      <w:pPr>
        <w:ind w:left="740" w:hanging="368"/>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wellness sessions on various health-related topics, including a week of programs devoted to mental health during fiscal 2022</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and video chats with senior management</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CulpVets program, which provides special recognition to military veterans</w:t>
      </w:r>
    </w:p>
    <w:p>
      <w:pPr>
        <w:spacing w:after="0" w:line="184"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awards and recognition programs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engagement efforts and programs are continually refined and updated to meet the evolving needs of our workforce.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Safety and Health</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safety and health of our employees is a fundamental priority at Culp. We maintain comprehensive safety monitoring and training programs, with regular reports to senior management on these topics. Our Behavior Based Safety initiative combines awareness programs, observation, and training to enhance continued compliance with safe and healthy practices in our facilities.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Early in the COVID-19 pandemic, comprehensive protocols were developed and followed to allow our manufacturing plants to reopen safely after mandatory shutdowns. When COVID-19 vaccines became available, we hosted vaccination clinics at several of our manufacturing facilities, providing access to vaccines not only for our employees, but also for their families and members of the local communities. Additional safety and health programs are planned for the future.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and Sales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Mattress Fabrics Segment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Major customers for our mattress fabrics include leading bedding manufacturers such as Serta-Simmons Bedding (SSB), Tempur + Sealy International (TSI), Casper, Corsicana, Nectar, and Ashley Furniture. Our largest customer in the mattress fabrics segment is Serta Simmons Holdings, LLC, accounting for approximately 11% of the company’s overall sales in fiscal 2022. These sales include sales to customers who are also subcontractors for Serta Simmons Holdings, LLC. Our mattress fabrics customers also include many small and medium-size bedding manufacturers.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Upholstery Fabrics Segment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major customers for upholstery fabrics are leading manufacturers of upholstered furniture, including Ashley, Flexsteel, Kuka, La-Z-Boy (La-Z-Boy Residential and England), Southern Furniture Industries (Fusion and Southern Motion), Sudair, and Violino. Major customers for the company’s fabrics for commercial furniture include HNI Corporation and Travel + Lesiure Co. (f/k/a Wyndham Destinations). Our largest customer in the upholstery fabrics segment is La-Z-Boy Incorporated, which accounted for approximately 13% of the company’s consolidated sales in fiscal 2022.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net sales by geographic area by amount and percentage of total net sales for the three most recent fiscal years.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 by Geographic Area</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05"/>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72"/>
        </w:trPr>
        <w:tc>
          <w:tcPr>
            <w:tcW w:w="428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92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Fiscal 2021</w:t>
            </w:r>
          </w:p>
        </w:tc>
        <w:tc>
          <w:tcPr>
            <w:tcW w:w="92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Fiscal 2020</w:t>
            </w:r>
          </w:p>
        </w:tc>
        <w:tc>
          <w:tcPr>
            <w:tcW w:w="800" w:type="dxa"/>
            <w:vAlign w:val="bottom"/>
            <w:tcBorders>
              <w:bottom w:val="single" w:sz="8" w:color="CFF0FC"/>
            </w:tcBorders>
          </w:tcPr>
          <w:p>
            <w:pPr>
              <w:spacing w:after="0"/>
              <w:rPr>
                <w:sz w:val="24"/>
                <w:szCs w:val="24"/>
                <w:color w:val="auto"/>
              </w:rPr>
            </w:pPr>
          </w:p>
        </w:tc>
      </w:tr>
      <w:tr>
        <w:trPr>
          <w:trHeight w:val="22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204,454</w:t>
            </w:r>
          </w:p>
        </w:tc>
        <w:tc>
          <w:tcPr>
            <w:tcW w:w="920" w:type="dxa"/>
            <w:vAlign w:val="bottom"/>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w w:val="98"/>
              </w:rPr>
              <w:t>69.3%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217,473</w:t>
            </w:r>
          </w:p>
        </w:tc>
        <w:tc>
          <w:tcPr>
            <w:tcW w:w="920" w:type="dxa"/>
            <w:vAlign w:val="bottom"/>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w w:val="98"/>
              </w:rPr>
              <w:t>72.6%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189,073</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73.8%</w:t>
            </w:r>
          </w:p>
        </w:tc>
      </w:tr>
      <w:tr>
        <w:trPr>
          <w:trHeight w:val="22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North America (Excluding USA) </w:t>
            </w:r>
            <w:r>
              <w:rPr>
                <w:rFonts w:ascii="Times New Roman" w:cs="Times New Roman" w:eastAsia="Times New Roman" w:hAnsi="Times New Roman"/>
                <w:sz w:val="15"/>
                <w:szCs w:val="15"/>
                <w:color w:val="auto"/>
              </w:rPr>
              <w:t>(1)</w:t>
            </w:r>
          </w:p>
        </w:tc>
        <w:tc>
          <w:tcPr>
            <w:tcW w:w="18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39,256</w:t>
            </w: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13.3%</w:t>
            </w:r>
          </w:p>
        </w:tc>
        <w:tc>
          <w:tcPr>
            <w:tcW w:w="1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32,925</w:t>
            </w: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11.0%</w:t>
            </w:r>
          </w:p>
        </w:tc>
        <w:tc>
          <w:tcPr>
            <w:tcW w:w="1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27,637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Far East and Asia</w:t>
            </w:r>
            <w:r>
              <w:rPr>
                <w:rFonts w:ascii="Times New Roman" w:cs="Times New Roman" w:eastAsia="Times New Roman" w:hAnsi="Times New Roman"/>
                <w:sz w:val="15"/>
                <w:szCs w:val="15"/>
                <w:color w:val="auto"/>
              </w:rPr>
              <w:t>(2)</w:t>
            </w: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43,015</w:t>
            </w:r>
          </w:p>
        </w:tc>
        <w:tc>
          <w:tcPr>
            <w:tcW w:w="920" w:type="dxa"/>
            <w:vAlign w:val="bottom"/>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w w:val="98"/>
              </w:rPr>
              <w:t>14.6%</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43,764</w:t>
            </w:r>
          </w:p>
        </w:tc>
        <w:tc>
          <w:tcPr>
            <w:tcW w:w="920" w:type="dxa"/>
            <w:vAlign w:val="bottom"/>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w w:val="98"/>
              </w:rPr>
              <w:t>14.6%</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36,470</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4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All other areas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8,114</w:t>
            </w:r>
          </w:p>
        </w:tc>
        <w:tc>
          <w:tcPr>
            <w:tcW w:w="920" w:type="dxa"/>
            <w:vAlign w:val="bottom"/>
            <w:tcBorders>
              <w:bottom w:val="single" w:sz="8" w:color="CFF0FC"/>
            </w:tcBorders>
          </w:tcPr>
          <w:p>
            <w:pPr>
              <w:jc w:val="center"/>
              <w:ind w:right="5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5,558</w:t>
            </w:r>
          </w:p>
        </w:tc>
        <w:tc>
          <w:tcPr>
            <w:tcW w:w="920" w:type="dxa"/>
            <w:vAlign w:val="bottom"/>
            <w:tcBorders>
              <w:bottom w:val="single" w:sz="8" w:color="CFF0FC"/>
            </w:tcBorders>
          </w:tcPr>
          <w:p>
            <w:pPr>
              <w:jc w:val="center"/>
              <w:ind w:right="1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2,986</w:t>
            </w:r>
          </w:p>
        </w:tc>
        <w:tc>
          <w:tcPr>
            <w:tcW w:w="800" w:type="dxa"/>
            <w:vAlign w:val="bottom"/>
            <w:tcBorders>
              <w:bottom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w w:val="95"/>
              </w:rPr>
              <w:t>1.2%</w:t>
            </w:r>
          </w:p>
        </w:tc>
      </w:tr>
      <w:tr>
        <w:trPr>
          <w:trHeight w:val="22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 (International)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90,385</w:t>
            </w:r>
          </w:p>
        </w:tc>
        <w:tc>
          <w:tcPr>
            <w:tcW w:w="920" w:type="dxa"/>
            <w:vAlign w:val="bottom"/>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w w:val="98"/>
              </w:rPr>
              <w:t>30.7%</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82,247</w:t>
            </w:r>
          </w:p>
        </w:tc>
        <w:tc>
          <w:tcPr>
            <w:tcW w:w="920" w:type="dxa"/>
            <w:vAlign w:val="bottom"/>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w w:val="98"/>
              </w:rPr>
              <w:t>27.4%</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67,093</w:t>
            </w: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26.2%</w:t>
            </w: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294,839</w:t>
            </w: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100.0%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299,720</w:t>
            </w: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256,166</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25" w:lineRule="exact"/>
        <w:rPr>
          <w:sz w:val="20"/>
          <w:szCs w:val="20"/>
          <w:color w:val="auto"/>
        </w:rPr>
      </w:pPr>
    </w:p>
    <w:p>
      <w:pPr>
        <w:ind w:left="500" w:hanging="492"/>
        <w:spacing w:after="0"/>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amount, $33.5 million, $27.2 million, and $21.7 million are attributable to shipments to Mexico in fiscal 2022, 2021, and 2020, respectively.</w:t>
      </w:r>
    </w:p>
    <w:p>
      <w:pPr>
        <w:spacing w:after="0" w:line="184"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amount $26.9 million, $28.1 million, and $21.4 million are attributable to shipments to China in fiscal 2022, 2021, and 2020, respectively.</w:t>
      </w:r>
    </w:p>
    <w:p>
      <w:pPr>
        <w:spacing w:after="0" w:line="22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Sales are attributed to individual countries based upon the location that the company ships its products to for delivery to customers.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segment information, including the geographic location of long-lived assets, see Note 18 in the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Mattress Fabrics Segment</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backlog for the mattress fabric segment is not a reliable predictor of future shipments because the majority of sales for the mattress fabrics segment are on a just-in-time basis.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Upholstery Fabrics Segment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it is difficult to predict the amount of backlog that is “firm,” we have reported the portion of the upholstery fabric backlog from customers with confirmed shipping dates within five weeks of the end of the fiscal year. On May 1, 2022, the portion of the upholstery fabric backlog with confirmed shipping dates prior to June 6, 2022, was $15.7 million, compared with $17.2 million as of the end of fiscal 2021 (for confirmed shipping dates prior to June 7, 2021).</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hold, or have registration applications pending for, numerous trademarks and copyrights for various product and trade names, logos, and fabric designs in the United States and certain foreign countries. We view such intellectual property, along with any unregistered copyrights, trademarks, service marks, trade names, domain names, trade dress, trade secrets, and proprietary technologies, as an important part of our business, and we seek to diligently protect, monitor, and defend, through appropriate action, against their unauthorized use.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subject to a variety of risks and uncertainties. In addition to the matters described above under “Cautionary Statement Concerning Forward-Looking Information,” set forth below are some of the risks and uncertainties that could cause a material adverse change in our results of operations, financial condition, or future prospects. The risks described below should be carefully considered, together with other information provided in this report, including Management’s Discussion and Analysis of Financial Condition and Results of Operations and our financial statements, including the related notes. The risks discussed below are not the only risks we face. Additional risks and uncertainties not presently known to us or not presently deemed material by us also may materially adversely affect our business, financial condition, or results of operations in future periods.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Macroeconomic, Market, and Strategic Risks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global COVID-19 pandemic has significantly and adversely affected, and may continue to adversely affect, our business, financial position, results of operations, and cash flows.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global spread of COVID-19 has negatively affected the global and U.S. economy, severely disrupted global supply chains, and created significant volatility and disruption in financial markets, all of which have negatively affected, and continue to negatively affect, the bedding and home furnishings industries, our customers and suppliers, and our business. Many countries, including the countries in which we operate, as well as state and local governmental authorities, have taken various actions to mitigate the spread of COVID-19, including mandated closures of businesses, stay-at-home orders, quarantine and isolation requirements, travel restrictions, border closings, restrictions on public gatherings, social distancing measures, occupancy limits, and other safety measures. While a number of these restrictions have been lifted as conditions have improved, they have adversely affected, and could continue to adversely affect, our business, results of operations, financial position, and cash flows.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Due to government-mandated closure requirements near the end of March 2020, we shut down our facilities in Canada and Haiti for several weeks. At the same time, we experienced a rapid decline in demand as customers and retail stores began closing or substantially limiting their operations. We took a number of measures in response to the increasingly challenging market conditions, including, among other things, repurposing a portion of our available operations to produce face masks, bedding covers, and fabrics for healthcare operations and consumer health; reducing operating costs by implementing temporary salary reductions, making workforce adjustments to align with demand, suspending merit pay increases, and eliminating the cash compensation paid to our board of directors; aggressively reducing expenses, capital expenditures, and discretionary spending, and working with our vendors and landlords to negotiate temporary terms. We also took steps to safeguard the health of our employees, customers, and the communities we serve, including implementing detailed cleaning and disinfecting processes at our facilities, instituting temperature checks, adhering to social distancing and mask protocols, suspending non-essential travel, restricting visitors, providing remote work opportunities where possible, and offering on-site vaccination clinics to our employees, their families, and the general public. We have continued to monitor and update these procedures, in accordance with CDC recommendations and other local laws and regulatory authorities, throughout the pandemic.</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the COVID-19 pandemic continued to spread throughout the world during fiscal 2021, we did not experience additional closures of any of our operations, or any material closures of the operations of our suppliers, during the remainder of the fiscal year, following the initial shutdowns from the fourth quarter of fiscal 2020. However, during fiscal 2022, our upholstery fabrics business was materially affected by COVID-19 related shutdowns of our sourcing partners and customers in Vietnam throughout most of the second quarter, and our operations in China were shut down during the last month of the fourth quarter of fiscal 2022, which prevented us from shipping goods in both our residential upholstery fabrics business and our sewn mattress cover business. In addition to these shutdowns, COVID-19 disruption affected our business during fiscal 2022, as well as the business of our customers and suppliers, due to employee absenteeism and labor shortages, pandemic-related effects on the availability and pricing of freight and raw material costs, and pandemic-related constraints on our customers’ capacity due to supply chain disruption for non-fabric components.</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ongoing COVID-19 pandemic, including additional surges in the number of cases, and any additional preventative or protective actions that governmental authorities or we may take in response to the pandemic, may continue to have an adverse effect on our business or the business of our customers, suppliers, or distribution channels, including additional business shutdowns, reduced operations, restrictions on shipping or installing products, reduced consumer demand, reduced availability and/or higher pricing of materials, or the ability of our customers to make payments. In addition, responding to the ongoing pandemic could divert management’s attention from our key strategic priorities, increase costs as we prioritize the health and safety of our employees and customers, cause us to reduce, delay, alter, or abandon strategic initiatives that may otherwise increase our long-term value, and otherwise continue to disrupt our business operations. Also, while we believe the employee safety measures we have implemented or others we may take in the future are temporary, they may continue until after the pandemic is contained and could amplify existing risks or introduce new risks that could adversely affect our business, including, but not limited to, risks related to internal controls and cybersecurity, and risks relating to employee willingness to work. Furthermore, these safety measures may not be successful in preventing the spread of the virus among our employees, and we could face litigation or other claims related to unsafe working conditions, inadequate protection of our employees, or other similar or related claims. Any of these claims, even if without merit, could result in costly litigation or further divert management's attention and resources.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both"/>
        <w:spacing w:after="0" w:line="254" w:lineRule="auto"/>
        <w:rPr>
          <w:sz w:val="20"/>
          <w:szCs w:val="20"/>
          <w:color w:val="auto"/>
        </w:rPr>
      </w:pPr>
      <w:r>
        <w:rPr>
          <w:rFonts w:ascii="Times New Roman" w:cs="Times New Roman" w:eastAsia="Times New Roman" w:hAnsi="Times New Roman"/>
          <w:sz w:val="18"/>
          <w:szCs w:val="18"/>
          <w:color w:val="auto"/>
        </w:rPr>
        <w:t>The impact of the COVID-19 pandemic continues to evolve and depends on factors beyond our knowledge or control, including the duration and severity of the outbreak; actions taken to contain its spread and mitigate the public health and economic effects; vaccine availability and effectiveness within the markets in which we operate; the impact on global supply chain conditions; employee absenteeism and labor shortages; and the short- and long-term disruption to the global economy, consumer confidence, demand for home furnishings products, unemployment, and the financial health of our customers, suppliers, and distribution channels. At this time, we cannot reasonably estimate the ongoing impact of the COVID-19 pandemic on our business or on our future financial or operational results; however, the disruption could have a material adverse effect on our business, financial condition, results of operations, and cash flows over time. Furthermore, the impact of the COVID-19 pandemic may also exacerbate other risks discussed in this Item 1A – Risk Factors, any of which could have a material adverse effect on our operations.</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if in the future there is an outbreak of another highly infectious disease or other health concern or epidemic, we may be subject to similar risks as those currently posed by COVID-19.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Continued economic and industry uncertainty could negatively affect our sales and earnings.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Overall demand for our products depends upon consumer demand for furniture and bedding products, which is subject to cyclical variations in the general economy, including the current and evolving negative economic impact of rising fuel prices, inflation, the Russia-Ukraine war, and the COVID-19 pandemic. Because purchases of furniture and bedding products may be considered discretionary purchases for most individuals and businesses, demand for these products may be more easily influenced by economic trends than demand for other products. Economic downturns, increases in unemployment rates, and uncertainty about future health and economic prospects can affect consumer spending habits and demand for discretionary items, including home furnishings, which reduces the demand for our products and therefore can cause a decline in our sales and earnings. In addition, the level of housing starts, sales of existing homes, trends in disposable income, changes in interest rates (particularly home mortgage rates), and availability of consumer credit, can also affect our business. While we saw an adverse impact from some of these measures due to the COVID-19 pandemic at the end of fiscal 2020 and the beginning of fiscal 2021, we experienced increased demand in our mattress fabrics segment and in the residential side of our upholstery fabrics segment for most of fiscal 2021, driven by greater consumer focus on the home environment and more discretionary spending being allocated to home furnishings in the face of travel restrictions and other pandemic-related factors. However, this trend began to reverse during fiscal 2022, particularly during the second half of the year, as COVID-related travel and mask restrictions were lifted and consumers began to resume travel and leisure activities. Inflationary pressures also began to affect consumer spending during the second half of fiscal 2022. We are unable to predict how long these trends will last, or to what extent the COVID-19 pandemic may affect the economic and purchasing cycle for home furnishing products (and therefore affect demand for our products) over the short and long term.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of market share due to competition would result in declines in sales and could result in losses or decreases in earnings.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is highly competitive and fragmented, and we face significant competition from many competitors, both foreign and domestic. We compete with many other manufacturers of fabric, as well as converters who source fabrics from various producers and market them to manufacturers of furniture and bedding. In many cases, these fabrics are sourced from foreign suppliers who have a lower cost structure than the company. The highly competitive nature of our business in each of our segments means we are constantly subject to the risk of losing market share, which would likely result in a loss or decrease our future sales and earnings. As a result of increased competition, there have been deflationary pressures on the prices for many of our products, which make it more difficult to pass along increased operating costs such as raw materials, shipping, energy, foreign currency fluctuations, or labor in the form of price increases, which puts downward pressure on our profit margins. Also, the wide range of product offerings in our business can make it more difficult to differentiate our products through design, styling, finish, and other techniques.</w:t>
      </w:r>
    </w:p>
    <w:p>
      <w:pPr>
        <w:spacing w:after="0" w:line="1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operations are subject to risks of unsettled political conditions, civil unrest or instability, public health concerns or pandemics, natural or man-made disasters, acts of war, terrorism, and the effects of climate change, any one of which could adversely affect our business and results of operations.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domestic and foreign operations are subject to risks of unsettled political conditions, civil unrest or instability, public health concerns or pandemics, natural or man-made disasters, acts of war, and terrorism. In addition, the effects of climate change and actions taken to combat climate change could exacerbate these risks, including by increasing the likelihood and severity of extreme weather events. Any of these risks, including without limitation civil unrest in Haiti, could cause disruption at our manufacturing or distribution facilities, or at the facilities of our suppliers and distribution channels, which could make servicing our customers more difficult and could reduce our sales, earnings, or both in the future.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Risks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may be adversely affected by increased tariffs or other changes in U.S. policy related to imported products, as well as violations of existing trade policies.</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of our products are manufactured or sourced outside of the United States. The U.S. government has imposed certain tariffs on imports from various countries, including China, where a significant amount of our products is produced. In the future, the 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0" w:name="page21"/>
    <w:bookmarkEnd w:id="20"/>
    <w:p>
      <w:pPr>
        <w:jc w:val="both"/>
        <w:spacing w:after="0" w:line="266" w:lineRule="auto"/>
        <w:rPr>
          <w:sz w:val="20"/>
          <w:szCs w:val="20"/>
          <w:color w:val="auto"/>
        </w:rPr>
      </w:pPr>
      <w:r>
        <w:rPr>
          <w:rFonts w:ascii="Times New Roman" w:cs="Times New Roman" w:eastAsia="Times New Roman" w:hAnsi="Times New Roman"/>
          <w:sz w:val="18"/>
          <w:szCs w:val="18"/>
          <w:color w:val="auto"/>
        </w:rPr>
        <w:t>Government may consider imposing additional tariffs or extending the timeline for continuation of existing tariffs. Any tariffs that result in increased costs of imported products and materials could require us to increase prices to our domestic customers or, if we are unable to do so, result in lowering our gross margins on products sold. As a result, the tariffs could have a material adverse effect on our results of operations.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tariffs, the U.S. government considers other proposals for substantial changes to its trade and tax policies, which could include import restrictions, increased import tariffs, changes to or withdrawal from existing trade agreements, and border-adjustment taxes, among other possible measures. Material changes in these policies could increase our tax obligations, require us to source materials from different regions, or increase prices to customers, which could adversely affect sales. Any significant change in U.S. policy related to imported products could have a material adverse effect on our business and financial results.</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are also a number of trade regulations and duties currently in place to protect the U.S. textile industry against competition from low-priced foreign producers, such as those in China and Vietnam, but violations of these trade regulations and duties has had, and may in the future have, a material adverse effect on our operations. In May of 2019, the U.S. Department of Commerce imposed punitive anti-dumping measures against China mattress imports to address violations of trade regulations. Despite the imposition of these duties, if China producers move their production out of China, which we believe has already occurred, they may continue to engage in unfair competition in violation of trade regulations between the U.S. and other countries, or there may be a potential risk of illegal transshipments of mattress products into the United States, which involves circumventing the imposed duties by falsely claiming that mattresses are products of a particular country of origin to avoid paying higher duties. Also, if supply chains are moved out of China to countries without anti-dumping duties and producers continue to supply low-priced imports in violation of U.S. trade laws, and if illegal transshipments are not monitored and enforcement is not effective to limit them, these shipments could have a material adverse effect on the company’s business, financial condition, results of operations or cash flows. During fiscal 2020, the U.S. mattress industry was affected by continued disruption relating to low-priced mattress imports that moved from China to other countries, which affected demand for our products. As a result, the U.S. Department of Commerce imposed anti-dumping duties on mattress imports from seven of these countries during fiscal 2021. We believe the domestic mattress industry and, in turn, our business, began to realize some benefits from these duties during the second half of fiscal 2021 and continuing into fiscal 2022. However, despite the imposition of these duties, supply chains could move out of the affected countries to other countries without anti-dumping duties and continue supplying low-priced imports in violation of U.S. trade laws, or there may be a potential risk of illegal transshipments of mattress products from these countries to avoid paying the higher duties, which could negatively affect our business.</w:t>
      </w:r>
    </w:p>
    <w:p>
      <w:pPr>
        <w:spacing w:after="0" w:line="1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Greater reliance on offshore operations and foreign sources of products or raw materials increases the likelihood of disruptions to our supply chain or our ability to deliver products to our customers on a timely basis.</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significantly on operations in distant locations, especially China. In addition we have been purchasing a significant share of our products and raw materials from offshore sources, particularly Asia and Turkey. At the same time, our domestic manufacturing capacity for the upholstery fabrics segment continues to decline. These changes have caused us to rely on an extended supply chain and on a larger number of suppliers that we do not control, both of which are inherently subject to greater risks of delay or disruption. In addition, operations and sourcing in foreign areas are subject to the risk of changing local governmental rules, taxes, changes in import rules or customs, tariffs, shipping rates, potential political unrest and instability, pandemic-related closure rules, or other threats that could disrupt or increase the costs of operating in foreign areas or sourcing products overseas. Changes in the value of the U.S. dollar versus other currencies can affect our financial results because a significant portion of our operations are located outside the United States. Strengthening of the U.S. dollar against other currencies could make our products less competitive on the basis of price in markets outside the United States, and strengthening of currencies in Canada and China could have a negative impact on our sales of products produced in those places. Any of the risks associated with foreign operations and sources could cause unanticipated increases in operating costs or disruptions in business, which could have a negative impact on our ultimate financial results.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faces several risks associated with doing business in China</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source a variety of fabrics from a limited number of strategic suppliers in China, and we operate two upholstery manufacturing facilities and three warehouse facilities in Shanghai, China. The Chinese economy is characterized by extensive state ownership, control, and regulation. Therefore, our business is continually subject to the risk of changes in Chinese laws and regulations that could have an adverse effect on our suppliers and manufacturing operations. Any changes in policies governing tariffs, imports and exports, taxation, inflation, environmental regulations, foreign currency exchange rates, the labor market, property, and financial regulations could have an adverse effect on our business. Further, the Chinese legal system is continuing to develop and evolve, and the enforcement of rules and regulations is not always consistent or uniform. Moreover, any potential civil unrest, natural disasters, or other threats could disrupt or increase the costs of operating in China. The Chinese economy poses additional risks to our business, including fluctuating rates of inflation and currency exchange rates, a declining labor force participation rate, and rising employee wages. In addition, changes in the political climate or trade policy of the United States, such as increased duties, tariffs, or restrictions on Chinese imports, may adversely affect our business, and geo-political pressures associated with the COVID-19 pandemic may continue to introduce additional uncertainty, including with respect to tariffs and freight. Any of the risks associated with our Chinese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operations and sources could cause unanticipated increases in operating costs or disruptions in business, which could negatively affect our ultimate financial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have difficulty managing the outsourcing arrangements being used for products and services.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outside sources for various products and services, including yarn and other raw materials, greige (unfinished) fabrics, finished fabrics, and services such as weaving and finishing. Increased reliance on outsourcing lowers our capital investment and fixed costs, but it decreases the amount of control that we have over certain elements of our production capacity. Interruptions in our ability to obtain raw materials or other required products or services from our outside suppliers on a timely and cost-effective basis, especially if alternative suppliers cannot be immediately obtained, could disrupt our production and damage our financial results.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Write-offs or write-downs of assets would result in a decrease in our earnings and shareholders’ equity.</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has long-lived assets, primarily consisting of property, plant and equipment, goodwill, and other intangible assets. ASC Topic 360 establishes an impairment accounting model for long-lived assets such as property, plant, and equipment and requires the company to assess for impairment whenever events or changes in circumstances indicate that the carrying value of the asset may not be recovered. Goodwill and other intangible assets must be tested at least annually for impairment or whenever events or changes in circumstances indicate that the carrying value of the asset may not be recovered.</w:t>
      </w:r>
    </w:p>
    <w:p>
      <w:pPr>
        <w:spacing w:after="0" w:line="3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Identifying and assessing whether impairment indicators exist, or if events or changes in circumstances have occurred, including market conditions, operating results, competition, and general economic conditions, requires significant judgment. Any of such future actions could result in charges that could have an adverse effect on our financial condition and results of operations, and there is no assurance that future write-downs of fixed assets, goodwill, or other intangible assets will not occur if business conditions were to deteriorate.</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our impairment assessment conducted during the third quarter of fiscal 2020 and our annual impairment assessment conducted during the fourth quarter of fiscal 2020, we recorded asset impairment charges associated with our goodwill and tradenames totaling $33.9 million during the fiscal 2020 year. Of the total $33.9 million asset impairment charges, $27.2 million and $6.7 million pertained to goodwill and tradenames, respectively. Due to the asset impairment charge of $27.2 million associated with our goodwill, no goodwill was reported on our Consolidated Balance Sheet as of the end of fiscal 2020, 2021, or 2022. See notes 8 and 9 of the notes to the consolidated financial statements for further details of our assessments of impairment, conclusions reached, and the performance of our quantitative tests.</w:t>
      </w:r>
    </w:p>
    <w:p>
      <w:pPr>
        <w:spacing w:after="0" w:line="15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Changes in the price, availability, and quality of raw materials could increase our costs or cause production delays and sales interruptions, which would result in decreased earnings.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depend upon outside suppliers for most of our raw material needs, and we rely upon outside suppliers for component materials such as yarn and unfinished fabrics, as well as for certain services such as finishing and weaving. Fluctuations in the price, availability, and quality of these goods and services have had, and could continue to have, a negative effect on our production costs and ability to meet the demands of our customers, which can affect our ability to generate sales and earnings. In many cases, we are not able to pass through increased costs of raw materials or increased production costs to our customers through price increases. In particular, many of our basic raw materials are petrochemical products or are produced from such products. For this reason, our material costs are especially sensitive to changes in prices for petrochemicals and the underlying price of oil. Increases in prices for oil, petrochemical products or other raw materials and services provided by outside suppliers can significantly increase our costs and negatively affect our profit margins and earnings. During fiscal 2021, our raw material costs were mostly flat or slightly lower during the first three quarters of the year, but prices began to escalate during the fourth quarter primarily due to rising oil prices, a higher demand environment, and labor shortages. These pressures continued during fiscal 2022, with further increases in raw material costs, particularly during the second half of the year, due to the continued rise in oil prices and a higher demand environment. These pressures may continue to drive additional increases in raw material prices in the future.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Increases in energy costs increase our operating costs and could adversely affect earnings.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Higher prices for electricity, natural gas, and fuel increase our production and shipping costs. A significant shortage, increased prices, or interruptions in the availability of these energy sources would increase the costs of producing and delivering products to our customers and would be likely to adversely affect our earnings. In many cases, we are not able to pass along the full extent of increases in our production costs to customers through price increases. Energy costs have varied significantly during recent fiscal years and remain a volatile element of our costs. Increases in energy costs could have a negative effect on our earnings.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difficulties or failures of large customers could result in a decrease in our sales and earnings.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have several customers that account for a substantial portion of our sales. In the mattress fabrics segment, several large bedding manufacturers have large market shares and comprise a significant portion of our mattress fabric sales, with Serta Simmons Holdings, LLC accounting for approximately 11% of consolidated net sales in fiscal 2022. These include sales to customers who 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2" w:name="page23"/>
    <w:bookmarkEnd w:id="22"/>
    <w:p>
      <w:pPr>
        <w:jc w:val="both"/>
        <w:spacing w:after="0" w:line="254" w:lineRule="auto"/>
        <w:rPr>
          <w:sz w:val="20"/>
          <w:szCs w:val="20"/>
          <w:color w:val="auto"/>
        </w:rPr>
      </w:pPr>
      <w:r>
        <w:rPr>
          <w:rFonts w:ascii="Times New Roman" w:cs="Times New Roman" w:eastAsia="Times New Roman" w:hAnsi="Times New Roman"/>
          <w:sz w:val="18"/>
          <w:szCs w:val="18"/>
          <w:color w:val="auto"/>
        </w:rPr>
        <w:t>also subcontractors for Serta Simmons Holding, LLC. In the upholstery fabrics segment, La-Z-Boy Incorporated accounted for approximately 13% of consolidated net sales during fiscal 2022, and several other large furniture manufacturers comprised a significant portion of sales. A business failure or other significant financial difficulty by one or more of our major customers, or the loss of one or more of these customers, could cause a significant loss in sales, an adverse effect on our earnings, and difficulty in collection of our trade accounts receivable. For example, on June 25, 2022, a major customer and its affiliates associated with our mattress fabrics segment announced that they filed voluntary petitions for reorganization under Chapter 11 of the U.S. Bankruptcy Code. See Note 4 of the consolidated financial statements for further details regarding this filing and its potential impact on our trade accounts receivable. Based on the information available to us at this time, we expect that this customer and its affiliates will continue to conduct normal business operations pending the reorganization, but a business failure or loss of this customer and its affiliates could cause a decrease in our sales and an adverse effect on our earnings.</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as a result of the COVID-19 pandemic beginning in the fourth quarter of fiscal 2020, some customers experienced cash flow challenges and requested extended payment terms. During fiscal 2021, our customers returned to making payments based on normal credit terms, as opposed to the extended terms granted during the fourth quarter of fiscal 2020. However, if the negative economic impact of COVID-19 reemerges, or if another pandemic, recession or other major unexpected economic event occurs, we may not be able to collect amounts owed to us or such payment may only occur after significant delay. While we perform credit evaluations of our customers, those evaluations may not prevent uncollectible trade accounts receivable. Credit evaluations involve significant management diligence and judgment, especially in the current environment. If more customers than we anticipate experience liquidity issues, if payments are not received on a timely basis, or if a customer declares bankruptcy, we may have difficulty collecting amounts owed to us by these customers, which could adversely affect our sales, earnings, financial condition, and liquidity.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anticipate and respond to changes in consumer tastes and fashion trends, our sales and earnings may decline.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Demand for various types of upholstery fabrics and mattress coverings changes over time due to fashion trends and changing consumer tastes for furniture and bedding. Our success in marketing our fabrics depends upon our ability to anticipate and respond in a timely manner to fashion trends in home furnishings. If we fail to identify and respond to these changes, our sales of these products may decline. In addition, incorrect projections about the demand for certain products could cause the accumulation of excess raw material or finished goods inventory, which could lead to inventory mark-downs and decreases in earnings.</w:t>
      </w:r>
    </w:p>
    <w:p>
      <w:pPr>
        <w:spacing w:after="0" w:line="1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Increasing dependence on information technology systems comes with specific risks, including cybersecurity breaches and data leaks, which could have an adverse effect on our business.</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increasingly rely on technology systems and infrastructure. Additionally, we rely on third-party service providers in connection with the maintenance thereof and the execution of certain business processes. Greater dependence on technology systems heightens the risk of potential vulnerabilities from system failure and malfunction, breakdowns due to natural disasters, human error, unauthorized access, power loss, and other unforeseen events. Data privacy breaches by employees and others with or without authorized access to our systems poses risks that sensitive data may be permanently lost or leaked to the public or other unauthorized persons. With the growing use and rapid evolution of technology, including internet selling, cloud-based computing and mobile devices, there are additional risks of unintentional data leaks. There is also the risk of our exposure to theft of confidential information, intentional vandalism, industrial espionage, and a variety of cyber-attacks, including phishing attempts, covertly introducing malware to our computers and networks (or the computers and networks of our third-party providers), and impersonating authorized users, among other types of cyber-attacks, that could compromise our internal technology system, infrastructure, or result in data leakage in-house or at our third-party providers and business partners. Attempts to gain unauthorized access to our information technology systems have become increasingly more sophisticated over time, and while we seek to detect and investigate all security incidents and to prevent their recurrence, in some cases we might be unaware of an incident or its magnitude and effect. Failures of technology or related systems, cybersecurity incidents, or improper release of confidential information, could damage our business or subject us to unexpected liabilities, expenditures, and recovery time. Additionally, the devotion of additional resources to the security of our information technology systems in the future could significantly increase our operating costs or otherwise adversely affect our financial results. We continue to balance the risk of an electronic security breach resulting in the unauthorized release of confidential information with the cost to protect us against such a breach, and we have taken steps to ensure that losses arising from a breach would be covered in part by insurance that we carry, although the costs, potential monetary damages, and operational consequences of responding to cyber incidents and implementing remediation measures may be in excess of our insurance coverage or not covered at all by our insurance, and could have a material adverse effect on our operations and financial results to the extent losses are uninsured or exceed insurance recoveries and to the extent that such disruptions adversely impact our relationships with our customers or our business reputation. We have been a target of cybersecurity attacks in the past, and while such attacks have not resulted in a material impact on our operations, business, customer relationships, or reputation, such attacks could in the future.</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due to the COVID-19 pandemic, we have permitted certain employees to work from home from time to time. Although we continue to implement strong physical and cybersecurity measures to ensure that our business operations remain functional and to ensure uninterrupted service to our customers, our systems and our operations remain vulnerable to cyberattacks and other disruptions due to the fact that more employees may be working remotely, and we cannot be certain that our mitigation efforts will be effective.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We may not be able to recruit and retain key employees and skilled workers in a competitive labor market.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cannot successfully recruit and retain key employees and skilled workers or if we experience the unexpected loss of those employees, our operations may be negatively affected. A shortage of qualified personnel, along with cost inflation, may require us to enhance our compensation in order to compete effectively in the hiring and retention of qualified employees.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are and will continue to be dependent upon our senior management team and other key personnel. Losing the services of one or more key members of our management team or other key personnel could adversely affect our operations. COVID-19 may also increase the risk that certain senior management executives or a member of the board of directors could become ill, causing them to be incapacitated or otherwise unable to perform their duties for an extended absence. Furthermore, because of the nature of the disease, multiple people working in proximity could also become ill simultaneously, which could result in the same department having extended absences. This could negatively affect the efficiency and effectiveness of processes and internal controls throughout the company.</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 possible, we have permitted work-from-home arrangements for certain employees in order to limit the number of people at our facilities due to the COVID-19 pandemic. The effects of stay-at-home orders and our work-from-home policies may negatively affect productivity and disrupt our business, the magnitude of which will depend, in part, on the length and severity of the restrictions and other limitations on our ability to conduct our business in the ordinary course.</w:t>
      </w:r>
    </w:p>
    <w:p>
      <w:pPr>
        <w:spacing w:after="0" w:line="1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intellectual property rights may not prevent others from using our copyrights or trademarks in connection with the sale of competitive products. We may be subject to claims that our products or trademarks infringe intellectual property rights of others.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hold, or have registration applications pending for, numerous trademarks and copyrights for various product and trade names, logos, and fabric designs in the United States and certain foreign countries. We view such intellectual property, along with any unregistered copyrights, trademarks, service marks, trade names, domain names, trade dress, trade secrets, and proprietary technologies, as an important part of our business. These intellectual property rights may not provide adequate protection against infringement or piracy, may not prevent competitors from developing and marketing products that are similar or competitive with our fabric designs or other products, and may be costly and time-consuming to protect and enforce. In addition, the laws of some foreign countries may not protect our intellectual property rights and confidential information to the same extent as the laws of the United States. If we are unable to protect and enforce our intellectual property, we may be unable to prevent other companies from using our fabric designs or trademarks in connection with competitive products, which could adversely affect our sales, profitability, cash flows and financial condition.</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be subject to claims that our products, advertising, or trademarks infringe the intellectual property rights of others. The defense of these claims, even if we are ultimately successful, may result in costly litigation, and if we are not successful in our defense, we could be subject to injunctions and liability for damages or royalty obligations, and our sales, profitability, cash flows and financial condition could be adversely affected.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made and expect to continue to make acquisitions, which could involve certain risks and uncertainties.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Acquisitions have been and may continue to be an important element of our business strategy. Acquisitions involve numerous inherent challenges, such as properly evaluating acquisition opportunities, properly evaluating risks and other diligence matters, ensuring adequate capital availability, and balancing other resource constraints. There are risks and uncertainties related to acquisitions, including difficulties integrating acquired operations, technology, personnel, and financial and other systems; unrealized sales expectations from the acquired business; unrealized synergies and cost-savings; unknown or underestimated liabilities; diversion of management attention from running our existing businesses; and potential loss of key management employees of the acquired business. In addition, internal control over financial reporting of acquired companies may not be up to required standards. Our integration activities may place substantial demand on our management, operational resources, and financial and internal control systems. Customer dissatisfaction or performance problems with an acquired business, technology, service, or product could also have a material adverse effect on our reputation and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Financing Our Operations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require funding from external sources, which may not be available at the levels we require or may cost more than we expect. As a result, our expenses and operating results could be negatively affected.</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regularly review and evaluate our liquidity and capital needs. Our available cash, cash equivalents, and cash flow from operations have been adequate to finance our operations and capital requirements in recent years. However, if we experience a sustained decline in revenue, there may be periods in which we may require additional external funding to support our operations.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1, 2022, we had approximately $38 million in combined total borrowing availability under our domestic credit facility and our China credit facility. In June of 2022, we entered into an amended and restated credit agreement with respect to our domestic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4" w:name="page25"/>
    <w:bookmarkEnd w:id="24"/>
    <w:p>
      <w:pPr>
        <w:jc w:val="both"/>
        <w:spacing w:after="0" w:line="256" w:lineRule="auto"/>
        <w:rPr>
          <w:sz w:val="20"/>
          <w:szCs w:val="20"/>
          <w:color w:val="auto"/>
        </w:rPr>
      </w:pPr>
      <w:r>
        <w:rPr>
          <w:rFonts w:ascii="Times New Roman" w:cs="Times New Roman" w:eastAsia="Times New Roman" w:hAnsi="Times New Roman"/>
          <w:sz w:val="18"/>
          <w:szCs w:val="18"/>
          <w:color w:val="auto"/>
        </w:rPr>
        <w:t>credit facility, which provides for a revolving credit facility of up to $40 million, secured by a lien on the company’s assets, where the borrowing availability is determined based on certain eligible accounts receivable and inventory of the company. In the event we require additional liquidity from our lenders that exceeds the availability under our credit facilities at such time, such funds may not be available to us. In addition, in the event we draw on any of our credit facilities, outstanding amounts may become immediately due and payable upon certain events of default, including a failure to comply with the financial covenants or certain other affirmative and negative covenants in the credit agreements. If we are unable to access additional credit at the levels we require, or the cost of credit is greater than expected, it could adversely affect our operating results or financial condition.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and Regulatory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litigation and environmental regulations that could adversely affect our sales and earnings.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been, and in the future may be, a party to legal proceedings and claims, including environmental matters, product liability, and employment disputes, some of which claim significant damages. We face the continual business risk of exposure to claims that our operations have caused personal injury or property damage, including the related risk of damage to our brand and reputation in conjunction with such claims. We maintain insurance against product liability claims and, in some cases, have indemnification agreements with regard to environmental claims, but there can be no assurance that these arrangements will continue to be available on acceptable terms or that such arrangements will be adequate for liabilities actually incurred. Given the inherent uncertainty of litigation, there can be no assurance that claims against the company will not have a material adverse impact on our earnings or financial condition. We are also subject to various laws and regulations in our business, including those relating to environmental protection and the discharge of materials into the environment. We could incur substantial costs as a result of noncompliance with or liability for cleanup or other costs or damages under environmental laws or other regulations.</w:t>
      </w:r>
    </w:p>
    <w:p>
      <w:pPr>
        <w:spacing w:after="0" w:line="15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must comply with many governmental regulations applicable to our business, and changes in those regulations could adversely affect our business.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products and raw materials are and will continue to be subject to regulation in the United States by various federal, state, and local regulatory authorities. In addition, other governments and agencies in other jurisdictions regulate the manufacture, sale, and distribution of our products and raw materials. Also, rules and restrictions regarding the importation of fabrics and other materials, including custom duties, tariffs, quotas, banned substances, and other regulations, are continually changing. Environmental laws, labor laws, tax laws and regulations (including, without limitation, the Global Intangible Low Taxed Income (“GILTI”) tax provisions), data privacy laws, and other regulations continually affect our business. These rules and regulations can and do change from time to time, which can increase our costs and our taxes, or can require us to make changes in our manufacturing processes, product mix, sources of products and raw materials, or distribution. Changes in the rules and regulations applicable to our business may negatively affect our sales and earnings.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end of fiscal 2022 (May 1, 2022), we leased our corporate headquarters and a design and innovation campus located in High Point, NC. In addition, we owned or leased seventeen facilities associated with our mattress and upholstery fabrics operations. The following is a list of our administrative and production facilities. Our facilities listed below are organized by business segment.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Approx.</w:t>
            </w:r>
          </w:p>
        </w:tc>
        <w:tc>
          <w:tcPr>
            <w:tcW w:w="14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Total Area</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38"/>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Principal Use</w:t>
            </w: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(Sq. Ft.)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Lease (1)</w:t>
            </w:r>
          </w:p>
        </w:tc>
      </w:tr>
      <w:tr>
        <w:trPr>
          <w:trHeight w:val="223"/>
        </w:trPr>
        <w:tc>
          <w:tcPr>
            <w:tcW w:w="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140" w:type="dxa"/>
            <w:vAlign w:val="bottom"/>
            <w:tcBorders>
              <w:top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Administrative:</w:t>
            </w:r>
          </w:p>
        </w:tc>
        <w:tc>
          <w:tcPr>
            <w:tcW w:w="160" w:type="dxa"/>
            <w:vAlign w:val="bottom"/>
            <w:tcBorders>
              <w:top w:val="single" w:sz="8" w:color="CFF0FC"/>
            </w:tcBorders>
            <w:shd w:val="clear" w:color="auto" w:fill="CFF0FC"/>
          </w:tcPr>
          <w:p>
            <w:pPr>
              <w:spacing w:after="0"/>
              <w:rPr>
                <w:sz w:val="19"/>
                <w:szCs w:val="19"/>
                <w:color w:val="auto"/>
              </w:rPr>
            </w:pPr>
          </w:p>
        </w:tc>
        <w:tc>
          <w:tcPr>
            <w:tcW w:w="45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r>
      <w:tr>
        <w:trPr>
          <w:trHeight w:val="229"/>
        </w:trPr>
        <w:tc>
          <w:tcPr>
            <w:tcW w:w="200" w:type="dxa"/>
            <w:vAlign w:val="bottom"/>
          </w:tcPr>
          <w:p>
            <w:pPr>
              <w:spacing w:after="0"/>
              <w:rPr>
                <w:sz w:val="19"/>
                <w:szCs w:val="19"/>
                <w:color w:val="auto"/>
              </w:rPr>
            </w:pPr>
          </w:p>
        </w:tc>
        <w:tc>
          <w:tcPr>
            <w:tcW w:w="3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High Point, North Carolina</w:t>
            </w: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Upholstery fabric division offices and corporate headquarters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36,643</w:t>
            </w:r>
          </w:p>
        </w:tc>
        <w:tc>
          <w:tcPr>
            <w:tcW w:w="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2034</w:t>
            </w:r>
          </w:p>
        </w:tc>
      </w:tr>
      <w:tr>
        <w:trPr>
          <w:trHeight w:val="229"/>
        </w:trPr>
        <w:tc>
          <w:tcPr>
            <w:tcW w:w="200" w:type="dxa"/>
            <w:vAlign w:val="bottom"/>
            <w:shd w:val="clear" w:color="auto" w:fill="CFF0FC"/>
          </w:tcPr>
          <w:p>
            <w:pPr>
              <w:spacing w:after="0"/>
              <w:rPr>
                <w:sz w:val="19"/>
                <w:szCs w:val="19"/>
                <w:color w:val="auto"/>
              </w:rPr>
            </w:pPr>
          </w:p>
        </w:tc>
        <w:tc>
          <w:tcPr>
            <w:tcW w:w="33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High Point, North Carolina</w:t>
            </w: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Design and innovation campus, showrooms, and office space</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21,261</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2043</w:t>
            </w:r>
          </w:p>
        </w:tc>
      </w:tr>
      <w:tr>
        <w:trPr>
          <w:trHeight w:val="230"/>
        </w:trPr>
        <w:tc>
          <w:tcPr>
            <w:tcW w:w="2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3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Mattress Fabrics:</w:t>
            </w:r>
          </w:p>
        </w:tc>
        <w:tc>
          <w:tcPr>
            <w:tcW w:w="4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30"/>
        </w:trPr>
        <w:tc>
          <w:tcPr>
            <w:tcW w:w="200" w:type="dxa"/>
            <w:vAlign w:val="bottom"/>
          </w:tcPr>
          <w:p>
            <w:pPr>
              <w:spacing w:after="0"/>
              <w:rPr>
                <w:sz w:val="19"/>
                <w:szCs w:val="19"/>
                <w:color w:val="auto"/>
              </w:rPr>
            </w:pPr>
          </w:p>
        </w:tc>
        <w:tc>
          <w:tcPr>
            <w:tcW w:w="3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Stokesdale, North Carolina</w:t>
            </w: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and headquarters office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299,163</w:t>
            </w:r>
          </w:p>
        </w:tc>
        <w:tc>
          <w:tcPr>
            <w:tcW w:w="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29"/>
        </w:trPr>
        <w:tc>
          <w:tcPr>
            <w:tcW w:w="200" w:type="dxa"/>
            <w:vAlign w:val="bottom"/>
            <w:shd w:val="clear" w:color="auto" w:fill="CFF0FC"/>
          </w:tcPr>
          <w:p>
            <w:pPr>
              <w:spacing w:after="0"/>
              <w:rPr>
                <w:sz w:val="19"/>
                <w:szCs w:val="19"/>
                <w:color w:val="auto"/>
              </w:rPr>
            </w:pPr>
          </w:p>
        </w:tc>
        <w:tc>
          <w:tcPr>
            <w:tcW w:w="33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Stokesdale, North Carolina</w:t>
            </w: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 center</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220,222</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29"/>
        </w:trPr>
        <w:tc>
          <w:tcPr>
            <w:tcW w:w="200" w:type="dxa"/>
            <w:vAlign w:val="bottom"/>
          </w:tcPr>
          <w:p>
            <w:pPr>
              <w:spacing w:after="0"/>
              <w:rPr>
                <w:sz w:val="19"/>
                <w:szCs w:val="19"/>
                <w:color w:val="auto"/>
              </w:rPr>
            </w:pPr>
          </w:p>
        </w:tc>
        <w:tc>
          <w:tcPr>
            <w:tcW w:w="3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High Point, North Carolina</w:t>
            </w: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63,522</w:t>
            </w:r>
          </w:p>
        </w:tc>
        <w:tc>
          <w:tcPr>
            <w:tcW w:w="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r>
      <w:tr>
        <w:trPr>
          <w:trHeight w:val="230"/>
        </w:trPr>
        <w:tc>
          <w:tcPr>
            <w:tcW w:w="200" w:type="dxa"/>
            <w:vAlign w:val="bottom"/>
            <w:shd w:val="clear" w:color="auto" w:fill="CFF0FC"/>
          </w:tcPr>
          <w:p>
            <w:pPr>
              <w:spacing w:after="0"/>
              <w:rPr>
                <w:sz w:val="19"/>
                <w:szCs w:val="19"/>
                <w:color w:val="auto"/>
              </w:rPr>
            </w:pPr>
          </w:p>
        </w:tc>
        <w:tc>
          <w:tcPr>
            <w:tcW w:w="33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High Point, North Carolina</w:t>
            </w: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Warehouse and offices</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65,886</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2023 (2)</w:t>
            </w:r>
          </w:p>
        </w:tc>
      </w:tr>
      <w:tr>
        <w:trPr>
          <w:trHeight w:val="229"/>
        </w:trPr>
        <w:tc>
          <w:tcPr>
            <w:tcW w:w="200" w:type="dxa"/>
            <w:vAlign w:val="bottom"/>
          </w:tcPr>
          <w:p>
            <w:pPr>
              <w:spacing w:after="0"/>
              <w:rPr>
                <w:sz w:val="19"/>
                <w:szCs w:val="19"/>
                <w:color w:val="auto"/>
              </w:rPr>
            </w:pPr>
          </w:p>
        </w:tc>
        <w:tc>
          <w:tcPr>
            <w:tcW w:w="3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St. Jerome, Quebec, Canada</w:t>
            </w: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202,500</w:t>
            </w:r>
          </w:p>
        </w:tc>
        <w:tc>
          <w:tcPr>
            <w:tcW w:w="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29"/>
        </w:trPr>
        <w:tc>
          <w:tcPr>
            <w:tcW w:w="200" w:type="dxa"/>
            <w:vAlign w:val="bottom"/>
            <w:shd w:val="clear" w:color="auto" w:fill="CFF0FC"/>
          </w:tcPr>
          <w:p>
            <w:pPr>
              <w:spacing w:after="0"/>
              <w:rPr>
                <w:sz w:val="19"/>
                <w:szCs w:val="19"/>
                <w:color w:val="auto"/>
              </w:rPr>
            </w:pPr>
          </w:p>
        </w:tc>
        <w:tc>
          <w:tcPr>
            <w:tcW w:w="33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St. Jerome, Quebec, Canada</w:t>
            </w: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Warehouse</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46,113</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30"/>
        </w:trPr>
        <w:tc>
          <w:tcPr>
            <w:tcW w:w="200" w:type="dxa"/>
            <w:vAlign w:val="bottom"/>
          </w:tcPr>
          <w:p>
            <w:pPr>
              <w:spacing w:after="0"/>
              <w:rPr>
                <w:sz w:val="19"/>
                <w:szCs w:val="19"/>
                <w:color w:val="auto"/>
              </w:rPr>
            </w:pPr>
          </w:p>
        </w:tc>
        <w:tc>
          <w:tcPr>
            <w:tcW w:w="3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Ouanaminthe, Haiti</w:t>
            </w: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80,000</w:t>
            </w:r>
          </w:p>
        </w:tc>
        <w:tc>
          <w:tcPr>
            <w:tcW w:w="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2025 (2)</w:t>
            </w:r>
          </w:p>
        </w:tc>
      </w:tr>
      <w:tr>
        <w:trPr>
          <w:trHeight w:val="229"/>
        </w:trPr>
        <w:tc>
          <w:tcPr>
            <w:tcW w:w="200" w:type="dxa"/>
            <w:vAlign w:val="bottom"/>
            <w:shd w:val="clear" w:color="auto" w:fill="CFF0FC"/>
          </w:tcPr>
          <w:p>
            <w:pPr>
              <w:spacing w:after="0"/>
              <w:rPr>
                <w:sz w:val="19"/>
                <w:szCs w:val="19"/>
                <w:color w:val="auto"/>
              </w:rPr>
            </w:pPr>
          </w:p>
        </w:tc>
        <w:tc>
          <w:tcPr>
            <w:tcW w:w="33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Ouanaminthe, Haiti</w:t>
            </w: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40,000</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2028 (2)</w:t>
            </w:r>
          </w:p>
        </w:tc>
      </w:tr>
      <w:tr>
        <w:trPr>
          <w:trHeight w:val="230"/>
        </w:trPr>
        <w:tc>
          <w:tcPr>
            <w:tcW w:w="2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3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Upholstery Fabrics:</w:t>
            </w:r>
          </w:p>
        </w:tc>
        <w:tc>
          <w:tcPr>
            <w:tcW w:w="4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29"/>
        </w:trPr>
        <w:tc>
          <w:tcPr>
            <w:tcW w:w="200" w:type="dxa"/>
            <w:vAlign w:val="bottom"/>
          </w:tcPr>
          <w:p>
            <w:pPr>
              <w:spacing w:after="0"/>
              <w:rPr>
                <w:sz w:val="19"/>
                <w:szCs w:val="19"/>
                <w:color w:val="auto"/>
              </w:rPr>
            </w:pPr>
          </w:p>
        </w:tc>
        <w:tc>
          <w:tcPr>
            <w:tcW w:w="3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Burlington, North Carolina</w:t>
            </w: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Finished goods distribution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132,000</w:t>
            </w:r>
          </w:p>
        </w:tc>
        <w:tc>
          <w:tcPr>
            <w:tcW w:w="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r>
      <w:tr>
        <w:trPr>
          <w:trHeight w:val="230"/>
        </w:trPr>
        <w:tc>
          <w:tcPr>
            <w:tcW w:w="200" w:type="dxa"/>
            <w:vAlign w:val="bottom"/>
            <w:shd w:val="clear" w:color="auto" w:fill="CFF0FC"/>
          </w:tcPr>
          <w:p>
            <w:pPr>
              <w:spacing w:after="0"/>
              <w:rPr>
                <w:sz w:val="19"/>
                <w:szCs w:val="19"/>
                <w:color w:val="auto"/>
              </w:rPr>
            </w:pPr>
          </w:p>
        </w:tc>
        <w:tc>
          <w:tcPr>
            <w:tcW w:w="33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Burlington, North Carolina</w:t>
            </w: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Design center</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13,750</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29"/>
        </w:trPr>
        <w:tc>
          <w:tcPr>
            <w:tcW w:w="200" w:type="dxa"/>
            <w:vAlign w:val="bottom"/>
          </w:tcPr>
          <w:p>
            <w:pPr>
              <w:spacing w:after="0"/>
              <w:rPr>
                <w:sz w:val="19"/>
                <w:szCs w:val="19"/>
                <w:color w:val="auto"/>
              </w:rPr>
            </w:pPr>
          </w:p>
        </w:tc>
        <w:tc>
          <w:tcPr>
            <w:tcW w:w="3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Knoxville, Tennessee</w:t>
            </w: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and offices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37,700</w:t>
            </w:r>
          </w:p>
        </w:tc>
        <w:tc>
          <w:tcPr>
            <w:tcW w:w="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2033</w:t>
            </w:r>
          </w:p>
        </w:tc>
      </w:tr>
      <w:tr>
        <w:trPr>
          <w:trHeight w:val="229"/>
        </w:trPr>
        <w:tc>
          <w:tcPr>
            <w:tcW w:w="200" w:type="dxa"/>
            <w:vAlign w:val="bottom"/>
            <w:shd w:val="clear" w:color="auto" w:fill="CFF0FC"/>
          </w:tcPr>
          <w:p>
            <w:pPr>
              <w:spacing w:after="0"/>
              <w:rPr>
                <w:sz w:val="19"/>
                <w:szCs w:val="19"/>
                <w:color w:val="auto"/>
              </w:rPr>
            </w:pPr>
          </w:p>
        </w:tc>
        <w:tc>
          <w:tcPr>
            <w:tcW w:w="33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Shanghai, China</w:t>
            </w: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warehouse, offices</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68,677</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30"/>
        </w:trPr>
        <w:tc>
          <w:tcPr>
            <w:tcW w:w="200" w:type="dxa"/>
            <w:vAlign w:val="bottom"/>
          </w:tcPr>
          <w:p>
            <w:pPr>
              <w:spacing w:after="0"/>
              <w:rPr>
                <w:sz w:val="19"/>
                <w:szCs w:val="19"/>
                <w:color w:val="auto"/>
              </w:rPr>
            </w:pPr>
          </w:p>
        </w:tc>
        <w:tc>
          <w:tcPr>
            <w:tcW w:w="3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Shanghai, China</w:t>
            </w: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warehouse, offices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89,857</w:t>
            </w:r>
          </w:p>
        </w:tc>
        <w:tc>
          <w:tcPr>
            <w:tcW w:w="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29"/>
        </w:trPr>
        <w:tc>
          <w:tcPr>
            <w:tcW w:w="200" w:type="dxa"/>
            <w:vAlign w:val="bottom"/>
            <w:shd w:val="clear" w:color="auto" w:fill="CFF0FC"/>
          </w:tcPr>
          <w:p>
            <w:pPr>
              <w:spacing w:after="0"/>
              <w:rPr>
                <w:sz w:val="19"/>
                <w:szCs w:val="19"/>
                <w:color w:val="auto"/>
              </w:rPr>
            </w:pPr>
          </w:p>
        </w:tc>
        <w:tc>
          <w:tcPr>
            <w:tcW w:w="33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Shanghai, China</w:t>
            </w: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Warehouse and offices</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89,861</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30"/>
        </w:trPr>
        <w:tc>
          <w:tcPr>
            <w:tcW w:w="200" w:type="dxa"/>
            <w:vAlign w:val="bottom"/>
          </w:tcPr>
          <w:p>
            <w:pPr>
              <w:spacing w:after="0"/>
              <w:rPr>
                <w:sz w:val="19"/>
                <w:szCs w:val="19"/>
                <w:color w:val="auto"/>
              </w:rPr>
            </w:pPr>
          </w:p>
        </w:tc>
        <w:tc>
          <w:tcPr>
            <w:tcW w:w="3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Shanghai, China</w:t>
            </w: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Warehouse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64,583</w:t>
            </w:r>
          </w:p>
        </w:tc>
        <w:tc>
          <w:tcPr>
            <w:tcW w:w="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30"/>
        </w:trPr>
        <w:tc>
          <w:tcPr>
            <w:tcW w:w="200" w:type="dxa"/>
            <w:vAlign w:val="bottom"/>
            <w:shd w:val="clear" w:color="auto" w:fill="CFF0FC"/>
          </w:tcPr>
          <w:p>
            <w:pPr>
              <w:spacing w:after="0"/>
              <w:rPr>
                <w:sz w:val="19"/>
                <w:szCs w:val="19"/>
                <w:color w:val="auto"/>
              </w:rPr>
            </w:pPr>
          </w:p>
        </w:tc>
        <w:tc>
          <w:tcPr>
            <w:tcW w:w="33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Shanghai, China</w:t>
            </w: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Warehouse</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48,610</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34"/>
        </w:trPr>
        <w:tc>
          <w:tcPr>
            <w:tcW w:w="200" w:type="dxa"/>
            <w:vAlign w:val="bottom"/>
          </w:tcPr>
          <w:p>
            <w:pPr>
              <w:spacing w:after="0"/>
              <w:rPr>
                <w:sz w:val="20"/>
                <w:szCs w:val="20"/>
                <w:color w:val="auto"/>
              </w:rPr>
            </w:pPr>
          </w:p>
        </w:tc>
        <w:tc>
          <w:tcPr>
            <w:tcW w:w="33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Ouanaminthe, Haiti</w:t>
            </w: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90,000</w:t>
            </w:r>
          </w:p>
        </w:tc>
        <w:tc>
          <w:tcPr>
            <w:tcW w:w="1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2029 (2)</w:t>
            </w:r>
          </w:p>
        </w:tc>
      </w:tr>
    </w:tbl>
    <w:p>
      <w:pPr>
        <w:spacing w:after="0" w:line="220"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all options to renew, except as noted in footnote 2 below.</w:t>
      </w:r>
    </w:p>
    <w:p>
      <w:pPr>
        <w:spacing w:after="0" w:line="184"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lease agreements have an unspecified number of renewal options available, and the year listed above is the expiration of the current lease term.</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facilities are in good condition, well-maintained, suitable, and adequate for present utilization. In the upholstery fabrics segment, we have the ability to source upholstery fabric from outside suppliers to meet current and expected demand trends and further increase our output of finished goods. This ability to source upholstery fabric is part of our long-term strategy to have a low-cost platform that is scalable, but not capital intensive. In the mattress fabrics segment, we believe we have sufficient capacity to meet current and expected demand trends. We also have the ability to source additional mattress fabrics from outside suppliers to further increase our ultimate output of finished goods.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no legal proceedings to which the company, or its subsidiaries, is a party to or of which any of their property is the subject that are required to be disclosed under this item.</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ind w:left="360" w:right="4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THE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Registrar and Transfer Agent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Correspondence should be mailed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505000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Louisville, KY 40233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Overnight correspondence should be sent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462 South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 Suite 1600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Louisville, KY 40202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254-5196</w:t>
      </w:r>
    </w:p>
    <w:p>
      <w:pPr>
        <w:spacing w:after="0" w:line="27" w:lineRule="exact"/>
        <w:rPr>
          <w:sz w:val="20"/>
          <w:szCs w:val="20"/>
          <w:color w:val="auto"/>
        </w:rPr>
      </w:pPr>
    </w:p>
    <w:p>
      <w:pPr>
        <w:ind w:right="8400" w:firstLine="8"/>
        <w:spacing w:after="0" w:line="260" w:lineRule="auto"/>
        <w:tabs>
          <w:tab w:leader="none" w:pos="4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575-2879 (Foreign shareholders) www.computershare.com/investor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Listing</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Culp, Inc. common stock is traded on the New York Stock Exchange (NYSE) under the symbol CULP. As of May 1, 2022, Culp, Inc. had approximately 3,545 shareholders based on the number of holders of record and an estimate of individual participants represented by security position listings.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Analyst Coverage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analysts cover Culp,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Sidoti &amp; Company, LLC – Anthony Lebiedzinski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Line – Simon R. Shoucair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 Tower Research – Budd Bugatch, CFA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Dividends and Share Repurchases; Sales of Unregistered Securities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Repurchases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w:t>
            </w: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40" w:type="dxa"/>
            <w:vAlign w:val="bottom"/>
          </w:tcPr>
          <w:p>
            <w:pPr>
              <w:spacing w:after="0"/>
              <w:rPr>
                <w:sz w:val="18"/>
                <w:szCs w:val="18"/>
                <w:color w:val="auto"/>
              </w:rPr>
            </w:pPr>
          </w:p>
        </w:tc>
        <w:tc>
          <w:tcPr>
            <w:tcW w:w="12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40" w:type="dxa"/>
            <w:vAlign w:val="bottom"/>
          </w:tcPr>
          <w:p>
            <w:pPr>
              <w:spacing w:after="0"/>
              <w:rPr>
                <w:sz w:val="18"/>
                <w:szCs w:val="18"/>
                <w:color w:val="auto"/>
              </w:rPr>
            </w:pPr>
          </w:p>
        </w:tc>
        <w:tc>
          <w:tcPr>
            <w:tcW w:w="12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Dollar Value</w:t>
            </w: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40" w:type="dxa"/>
            <w:vAlign w:val="bottom"/>
          </w:tcPr>
          <w:p>
            <w:pPr>
              <w:spacing w:after="0"/>
              <w:rPr>
                <w:sz w:val="18"/>
                <w:szCs w:val="18"/>
                <w:color w:val="auto"/>
              </w:rPr>
            </w:pPr>
          </w:p>
        </w:tc>
        <w:tc>
          <w:tcPr>
            <w:tcW w:w="12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of Shares that</w:t>
            </w: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6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as Part of</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May Yet Be</w:t>
            </w: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Purchased</w:t>
            </w: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Under</w:t>
            </w: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6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the Plans or</w:t>
            </w:r>
          </w:p>
        </w:tc>
      </w:tr>
      <w:tr>
        <w:trPr>
          <w:trHeight w:val="238"/>
        </w:trPr>
        <w:tc>
          <w:tcPr>
            <w:tcW w:w="5840" w:type="dxa"/>
            <w:vAlign w:val="bottom"/>
            <w:gridSpan w:val="2"/>
          </w:tcPr>
          <w:p>
            <w:pPr>
              <w:ind w:left="26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6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40" w:type="dxa"/>
            <w:vAlign w:val="bottom"/>
          </w:tcPr>
          <w:p>
            <w:pPr>
              <w:spacing w:after="0"/>
              <w:rPr>
                <w:sz w:val="20"/>
                <w:szCs w:val="20"/>
                <w:color w:val="auto"/>
              </w:rPr>
            </w:pPr>
          </w:p>
        </w:tc>
        <w:tc>
          <w:tcPr>
            <w:tcW w:w="12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Programs (1)</w:t>
            </w:r>
          </w:p>
        </w:tc>
      </w:tr>
      <w:tr>
        <w:trPr>
          <w:trHeight w:val="223"/>
        </w:trPr>
        <w:tc>
          <w:tcPr>
            <w:tcW w:w="5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31, 2022 to March 6, 2022</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3,248,094</w:t>
            </w:r>
          </w:p>
        </w:tc>
      </w:tr>
      <w:tr>
        <w:trPr>
          <w:trHeight w:val="230"/>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7, 2022 to April 3, 2022</w:t>
            </w:r>
          </w:p>
        </w:tc>
        <w:tc>
          <w:tcPr>
            <w:tcW w:w="13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3,248,094</w:t>
            </w:r>
          </w:p>
        </w:tc>
      </w:tr>
      <w:tr>
        <w:trPr>
          <w:trHeight w:val="229"/>
        </w:trPr>
        <w:tc>
          <w:tcPr>
            <w:tcW w:w="5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4, 2022 to May 1, 2022</w:t>
            </w:r>
          </w:p>
        </w:tc>
        <w:tc>
          <w:tcPr>
            <w:tcW w:w="1380" w:type="dxa"/>
            <w:vAlign w:val="bottom"/>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3,248,094</w:t>
            </w:r>
          </w:p>
        </w:tc>
      </w:tr>
      <w:tr>
        <w:trPr>
          <w:trHeight w:val="234"/>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3,248,094</w:t>
            </w:r>
          </w:p>
        </w:tc>
      </w:tr>
    </w:tbl>
    <w:p>
      <w:pPr>
        <w:spacing w:after="0" w:line="220"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2020, our board of directors approved an authorization for us to acquire up to $5.0 million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29, 2022, our board of directors announced the decision to suspend the company’s quarterly cash dividend. Considering the current and expected macroeconomic conditions, we believe that preserving capital and managing our liquidity is in the company’s best interest to support future growth and the long-term interests of our shareholders.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2022, dividend payments totaled $5.5 million, which represented quarterly dividend payments ranging from $0.11 per share to $0.115 per share. During fiscal 2021, dividend payments totaled $5.3 million, which represented quarterly dividend payments ranging from $0.105 per share to $0.11 per share. During fiscal 2020, dividend payments totaled $5.1 million, which represented quarterly cash dividend payments ranging from $0.10 per share to $0.105 per share.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Sales of Unregistered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sales of unregistered securities during fiscal 2022, 2021, or 2020.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Performance Comparison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graph shows changes over the five fiscal years ending May 1, 2022, in the value of $100 invested in (1) the common stock of the company,</w:t>
      </w:r>
    </w:p>
    <w:p>
      <w:pPr>
        <w:spacing w:after="0" w:line="27" w:lineRule="exact"/>
        <w:rPr>
          <w:sz w:val="20"/>
          <w:szCs w:val="20"/>
          <w:color w:val="auto"/>
        </w:rPr>
      </w:pPr>
    </w:p>
    <w:p>
      <w:pPr>
        <w:ind w:firstLine="8"/>
        <w:spacing w:after="0" w:line="260" w:lineRule="auto"/>
        <w:tabs>
          <w:tab w:leader="none" w:pos="27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Hemscott Textile Manufacturing Group Index reported by Standard and Poor’s, consisting of three companies in the textile industry, and (3) the Standard &amp; Poor’s 500 Index.</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graph assumes an initial investment of $100 at the end of fiscal 2017 and the reinvestment of all dividends during the periods identified.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394335</wp:posOffset>
            </wp:positionV>
            <wp:extent cx="6069330" cy="50406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69330" cy="5040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prepared this Management’s Discussion and Analysis as an aid to understanding our financial results. It should be read in conjunction with the consolidated financial statements and notes and other exhibits included elsewhere in this report. It also includes management’s analysis of past financial results and certain potential risk factors that may affect future results, as well as approaches that may be used to manage those risks. See “Cautionary Note Regarding Forward-Looking Statements” at the beginning of this report, together with the section of this report titled “Item 1A. RISK FACTORS,” for a discussion of factors that may cause results to differ materially.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fiscal year is the 52 or 53-week period ending on the Sunday closest to April 30. Fiscal 2022, 2021, and 2020 included 52 weeks, 52 weeks, and 53 weeks,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are classified into two business segments: mattress fabrics and upholstery fabrics.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mattress fabrics segment manufactures, sources, and sells fabrics and mattress covers primarily to bedding manufacturers. We have mattress fabric operations located in Stokesdale, NC, High Point, NC, and Quebec, Canada. Additionally, we acquired the remaining fifty percent ownership interest in our former unconsolidated joint venture located in Ouanaminthe, Haiti, during the fourth quarter of fiscal 2021. As a result, we are now the sole owner with full control of this cut and sewn mattress cover operation (see Note 2 of the consolidated financial statements for further details regarding this business combination).</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upholstery fabrics segment develops, sources, manufactures, and sells fabrics primarily to residential and commercial furniture manufacturers. We have upholstery fabric operations located in Shanghai, China, and Burlington, NC. During the third quarter of fiscal 2022, we also commenced operation of a new leased facility in Ouanaminthe, Haiti dedicated to the production of cut and sewn upholstery kits. Additionally, Read Window Products, LLC (“Read”), a wholly-owned subsidiary with operations located in Knoxville, TN, provides window treatments and sourcing of upholstery fabrics and other products, as well as measuring and installation services of Read’s products, to customers in the hospitality and commercial industries. Read also supplies soft goods such as decorative top sheets, coverlets, duvet covers, bed skirts, bolsters, and pillows.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discussion of how COVID-19 has affected and may continue to affect our business and financial condition, see the discussion under the heading “COVID-19 Impact and Business Response” in Part I, Item 1 of this report, as well as the Risk Factors set forth in Part I, Item 1A of this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 the operating performance of our business segments based upon (loss) income from operations before certain unallocated corporate expenses and other items that are not expected to occur on a regular basis. Cost of sales in each business segment includes costs to develop, manufacture, or source our products, including costs such as raw material and finished good purchases, direct and indirect labor, overhead, and incoming freight charges. Unallocated corporate expenses primarily represent compensation and benefits for certain executive officers and their support staff, all costs associated with being a public company, amortization of intangible assets, and other miscellaneous expenses.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Results of Operations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493"/>
        </w:trPr>
        <w:tc>
          <w:tcPr>
            <w:tcW w:w="1560" w:type="dxa"/>
            <w:vAlign w:val="bottom"/>
            <w:tcBorders>
              <w:top w:val="single" w:sz="8" w:color="auto"/>
            </w:tcBorders>
          </w:tcPr>
          <w:p>
            <w:pPr>
              <w:spacing w:after="0"/>
              <w:rPr>
                <w:sz w:val="24"/>
                <w:szCs w:val="24"/>
                <w:color w:val="auto"/>
              </w:rPr>
            </w:pPr>
          </w:p>
        </w:tc>
        <w:tc>
          <w:tcPr>
            <w:tcW w:w="2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Twelve Months Ended</w:t>
            </w:r>
          </w:p>
        </w:tc>
        <w:tc>
          <w:tcPr>
            <w:tcW w:w="1600" w:type="dxa"/>
            <w:vAlign w:val="bottom"/>
          </w:tcPr>
          <w:p>
            <w:pPr>
              <w:spacing w:after="0"/>
              <w:rPr>
                <w:sz w:val="24"/>
                <w:szCs w:val="24"/>
                <w:color w:val="auto"/>
              </w:rPr>
            </w:pPr>
          </w:p>
        </w:tc>
      </w:tr>
      <w:tr>
        <w:trPr>
          <w:trHeight w:val="205"/>
        </w:trPr>
        <w:tc>
          <w:tcPr>
            <w:tcW w:w="15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490"/>
              <w:spacing w:after="0" w:line="205" w:lineRule="exact"/>
              <w:rPr>
                <w:sz w:val="20"/>
                <w:szCs w:val="20"/>
                <w:color w:val="auto"/>
              </w:rPr>
            </w:pPr>
            <w:r>
              <w:rPr>
                <w:rFonts w:ascii="Times New Roman" w:cs="Times New Roman" w:eastAsia="Times New Roman" w:hAnsi="Times New Roman"/>
                <w:sz w:val="18"/>
                <w:szCs w:val="18"/>
                <w:color w:val="auto"/>
              </w:rPr>
              <w:t>May 1,</w:t>
            </w:r>
          </w:p>
        </w:tc>
        <w:tc>
          <w:tcPr>
            <w:tcW w:w="1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490"/>
              <w:spacing w:after="0" w:line="205" w:lineRule="exact"/>
              <w:rPr>
                <w:sz w:val="20"/>
                <w:szCs w:val="20"/>
                <w:color w:val="auto"/>
              </w:rPr>
            </w:pPr>
            <w:r>
              <w:rPr>
                <w:rFonts w:ascii="Times New Roman" w:cs="Times New Roman" w:eastAsia="Times New Roman" w:hAnsi="Times New Roman"/>
                <w:sz w:val="18"/>
                <w:szCs w:val="18"/>
                <w:color w:val="auto"/>
              </w:rPr>
              <w:t>May 2,</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34"/>
        </w:trPr>
        <w:tc>
          <w:tcPr>
            <w:tcW w:w="4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84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CFF0FC"/>
            </w:tcBorders>
          </w:tcPr>
          <w:p>
            <w:pPr>
              <w:spacing w:after="0"/>
              <w:rPr>
                <w:sz w:val="20"/>
                <w:szCs w:val="20"/>
                <w:color w:val="auto"/>
              </w:rPr>
            </w:pPr>
          </w:p>
        </w:tc>
        <w:tc>
          <w:tcPr>
            <w:tcW w:w="16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294,839</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299,720</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36,093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49,832</w:t>
            </w:r>
          </w:p>
        </w:tc>
        <w:tc>
          <w:tcPr>
            <w:tcW w:w="16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w:t>
            </w:r>
          </w:p>
        </w:tc>
      </w:tr>
      <w:tr>
        <w:trPr>
          <w:trHeight w:val="230"/>
        </w:trPr>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1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 bp</w:t>
            </w:r>
          </w:p>
        </w:tc>
      </w:tr>
      <w:tr>
        <w:trPr>
          <w:trHeight w:val="22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35,415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37,756</w:t>
            </w:r>
          </w:p>
        </w:tc>
        <w:tc>
          <w:tcPr>
            <w:tcW w:w="16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678</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12,076</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(94.4)%</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 bp</w:t>
            </w:r>
          </w:p>
        </w:tc>
      </w:tr>
      <w:tr>
        <w:trPr>
          <w:trHeight w:val="230"/>
        </w:trPr>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(325)</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10,880</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(103.0)%</w:t>
            </w:r>
          </w:p>
        </w:tc>
      </w:tr>
      <w:tr>
        <w:trPr>
          <w:trHeight w:val="22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2,886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7,693</w:t>
            </w:r>
          </w:p>
        </w:tc>
        <w:tc>
          <w:tcPr>
            <w:tcW w:w="16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(62.5)%</w:t>
            </w:r>
          </w:p>
        </w:tc>
      </w:tr>
      <w:tr>
        <w:trPr>
          <w:trHeight w:val="229"/>
        </w:trPr>
        <w:tc>
          <w:tcPr>
            <w:tcW w:w="440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84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(3,211)</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3,218</w:t>
            </w:r>
          </w:p>
        </w:tc>
        <w:tc>
          <w:tcPr>
            <w:tcW w:w="160" w:type="dxa"/>
            <w:vAlign w:val="bottom"/>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(199.8)%</w:t>
            </w:r>
          </w:p>
        </w:tc>
      </w:tr>
      <w:tr>
        <w:trPr>
          <w:trHeight w:val="669"/>
        </w:trPr>
        <w:tc>
          <w:tcPr>
            <w:tcW w:w="15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8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5"/>
        </w:trPr>
        <w:tc>
          <w:tcPr>
            <w:tcW w:w="156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auto"/>
        </w:rPr>
        <w:t>Net Sales</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Overall, our net sales decreased 1.6% in fiscal 2022 compared with a year ago, with mattress fabric net sales decreasing 3.5% and upholstery fabric net sales increasing 0.4%. Fiscal 2021 was negatively affected by the economic disruption caused by the COVID-19 pandemic during the first quarter.</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decrease in net sales for our mattress fabrics segment during fiscal 2022 reflects the significant drop in sales during the fourth quarter of fiscal 2022, driven primarily by weakness in domestic mattress industry sales that caused customers to curtail inventory purchases and delay the timing of new product rollouts in response to slowing retail demand. Sales were also affected by the COVID-related shutdowns of the company’s operations in China, which halted production and distribution of sewn mattress covers produced in China throughout the month of April. The decrease in net sales was partially offset by pricing and surcharge actions that were in effect during the year, including a price increase that was effective throughout the year, as well as a materials surcharge (inclusive of freight) that was implemented during the second quarter, an additional selective price increase that was implemented during the third quarter, and additional targeted price increases on certain products implemented during the fourth quarter. Together, these pricing actions increased net sales for the division by approximately 5.1% during fiscal 2022.</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increase in upholstery fabrics net sales during fiscal 2022 reflects higher demand for our residential upholstery products primarily during the first quarter, as compared to the prior-year first quarter, which was negatively affected by disruption from the COVID-19 pandemic. This increase was partially offset by a significant drop in sales for residential upholstery fabric products during the fourth quarter due to COVID-related shutdowns of our facilities in China throughout the month of April and, to a lesser extent, a slowdown in new business for the residential home furnishings industry during the fourth quarter. It was also offset by lower sales in our residential business during the second quarter, primarily due to COVID-19 related shutdowns of our sourcing partners and customers in Vietnam, as well as lower sales for Read in our hospitality business during the first six months of fiscal 2022. The increase in net sales also reflects the impact of pricing and freight surcharge actions that were in effect during the year, including a price increase that was effective throughout the year on products sold in the U.S. to help offset unfavorable foreign currency exchange rate fluctuations associated with our operations in China; a freight surcharge implemented during the second quarter; and an additional price increase implemented on new orders beginning in the third quarter. Together, these price increases and freight surcharge accounted for approximately 2.9% of net sales for the division during fiscal 2022.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Segment Analysis located in the Results of Operations section below for further details.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Before Income Taxes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Overall, our loss before income taxes was $(325,000) for fiscal 2022, compared with income before income taxes of 10.9 million for the prior year. The results for fiscal 2021 include an $819,000 gain on bargain purchase associated with our fourth-quarter acquisition of the remaining fifty percent ownership interest in our former unconsolidated joint venture located in Haiti.</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performance for fiscal 2022 was materially affected by lower sales; operating inefficiencies at our mattress fabrics segment’s U.S. and Canadian locations due to the rapid and material decline in revenues during the fourth quarter; and higher freight, raw material, and labor costs. Other pressures affecting the year were start-up costs for the new Haiti upholstery cut and sew facility, operating inefficiencies in our mattress fabrics segment related to product mix within the segment’s global platform, unfavorable foreign exchange rate fluctuations in China and Canada, labor shortages in the U.S. and Canada, and additional employee training costs and operating inefficiencies at our new Haiti upholstery cut and sew facility. These pressures were partially offset by lower total SG&amp;A expense for the year, due primarily to lower incentive compensation expense.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Segment Analysis located in the Results of Operations section below for further details.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recorded income tax expense of $2.9 million, or (888.0%) of loss before income taxes, during fiscal 2022, compared with income tax expense of $7.7 million, or 70.7% of income before income taxes, during fiscal 2021. Our effective income tax rates for fiscal 2022 and 2021 were negatively affected by the mix of (loss) income before income taxes, as significant pre-tax losses were incurred by our U.S. operations and almost all our taxable income was earned by our foreign operations located in China and Canada, which have higher income tax rates than the U.S. As a result, income tax expense incurred stems from taxable income from our foreign jurisdictions that exceeds our consolidated (loss) income before income taxes. Accordingly, the extent of the fluctuations in our effective income tax rates is dependent on the extent to which income tax expense incurred from foreign operations compares with our consolidated (loss) income before income taxes, which has been significantly lowered by our U.S.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income tax expense during fiscal 2021 included a $4.9 million net income tax charge, which consisted of an $8.5 million non-cash income tax charge to record a full valuation allowance against the company’s U.S. net deferred income tax assets, partially offset by a $3.6 million non-cash income tax benefit to re-establish certain U.S. Federal net operating loss carryforwards in connection with U.S. Treasury regulations enacted during the first quarter of fiscal 2021 regarding the Global Intangible Low Taxed Income (“GILTI”) tax provisions of the Tax Cuts and Jobs Act of 2017 (“TCJA”).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2022, we had income tax payments totaling $3.1 million, which mostly represented income tax payments associated with our foreign operations in China and Canada. During fiscal 2021, we had income tax payments totaling $3.0 million, which mostly represented income tax payments of $4.3 million associated with our foreign operations located in China and Canada, partially offset by income tax refunds of $1.5 million that were associated with our U.S. AMT credit carryforward balance.</w:t>
      </w:r>
    </w:p>
    <w:p>
      <w:pPr>
        <w:spacing w:after="0" w:line="153" w:lineRule="exact"/>
        <w:rPr>
          <w:sz w:val="20"/>
          <w:szCs w:val="20"/>
          <w:color w:val="auto"/>
        </w:rPr>
      </w:pPr>
    </w:p>
    <w:p>
      <w:pPr>
        <w:ind w:right="1600"/>
        <w:spacing w:after="0" w:line="453" w:lineRule="auto"/>
        <w:rPr>
          <w:sz w:val="20"/>
          <w:szCs w:val="20"/>
          <w:color w:val="auto"/>
        </w:rPr>
      </w:pPr>
      <w:r>
        <w:rPr>
          <w:rFonts w:ascii="Times New Roman" w:cs="Times New Roman" w:eastAsia="Times New Roman" w:hAnsi="Times New Roman"/>
          <w:sz w:val="18"/>
          <w:szCs w:val="18"/>
          <w:color w:val="auto"/>
        </w:rPr>
        <w:t xml:space="preserve">Refer to Note 12 of the consolidated financial statements for further details regarding our provision for income taxes from operations. </w:t>
      </w:r>
      <w:r>
        <w:rPr>
          <w:rFonts w:ascii="Times New Roman" w:cs="Times New Roman" w:eastAsia="Times New Roman" w:hAnsi="Times New Roman"/>
          <w:sz w:val="18"/>
          <w:szCs w:val="18"/>
          <w:u w:val="single" w:color="auto"/>
          <w:color w:val="auto"/>
        </w:rPr>
        <w:t>Liquidity</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1, 2022, our cash and cash equivalents, short-term investments (available for sale), and short-term and long-term investments (held-to-maturity) (collectively “cash and investments”) totaled $14.6 million compared with $46.9 million as of May 2, 2021.</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our cash and investments from the end of fiscal 2021 was mostly due to (i) $5.7 million of capital expenditures primarily related to equipment associated with our mattress fabrics segment, our innovation campus located in downtown High Point, NC, and new equipment associated with information technology, (ii) cash payments totaling $5.5 million for regular quarterly dividend payments to shareholders, (iii) common stock repurchases totaling $1.8 million, (iv) $1.1 million of contributions to our rabbi trust that funds our deferred compensation plan, and (v) net cash used in operating activities totaling $17.4 million.</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net cash used in operating activities was $17.4 million during fiscal 2022, compared with net cash provided by operating activities of $21.5 million during fiscal 2021. This difference was due mostly to (i) a net increase in cash that was generated during fiscal 2021 due to a significant surge in customer demand as a result of the focus-on-the-home trend that occurred as businesses began to re-open coming out of pandemic-related closures, which such surge did not recur during fiscal 2022; (ii) a decrease in accounts payable due to the significant decrease in net sales during the fourth quarter of fiscal 2022 compared with the fourth quarter of fiscal 2021, as noted above, and due to our return to normal credit terms with our vendors, as opposed to the extended terms previously granted in response to the COVID-19 pandemic; (iii) an increase in inventory due to higher material costs, as well as an increase in inventory purchases to protect against supply chain disruption and support our customers; (iv) a decrease in accrued expenses primarily due to annual incentive bonus compensation paid during the first quarter of fiscal 2022; (v) $1.9 million in payments for the new building lease and start-up expenses associated with our upholstery fabrics cut and sew operation located in Haiti; partially offset by (vi) a decrease in accounts receivable related to the decrease in net sales during the fourth quarter of fiscal 2022 compared with the fourth quarter of fiscal 2021, as noted above, and due to our customers’ return to normal credit terms, rather than the extended terms previously granted in response to the COVID-19 pandemic.</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1, 2022, there were no outstanding borrowings under our lines of credit.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 Program</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29, 2022, our board of directors announced the decision to suspend the company’s quarterly cash dividend. Considering the current and expected macroeconomic conditions, we believe that preserving capital and managing liquidity is in the company’s best interest to support future growth and the long-term interests of our shareholders.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2022, dividend payments totaled $5.5 million, which represented quarterly dividend payments ranging from $0.11 per share to $0.115 per share. During fiscal 2021, dividend payments totaled $5.3 million, which represented quarterly dividend payments ranging from $0.105 per share to $0.11 per share.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 Repurchases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and timing of share purchases are based on working capital requirements, market and general business conditions, and other factors, including alternative investment opportunities.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2022, we repurchased 121,688 shares of our common stock at a cost of $1.8 million. As a result, as of May 1, 2022, $3.2 million is available for additional repurchases of our common stock. Despite the current share repurchase authorization, the company does not expect to repurchase any shares through at least the first quarter of fiscal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2021, we did not repurchase any 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67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05"/>
        </w:trPr>
        <w:tc>
          <w:tcPr>
            <w:tcW w:w="99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The following table sets forth certain items in our consolidated statements of net (loss) income as a percentage of net sales.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68"/>
        </w:trPr>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Fiscal</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Fiscal</w:t>
            </w:r>
          </w:p>
        </w:tc>
      </w:tr>
      <w:tr>
        <w:trPr>
          <w:trHeight w:val="234"/>
        </w:trPr>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7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6700" w:type="dxa"/>
            <w:vAlign w:val="bottom"/>
            <w:tcBorders>
              <w:bottom w:val="single" w:sz="8" w:color="CFF0FC"/>
            </w:tcBorders>
            <w:gridSpan w:val="5"/>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(87.8)</w:t>
            </w:r>
          </w:p>
        </w:tc>
        <w:tc>
          <w:tcPr>
            <w:tcW w:w="1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(83.4)</w:t>
            </w:r>
          </w:p>
        </w:tc>
      </w:tr>
      <w:tr>
        <w:trPr>
          <w:trHeight w:val="223"/>
        </w:trPr>
        <w:tc>
          <w:tcPr>
            <w:tcW w:w="180" w:type="dxa"/>
            <w:vAlign w:val="bottom"/>
            <w:shd w:val="clear" w:color="auto" w:fill="CFF0FC"/>
          </w:tcPr>
          <w:p>
            <w:pPr>
              <w:spacing w:after="0"/>
              <w:rPr>
                <w:sz w:val="19"/>
                <w:szCs w:val="19"/>
                <w:color w:val="auto"/>
              </w:rPr>
            </w:pPr>
          </w:p>
        </w:tc>
        <w:tc>
          <w:tcPr>
            <w:tcW w:w="652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16.6</w:t>
            </w:r>
          </w:p>
        </w:tc>
      </w:tr>
      <w:tr>
        <w:trPr>
          <w:trHeight w:val="229"/>
        </w:trPr>
        <w:tc>
          <w:tcPr>
            <w:tcW w:w="6700" w:type="dxa"/>
            <w:vAlign w:val="bottom"/>
            <w:tcBorders>
              <w:bottom w:val="single" w:sz="8" w:color="CFF0FC"/>
            </w:tcBorders>
            <w:gridSpan w:val="5"/>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r>
      <w:tr>
        <w:trPr>
          <w:trHeight w:val="223"/>
        </w:trPr>
        <w:tc>
          <w:tcPr>
            <w:tcW w:w="180" w:type="dxa"/>
            <w:vAlign w:val="bottom"/>
            <w:shd w:val="clear" w:color="auto" w:fill="CFF0FC"/>
          </w:tcPr>
          <w:p>
            <w:pPr>
              <w:spacing w:after="0"/>
              <w:rPr>
                <w:sz w:val="19"/>
                <w:szCs w:val="19"/>
                <w:color w:val="auto"/>
              </w:rPr>
            </w:pPr>
          </w:p>
        </w:tc>
        <w:tc>
          <w:tcPr>
            <w:tcW w:w="652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180" w:type="dxa"/>
            <w:vAlign w:val="bottom"/>
          </w:tcPr>
          <w:p>
            <w:pPr>
              <w:spacing w:after="0"/>
              <w:rPr>
                <w:sz w:val="19"/>
                <w:szCs w:val="19"/>
                <w:color w:val="auto"/>
              </w:rPr>
            </w:pPr>
          </w:p>
        </w:tc>
        <w:tc>
          <w:tcPr>
            <w:tcW w:w="65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80" w:type="dxa"/>
            <w:vAlign w:val="bottom"/>
            <w:shd w:val="clear" w:color="auto" w:fill="CFF0FC"/>
          </w:tcPr>
          <w:p>
            <w:pPr>
              <w:spacing w:after="0"/>
              <w:rPr>
                <w:sz w:val="19"/>
                <w:szCs w:val="19"/>
                <w:color w:val="auto"/>
              </w:rPr>
            </w:pPr>
          </w:p>
        </w:tc>
        <w:tc>
          <w:tcPr>
            <w:tcW w:w="652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6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Gain on bargain purchase</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67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180" w:type="dxa"/>
            <w:vAlign w:val="bottom"/>
          </w:tcPr>
          <w:p>
            <w:pPr>
              <w:spacing w:after="0"/>
              <w:rPr>
                <w:sz w:val="19"/>
                <w:szCs w:val="19"/>
                <w:color w:val="auto"/>
              </w:rPr>
            </w:pPr>
          </w:p>
        </w:tc>
        <w:tc>
          <w:tcPr>
            <w:tcW w:w="65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67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(888.0)</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70.7</w:t>
            </w:r>
          </w:p>
        </w:tc>
      </w:tr>
      <w:tr>
        <w:trPr>
          <w:trHeight w:val="230"/>
        </w:trPr>
        <w:tc>
          <w:tcPr>
            <w:tcW w:w="6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Income from investment in unconsolidated joint venture</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00" w:type="dxa"/>
            <w:vAlign w:val="bottom"/>
            <w:tcBorders>
              <w:top w:val="single" w:sz="8" w:color="CFF0FC"/>
              <w:bottom w:val="single" w:sz="8" w:color="auto"/>
            </w:tcBorders>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tcBorders>
              <w:top w:val="single" w:sz="8" w:color="CFF0FC"/>
              <w:bottom w:val="single" w:sz="8" w:color="auto"/>
            </w:tcBorders>
            <w:shd w:val="clear" w:color="auto" w:fill="CFF0FC"/>
          </w:tcPr>
          <w:p>
            <w:pPr>
              <w:spacing w:after="0"/>
              <w:rPr>
                <w:sz w:val="19"/>
                <w:szCs w:val="19"/>
                <w:color w:val="auto"/>
              </w:rPr>
            </w:pPr>
          </w:p>
        </w:tc>
        <w:tc>
          <w:tcPr>
            <w:tcW w:w="480" w:type="dxa"/>
            <w:vAlign w:val="bottom"/>
            <w:tcBorders>
              <w:top w:val="single" w:sz="8" w:color="CFF0FC"/>
              <w:bottom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r>
      <w:tr>
        <w:trPr>
          <w:trHeight w:val="453"/>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52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Calculated as a percentage of (loss) income before income taxes.</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1"/>
        </w:trPr>
        <w:tc>
          <w:tcPr>
            <w:tcW w:w="67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2022 compared with 2021</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12"/>
        </w:trPr>
        <w:tc>
          <w:tcPr>
            <w:tcW w:w="1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Segment Analysis</w:t>
            </w:r>
          </w:p>
        </w:tc>
        <w:tc>
          <w:tcPr>
            <w:tcW w:w="474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64"/>
        </w:trPr>
        <w:tc>
          <w:tcPr>
            <w:tcW w:w="67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Mattress Fabrics Segment</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93"/>
        </w:trPr>
        <w:tc>
          <w:tcPr>
            <w:tcW w:w="18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9"/>
          </w:tcPr>
          <w:p>
            <w:pPr>
              <w:jc w:val="right"/>
              <w:ind w:right="900"/>
              <w:spacing w:after="0"/>
              <w:rPr>
                <w:sz w:val="20"/>
                <w:szCs w:val="20"/>
                <w:color w:val="auto"/>
              </w:rPr>
            </w:pPr>
            <w:r>
              <w:rPr>
                <w:rFonts w:ascii="Times New Roman" w:cs="Times New Roman" w:eastAsia="Times New Roman" w:hAnsi="Times New Roman"/>
                <w:sz w:val="18"/>
                <w:szCs w:val="18"/>
                <w:color w:val="auto"/>
              </w:rPr>
              <w:t>Twelve Months Ended</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5"/>
        </w:trPr>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3"/>
          </w:tcPr>
          <w:p>
            <w:pPr>
              <w:jc w:val="center"/>
              <w:ind w:right="300"/>
              <w:spacing w:after="0" w:line="205" w:lineRule="exact"/>
              <w:rPr>
                <w:sz w:val="20"/>
                <w:szCs w:val="20"/>
                <w:color w:val="auto"/>
              </w:rPr>
            </w:pPr>
            <w:r>
              <w:rPr>
                <w:rFonts w:ascii="Times New Roman" w:cs="Times New Roman" w:eastAsia="Times New Roman" w:hAnsi="Times New Roman"/>
                <w:sz w:val="18"/>
                <w:szCs w:val="18"/>
                <w:color w:val="auto"/>
              </w:rPr>
              <w:t>May 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3"/>
          </w:tcPr>
          <w:p>
            <w:pPr>
              <w:jc w:val="right"/>
              <w:ind w:right="620"/>
              <w:spacing w:after="0" w:line="205" w:lineRule="exact"/>
              <w:rPr>
                <w:sz w:val="20"/>
                <w:szCs w:val="20"/>
                <w:color w:val="auto"/>
              </w:rPr>
            </w:pPr>
            <w:r>
              <w:rPr>
                <w:rFonts w:ascii="Times New Roman" w:cs="Times New Roman" w:eastAsia="Times New Roman" w:hAnsi="Times New Roman"/>
                <w:sz w:val="18"/>
                <w:szCs w:val="18"/>
                <w:color w:val="auto"/>
              </w:rPr>
              <w:t>May 2,</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4"/>
        </w:trPr>
        <w:tc>
          <w:tcPr>
            <w:tcW w:w="6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6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560" w:type="dxa"/>
            <w:vAlign w:val="bottom"/>
            <w:tcBorders>
              <w:top w:val="single" w:sz="8" w:color="auto"/>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152,159</w:t>
            </w:r>
          </w:p>
        </w:tc>
        <w:tc>
          <w:tcPr>
            <w:tcW w:w="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157,671</w:t>
            </w:r>
          </w:p>
        </w:tc>
        <w:tc>
          <w:tcPr>
            <w:tcW w:w="1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6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16,458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23,864</w:t>
            </w: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(31.0)%</w:t>
            </w:r>
          </w:p>
        </w:tc>
      </w:tr>
      <w:tr>
        <w:trPr>
          <w:trHeight w:val="230"/>
        </w:trPr>
        <w:tc>
          <w:tcPr>
            <w:tcW w:w="67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260" w:type="dxa"/>
            <w:vAlign w:val="bottom"/>
            <w:shd w:val="clear" w:color="auto" w:fill="CFF0FC"/>
          </w:tcPr>
          <w:p>
            <w:pPr>
              <w:spacing w:after="0"/>
              <w:rPr>
                <w:sz w:val="19"/>
                <w:szCs w:val="19"/>
                <w:color w:val="auto"/>
              </w:rPr>
            </w:pPr>
          </w:p>
        </w:tc>
        <w:tc>
          <w:tcPr>
            <w:tcW w:w="12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 bp</w:t>
            </w:r>
          </w:p>
        </w:tc>
      </w:tr>
      <w:tr>
        <w:trPr>
          <w:trHeight w:val="230"/>
        </w:trPr>
        <w:tc>
          <w:tcPr>
            <w:tcW w:w="6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12,246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12,066</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670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4,212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11,798</w:t>
            </w:r>
          </w:p>
        </w:tc>
        <w:tc>
          <w:tcPr>
            <w:tcW w:w="1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(64.3)%</w:t>
            </w:r>
          </w:p>
        </w:tc>
      </w:tr>
      <w:tr>
        <w:trPr>
          <w:trHeight w:val="230"/>
        </w:trPr>
        <w:tc>
          <w:tcPr>
            <w:tcW w:w="65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 bp</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Mattress fabrics sales decreased 3.5% in fiscal 2022 compared to the prior year. These results reflect the significant drop in sales during the fourth quarter of fiscal 2022, which was primarily driven by weakness in domestic mattress industry sales. We experienced a rapid drop in demand during the fourth quarter, particularly during the month of April, causing customers to curtail inventory purchases and delay the timing of new product rollouts in response to slowing retail demand. We believe this industry softness was primarily due to inflationary pressures affecting consumer spending. Sales during the fourth quarter were also affected by the COVID-related shutdowns of the company’s operations in China, which halted production and distribution of our sewn mattress covers produced in China throughout the month of April.</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net sales for fiscal 2022 was partially offset by pricing and surcharge actions that were in effect during the year, including a price increase that was effective throughout the year, as well as a materials surcharge (inclusive of freight) that was implemented during the second quarter, an additional selective price increase that was implemented during the third quarter, and additional targeted price increases on certain products implemented during the fourth quarter. Together, these pricing actions increased net sales by approximately 5.1% during fiscal 2022.</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fiscal 2022, we maintained a continued focus on our product-driven strategy, with an emphasis on innovation, design creativity, quality, and personalized customer service. The strength and flexibility of our global manufacturing and sourcing operations in the U.S., Canada, Haiti, Asia, and Turkey enabled us to support the evolving needs of our mattress fabrics and cover customers throughout the year. While we experienced lower demand in our mattress cover business, particularly during the second half of the year, we continue to believe our on-shore, near-shore, and off-shore supply chain strategy, as well as our fabric-to-cover model, remains a preferred platform for sewn mattress cover customers.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4" w:name="page35"/>
    <w:bookmarkEnd w:id="34"/>
    <w:p>
      <w:pPr>
        <w:jc w:val="both"/>
        <w:spacing w:after="0" w:line="255" w:lineRule="auto"/>
        <w:rPr>
          <w:sz w:val="20"/>
          <w:szCs w:val="20"/>
          <w:color w:val="auto"/>
        </w:rPr>
      </w:pPr>
      <w:r>
        <w:rPr>
          <w:rFonts w:ascii="Times New Roman" w:cs="Times New Roman" w:eastAsia="Times New Roman" w:hAnsi="Times New Roman"/>
          <w:sz w:val="18"/>
          <w:szCs w:val="18"/>
          <w:color w:val="auto"/>
        </w:rPr>
        <w:t>Looking ahead, we continue to navigate a convergence of macroeconomic headwinds that are affecting consumer spending patterns. While we are optimistic about planned new programs and product development opportunities for fiscal 2023, industry weakness is expected to continue for some period of time, which may reduce demand for mattress fabric and cover products and delay the timing of new product rollouts. We expect these conditions are likely to continue pressuring results through at least the first half of fiscal 2023. Additionally, the continued impact of the COVID-19 pandemic and Russia’s invasion of Ukraine remain unknown and depend on factors beyond our knowledge or control. At this time, we cannot reasonably estimate the ongoing impact of the COVID-19 pandemic or the evolving impact of the Russia-Ukraine war on our mattress fabrics segment; however, either of these situations could cause disruption that could adversely affect our operations and financial performance.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Operating Income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mattress fabrics profitability during fiscal 2022, as compared to fiscal 2021, was primarily due to lower sales; operating inefficiencies at our U.S. and Canadian locations due to the rapid and material decline in revenues during the fourth quarter; higher freight, raw material, and labor costs; operating inefficiencies within our global platform due to an unfavorable product mix affecting our U.S. and Canadian locations; unfavorable foreign currency exchange rate fluctuations in China and Canada; and operating inefficiencies due to labor shortages in the U.S. and Canada.</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previously implemented price increase and materials surcharge, as well as the selective price increase implemented during the third quarter and the targeted price increase on certain products implemented during the fourth quarter, have helped offset a portion of the current inflationary pressures. However, we expect the ongoing rise in labor, freight, and raw materials to continue pressuring profitability through at least the first half of fiscal 2023. We believe these headwinds will be mitigated to some extent by an additional targeted price increase on certain products that we are implementing during the second quarter of fiscal 2023, as well as our ongoing efforts to control our internal costs and improve efficiencies, but we will consider further reasonable pricing actions as necessary to mitigate and manage inflation.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International Holdings, Ltd.</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January 1, 2017, Culp International Holdings, Ltd. (“Culp International”), a wholly-owned subsidiary of the company, entered into a joint venture agreement pursuant to which Culp International owned 50% of CLASS International Holdings, Ltd. (“CIH”). CIH produces cut and sewn mattress covers and is housed in two facilities totaling 120,000 square feet, located in a modern industrial park on the northeastern border of Haiti. During the fourth quarter of fiscal 2021, Culp International acquired the remaining 50% ownership interest in CIH from its former joint venture partner, such that we are now the sole owner with full control of CIH. We believe having sole ownership of this operation increases our capacity and enhances our flexibility by having near-shore capabilities that help us meet the needs of our mattress cover customers.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of the consolidated financial statements for further details regarding this business combination.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Assets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assets consist of accounts receivable, inventory, property, plant, and equipment, and right of use assets.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May 1,</w:t>
            </w:r>
          </w:p>
        </w:tc>
        <w:tc>
          <w:tcPr>
            <w:tcW w:w="24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May 2,</w:t>
            </w:r>
          </w:p>
        </w:tc>
        <w:tc>
          <w:tcPr>
            <w:tcW w:w="1540" w:type="dxa"/>
            <w:vAlign w:val="bottom"/>
          </w:tcPr>
          <w:p>
            <w:pPr>
              <w:spacing w:after="0"/>
              <w:rPr>
                <w:sz w:val="18"/>
                <w:szCs w:val="18"/>
                <w:color w:val="auto"/>
              </w:rPr>
            </w:pPr>
          </w:p>
        </w:tc>
      </w:tr>
      <w:tr>
        <w:trPr>
          <w:trHeight w:val="234"/>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20"/>
                <w:szCs w:val="20"/>
                <w:color w:val="auto"/>
              </w:rPr>
            </w:pPr>
          </w:p>
        </w:tc>
        <w:tc>
          <w:tcPr>
            <w:tcW w:w="15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6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9,865</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20,427</w:t>
            </w:r>
          </w:p>
        </w:tc>
        <w:tc>
          <w:tcPr>
            <w:tcW w:w="14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30"/>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39,028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30,047</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29"/>
        </w:trPr>
        <w:tc>
          <w:tcPr>
            <w:tcW w:w="6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38,731</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41,694</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65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3,469</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4,278</w:t>
            </w:r>
          </w:p>
        </w:tc>
        <w:tc>
          <w:tcPr>
            <w:tcW w:w="140" w:type="dxa"/>
            <w:vAlign w:val="bottom"/>
            <w:tcBorders>
              <w:bottom w:val="single" w:sz="8" w:color="CFF0FC"/>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50"/>
        </w:trPr>
        <w:tc>
          <w:tcPr>
            <w:tcW w:w="656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mattress fabrics segment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91,093</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96,446</w:t>
            </w:r>
          </w:p>
        </w:tc>
        <w:tc>
          <w:tcPr>
            <w:tcW w:w="14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6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18 of the consolidated financial statements for disclosures regarding determination of our segment assets.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May 1, 2022, accounts receivable decreased by $10.6 million, or 51.7%, compared with May 2, 2021. This decrease reflects a significant decline in net sales during the fourth quarter of fiscal 2022 compared with the fourth quarter of fiscal 2021. Net sales for the fourth quarter of fiscal 2022 were $29.8 million, a decline of $13.1 million, or 30.6%, compared with net sales of $42.9 million during the fourth quarter of fiscal 2021. In addition, this decrease in accounts receivable reflects improved cash collections during the fourth quarter of fiscal 2022 compared with the fourth quarter of fiscal 2021, as more customers took advantage of cash discounts during the fourth quarter of fiscal 2022 compared with the fourth quarter of fiscal 2021.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sales outstanding was 30 days for the fourth quarter of fiscal 2022, compared with 43 days for the fourth quarter of fiscal 2021.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May 1, 2022, inventory increased by $9.0 million, or 29.9%, compared with May 2, 2021. This increase in inventory represents higher raw material costs, as well as an increase in inventory purchases to protect against supply chain disruption and support our customers.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turns were 2.9 for the fourth quarter of fiscal 2022, compared with 4.2 for the fourth quarter of fiscal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Plant, &amp; Equipment</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1, 2022, property, plant, and equipment decreased $3.0 million, or 7.1%, compared with May 2, 2021. This decrease mostly represents (i) depreciation expense totaling $6.2 million, partially offset by (ii) capital spending of $3.4 million associated with equipment to expand capacity at our operation located in Canada.</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$38.7 million as of May 1, 2022, represents property, plant, and equipment of $25.6 million, $12.4 million, and $757,000 located in the U.S., Canada, and Haiti, respectively. The $41.7 million as of May 2, 2021, represents property, plant, and equipment of $28.8 million, $12.0 million, and $855,000 located in the U.S., Canada, and Haiti,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Right of Use Assets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1, 2022, right of use assets decreased $809,000, or 18.9%, compared with May 2, 2021. This decrease mostly represents rent expense incurred during fiscal 2022 that related to executed lease agreements.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$3.5 million as of May 1, 2022, represents right of use assets of $2.0 million, $1.2 million, and $291,000 located in Haiti, the U.S., and Canada, respectively. The $4.3 million as of May 2, 2021, represents right of use assets of $2.4 million, $1.4 million, and $400,000 located in Haiti, the U.S., and Canada, respectively.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Upholstery Fabrics Segment</w:t>
            </w: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2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Net Sales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73"/>
        </w:trPr>
        <w:tc>
          <w:tcPr>
            <w:tcW w:w="2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color w:val="auto"/>
              </w:rPr>
              <w:t>Twelve Months Ended</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5"/>
        </w:trPr>
        <w:tc>
          <w:tcPr>
            <w:tcW w:w="21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18"/>
                <w:szCs w:val="18"/>
                <w:color w:val="auto"/>
              </w:rPr>
              <w:t>May 1,</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18"/>
                <w:szCs w:val="18"/>
                <w:color w:val="auto"/>
              </w:rPr>
              <w:t>May 2,</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4"/>
        </w:trPr>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FF0FC"/>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FF0FC"/>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1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4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Non-U.S. Produced</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133,271</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133,029</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49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U.S. Produced</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9,409</w:t>
            </w:r>
          </w:p>
        </w:tc>
        <w:tc>
          <w:tcPr>
            <w:tcW w:w="10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9,020</w:t>
            </w:r>
          </w:p>
        </w:tc>
        <w:tc>
          <w:tcPr>
            <w:tcW w:w="10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49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142,680</w:t>
            </w:r>
          </w:p>
        </w:tc>
        <w:tc>
          <w:tcPr>
            <w:tcW w:w="10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142,049</w:t>
            </w:r>
          </w:p>
        </w:tc>
        <w:tc>
          <w:tcPr>
            <w:tcW w:w="10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0"/>
        </w:trPr>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Upholstery fabrics sales increased 0.4% in fiscal 2022 compared to the prior year.</w:t>
      </w:r>
    </w:p>
    <w:p>
      <w:pPr>
        <w:spacing w:after="0" w:line="2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increase in upholstery fabrics net sales during fiscal 2022 reflects higher demand for our residential upholstery products primarily during the first quarter, as compared to the prior-year first quarter, which was negatively affected by disruption from the COVID-19 pandemic. This increase was partially offset by a significant drop in sales for residential upholstery fabric products during the fourth quarter due to COVID-related shutdowns of our facilities in China throughout the month of April and, to a lesser extent, a slowdown in new business for the residential home furnishings industry during the fourth quarter. It was also offset by lower sales in our residential business during the second quarter, primarily due to COVID-19 related shutdowns of our sourcing partners and customers in Vietnam, as well as lower sales for Read in our hospitality business during the first six months of fiscal 2022. The increase in net sales also reflects the impact of pricing and freight surcharge actions that were in effect during the year, including a price increase that was effective throughout the year on products sold in the U.S. to help offset unfavorable foreign currency exchange rate fluctuations associated with our operations in China; a freight surcharge implemented during the second quarter; and an additional price increase implemented on new orders beginning in the third quarter. Together, these price increases and freight surcharge accounted for approximately 2.9% of net sales during fiscal 2022.</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Throughout the year, we maintained our sustained focus on product innovation, including our popular portfolio of LiveSmart® performance products. Our hospitality business continued to recover from pandemic-related impacts, with higher sales in both our hospitality/contract fabric business and our Read business during the second half of the year. We also commenced operations at our new Haiti cut and sew facility during the third quarter, and we continued the ramp up in production at this facility during the fourth quarter.</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Looking ahead, while the shutdowns that significantly curtailed our China operations throughout April and May have now been lifted, lingering constraints from the shutdowns may continue to affect us during the first quarter of fiscal 2023. We also expect the slowdown in new retail business for the residential home furnishings industry may affect demand for our residential business for some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6" w:name="page37"/>
    <w:bookmarkEnd w:id="36"/>
    <w:p>
      <w:pPr>
        <w:jc w:val="both"/>
        <w:spacing w:after="0" w:line="282" w:lineRule="auto"/>
        <w:rPr>
          <w:sz w:val="20"/>
          <w:szCs w:val="20"/>
          <w:color w:val="auto"/>
        </w:rPr>
      </w:pPr>
      <w:r>
        <w:rPr>
          <w:rFonts w:ascii="Times New Roman" w:cs="Times New Roman" w:eastAsia="Times New Roman" w:hAnsi="Times New Roman"/>
          <w:sz w:val="18"/>
          <w:szCs w:val="18"/>
          <w:color w:val="auto"/>
        </w:rPr>
        <w:t>period of time. Despite these challenges, we believe our business is well positioned for the long-term with our product-driven strategy and innovative product offerings, as well as our flexible Asian platform, our long-term supplier relationships, and our expanded capacity in Haiti.</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Notably, the ongoing economic and health effects of the COVID-19 pandemic, as well as the impact of Russia’s invasion of Ukraine, including its effect on petrochemical pricing and consumer spending, remain unknown and depend on factors beyond our control. At this time, we cannot reasonably estimate the impact, but we note that if conditions worsen in either of these situations, the impact on our suppliers, consumers, and/or the global economy could adversely affect our operations and financial performance.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Operating Income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Twelve Months Ended</w:t>
            </w:r>
          </w:p>
        </w:tc>
        <w:tc>
          <w:tcPr>
            <w:tcW w:w="1600" w:type="dxa"/>
            <w:vAlign w:val="bottom"/>
          </w:tcPr>
          <w:p>
            <w:pPr>
              <w:spacing w:after="0"/>
              <w:rPr>
                <w:sz w:val="20"/>
                <w:szCs w:val="20"/>
                <w:color w:val="auto"/>
              </w:rPr>
            </w:pPr>
          </w:p>
        </w:tc>
      </w:tr>
      <w:tr>
        <w:trPr>
          <w:trHeight w:val="205"/>
        </w:trPr>
        <w:tc>
          <w:tcPr>
            <w:tcW w:w="6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490"/>
              <w:spacing w:after="0" w:line="205" w:lineRule="exact"/>
              <w:rPr>
                <w:sz w:val="20"/>
                <w:szCs w:val="20"/>
                <w:color w:val="auto"/>
              </w:rPr>
            </w:pPr>
            <w:r>
              <w:rPr>
                <w:rFonts w:ascii="Times New Roman" w:cs="Times New Roman" w:eastAsia="Times New Roman" w:hAnsi="Times New Roman"/>
                <w:sz w:val="18"/>
                <w:szCs w:val="18"/>
                <w:color w:val="auto"/>
              </w:rPr>
              <w:t>May 1,</w:t>
            </w:r>
          </w:p>
        </w:tc>
        <w:tc>
          <w:tcPr>
            <w:tcW w:w="1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490"/>
              <w:spacing w:after="0" w:line="205" w:lineRule="exact"/>
              <w:rPr>
                <w:sz w:val="20"/>
                <w:szCs w:val="20"/>
                <w:color w:val="auto"/>
              </w:rPr>
            </w:pPr>
            <w:r>
              <w:rPr>
                <w:rFonts w:ascii="Times New Roman" w:cs="Times New Roman" w:eastAsia="Times New Roman" w:hAnsi="Times New Roman"/>
                <w:sz w:val="18"/>
                <w:szCs w:val="18"/>
                <w:color w:val="auto"/>
              </w:rPr>
              <w:t>May 2,</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34"/>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CFF0FC"/>
            </w:tcBorders>
          </w:tcPr>
          <w:p>
            <w:pPr>
              <w:spacing w:after="0"/>
              <w:rPr>
                <w:sz w:val="20"/>
                <w:szCs w:val="20"/>
                <w:color w:val="auto"/>
              </w:rPr>
            </w:pPr>
          </w:p>
        </w:tc>
        <w:tc>
          <w:tcPr>
            <w:tcW w:w="16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19,635</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25,968</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r>
      <w:tr>
        <w:trPr>
          <w:trHeight w:val="22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bp</w:t>
            </w:r>
          </w:p>
        </w:tc>
      </w:tr>
      <w:tr>
        <w:trPr>
          <w:trHeight w:val="23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14,009</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14,092</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5,626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11,876</w:t>
            </w:r>
          </w:p>
        </w:tc>
        <w:tc>
          <w:tcPr>
            <w:tcW w:w="16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w:t>
            </w:r>
          </w:p>
        </w:tc>
      </w:tr>
      <w:tr>
        <w:trPr>
          <w:trHeight w:val="229"/>
        </w:trPr>
        <w:tc>
          <w:tcPr>
            <w:tcW w:w="6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 bp</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upholstery fabrics profitability was primarily due to higher freight and material costs; start-up costs at our new Haiti cut and sew facility; unfavorable foreign currency fluctuations in China; a lower contribution from our Read business; and additional employee training costs and operating inefficiencies at the new Haiti cut and sew facility during the fourth quarter as it continued to scale capacity to its full planned output level.</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Looking ahead, we expect current inflationary pressures, as well as labor availability in our U.S. operations, may continue to pressure our profitability to some extent, but the pricing actions implemented throughout the year have helped offset foreign currency exchange rate fluctuations and rising freight and material costs, as intended. This was especially true during the fourth quarter, with the full realization of the additional price increase that was in effect for new orders during the quarter. We also expect profitability will be affected over the near-term by additional employee training costs and operating inefficiencies at our new Haiti cut and sew facility as we continue to increase our labor force in order to ramp up production to meet customer demand.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assets consist of accounts receivable, inventory, property, plant, and equipment, and right of use assets.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May 1,</w:t>
            </w:r>
          </w:p>
        </w:tc>
        <w:tc>
          <w:tcPr>
            <w:tcW w:w="24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May 2,</w:t>
            </w:r>
          </w:p>
        </w:tc>
        <w:tc>
          <w:tcPr>
            <w:tcW w:w="1540" w:type="dxa"/>
            <w:vAlign w:val="bottom"/>
          </w:tcPr>
          <w:p>
            <w:pPr>
              <w:spacing w:after="0"/>
              <w:rPr>
                <w:sz w:val="18"/>
                <w:szCs w:val="18"/>
                <w:color w:val="auto"/>
              </w:rPr>
            </w:pPr>
          </w:p>
        </w:tc>
      </w:tr>
      <w:tr>
        <w:trPr>
          <w:trHeight w:val="234"/>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20"/>
                <w:szCs w:val="20"/>
                <w:color w:val="auto"/>
              </w:rPr>
            </w:pPr>
          </w:p>
        </w:tc>
        <w:tc>
          <w:tcPr>
            <w:tcW w:w="15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6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12,361</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17,299</w:t>
            </w:r>
          </w:p>
        </w:tc>
        <w:tc>
          <w:tcPr>
            <w:tcW w:w="14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9"/>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27,529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25,870</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6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1,495</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57"/>
        </w:trPr>
        <w:tc>
          <w:tcPr>
            <w:tcW w:w="656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8,124</w:t>
            </w:r>
          </w:p>
        </w:tc>
        <w:tc>
          <w:tcPr>
            <w:tcW w:w="160" w:type="dxa"/>
            <w:vAlign w:val="bottom"/>
            <w:tcBorders>
              <w:bottom w:val="single" w:sz="8" w:color="CCEC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5,945</w:t>
            </w:r>
          </w:p>
        </w:tc>
        <w:tc>
          <w:tcPr>
            <w:tcW w:w="140" w:type="dxa"/>
            <w:vAlign w:val="bottom"/>
            <w:tcBorders>
              <w:bottom w:val="single" w:sz="8" w:color="CCECFF"/>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50"/>
        </w:trPr>
        <w:tc>
          <w:tcPr>
            <w:tcW w:w="642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50,044</w:t>
            </w:r>
          </w:p>
        </w:tc>
        <w:tc>
          <w:tcPr>
            <w:tcW w:w="16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auto"/>
            </w:tcBorders>
            <w:shd w:val="clear" w:color="auto" w:fill="CCEC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50,609</w:t>
            </w:r>
          </w:p>
        </w:tc>
        <w:tc>
          <w:tcPr>
            <w:tcW w:w="140" w:type="dxa"/>
            <w:vAlign w:val="bottom"/>
            <w:tcBorders>
              <w:bottom w:val="single" w:sz="8" w:color="CCECFF"/>
            </w:tcBorders>
            <w:shd w:val="clear" w:color="auto" w:fill="CCECFF"/>
          </w:tcPr>
          <w:p>
            <w:pPr>
              <w:spacing w:after="0"/>
              <w:rPr>
                <w:sz w:val="21"/>
                <w:szCs w:val="21"/>
                <w:color w:val="auto"/>
              </w:rPr>
            </w:pPr>
          </w:p>
        </w:tc>
        <w:tc>
          <w:tcPr>
            <w:tcW w:w="1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6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1, 2022, accounts receivable decreased by $4.9 million, or 28.5%, compared with May 2, 2021. This decrease reflects a significant decline in net sales during the fourth quarter of fiscal 2022 compared with the fourth quarter of fiscal 2021. Net sales for the fourth quarter of fiscal 2022 were $27.2 million, a decline of $8.9 million, or 24.8%, compared with net sales of $36.1 million during the fourth quarter of fiscal 2021.</w:t>
      </w:r>
    </w:p>
    <w:p>
      <w:pPr>
        <w:spacing w:after="0" w:line="149" w:lineRule="exact"/>
        <w:rPr>
          <w:sz w:val="20"/>
          <w:szCs w:val="20"/>
          <w:color w:val="auto"/>
        </w:rPr>
      </w:pPr>
    </w:p>
    <w:p>
      <w:pPr>
        <w:ind w:right="1600"/>
        <w:spacing w:after="0" w:line="453" w:lineRule="auto"/>
        <w:rPr>
          <w:sz w:val="20"/>
          <w:szCs w:val="20"/>
          <w:color w:val="auto"/>
        </w:rPr>
      </w:pPr>
      <w:r>
        <w:rPr>
          <w:rFonts w:ascii="Times New Roman" w:cs="Times New Roman" w:eastAsia="Times New Roman" w:hAnsi="Times New Roman"/>
          <w:sz w:val="18"/>
          <w:szCs w:val="18"/>
          <w:color w:val="auto"/>
        </w:rPr>
        <w:t xml:space="preserve">Days’ sales outstanding was 40 days for the fourth quarter of fiscal 2022, compared with 42 days for the fourth quarter of fiscal 2021. </w:t>
      </w:r>
      <w:r>
        <w:rPr>
          <w:rFonts w:ascii="Times New Roman" w:cs="Times New Roman" w:eastAsia="Times New Roman" w:hAnsi="Times New Roman"/>
          <w:sz w:val="18"/>
          <w:szCs w:val="18"/>
          <w:u w:val="single" w:color="auto"/>
          <w:color w:val="auto"/>
        </w:rPr>
        <w:t>Inventory</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1, 2022, inventory increased $1.7 million, or 6.4%, compared with May 2, 2021.This increase in inventory is primarily due to higher material costs. Inventory purchases and shipments of inventory were minimal during April 2022 due to the COVID-19 related shutdowns that affected our China operations throughout the month.</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turns were 3.0 during the fourth quarter of fiscal 2022, compared with 4.6 for the fourth quarter of fiscal 2021.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auto"/>
        </w:rPr>
        <w:t>Property, Plant, &amp; Equipment</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1, 2022, property, plant, and equipment increased by $535,000, or 35.8%, compared with May 2, 2021. This increase mostly represents (i) capital spending of $1.0 million that was primarily associated with the start-up of our upholstery cut and sew operation located in Haiti, partially offset by (ii) depreciation expense totaling $794,000.</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 million as of May 1, 2022, represents property, plant, and equipment of $1.0 million, $756,000, and $255,00 located in the U.S., Haiti, and China, respectively. The $1.5 million as of May 2, 2021, represents property, plant, and equipment of $1.1 million and $420,000 located in the U.S. and China,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Right of Use Assets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May 1, 2022, our right of use assets increased by $2.2 million, or 36.7%, compared with May 2, 2021. This increase mostly represents the commencement of our agreement to lease a 90,000 square foot facility located in Haiti. This facility is dedicated to the production of cut and sewn upholstery kits. The lease agreement commenced during the third quarter of fiscal 2022, has an initial lease term of eight years, and required rent payments totaling $2.8 million that were paid in advance of the commencement of the lease.</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$8.1 million as of May 1, 2022, represents right of use assets of $3.7 million, $2.6 million, and $1.8 million located in China, Haiti, and the U.S., respectively. The $5.9 million as of May 2, 2021, represents right of use assets of $5.0 million and $952,000 located in China and the U.S.,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Income Statement Categories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Twelve Months Ended</w:t>
            </w:r>
          </w:p>
        </w:tc>
        <w:tc>
          <w:tcPr>
            <w:tcW w:w="1540" w:type="dxa"/>
            <w:vAlign w:val="bottom"/>
          </w:tcPr>
          <w:p>
            <w:pPr>
              <w:spacing w:after="0"/>
              <w:rPr>
                <w:sz w:val="20"/>
                <w:szCs w:val="20"/>
                <w:color w:val="auto"/>
              </w:rPr>
            </w:pPr>
          </w:p>
        </w:tc>
      </w:tr>
      <w:tr>
        <w:trPr>
          <w:trHeight w:val="205"/>
        </w:trPr>
        <w:tc>
          <w:tcPr>
            <w:tcW w:w="6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ind w:left="140"/>
              <w:spacing w:after="0" w:line="205" w:lineRule="exact"/>
              <w:rPr>
                <w:sz w:val="20"/>
                <w:szCs w:val="20"/>
                <w:color w:val="auto"/>
              </w:rPr>
            </w:pPr>
            <w:r>
              <w:rPr>
                <w:rFonts w:ascii="Times New Roman" w:cs="Times New Roman" w:eastAsia="Times New Roman" w:hAnsi="Times New Roman"/>
                <w:sz w:val="18"/>
                <w:szCs w:val="18"/>
                <w:color w:val="auto"/>
              </w:rPr>
              <w:t>May 1,</w:t>
            </w: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430"/>
              <w:spacing w:after="0" w:line="205" w:lineRule="exact"/>
              <w:rPr>
                <w:sz w:val="20"/>
                <w:szCs w:val="20"/>
                <w:color w:val="auto"/>
              </w:rPr>
            </w:pPr>
            <w:r>
              <w:rPr>
                <w:rFonts w:ascii="Times New Roman" w:cs="Times New Roman" w:eastAsia="Times New Roman" w:hAnsi="Times New Roman"/>
                <w:sz w:val="18"/>
                <w:szCs w:val="18"/>
                <w:color w:val="auto"/>
              </w:rPr>
              <w:t>May 2,</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4"/>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20"/>
                <w:szCs w:val="20"/>
                <w:color w:val="auto"/>
              </w:rPr>
            </w:pPr>
          </w:p>
        </w:tc>
        <w:tc>
          <w:tcPr>
            <w:tcW w:w="15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6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35,415</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37,756</w:t>
            </w:r>
          </w:p>
        </w:tc>
        <w:tc>
          <w:tcPr>
            <w:tcW w:w="14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30"/>
        </w:trPr>
        <w:tc>
          <w:tcPr>
            <w:tcW w:w="6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373</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29"/>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bargain purchase</w:t>
            </w:r>
          </w:p>
        </w:tc>
        <w:tc>
          <w:tcPr>
            <w:tcW w:w="26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819</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64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1,359</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2,208</w:t>
            </w:r>
          </w:p>
        </w:tc>
        <w:tc>
          <w:tcPr>
            <w:tcW w:w="140" w:type="dxa"/>
            <w:vAlign w:val="bottom"/>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selling, general, and administrative expenses during fiscal 2022, as compared with fiscal 2021, is mostly due to lower incentive compensation expense, which includes annual bonuses and stock-based compensation, reflecting unfavorable financial results in relation to pre-established performance targets.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incurred during fiscal 2022 and 2021 reflects our historically low level and short duration of borrowings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in fiscal 2022 and fiscal 2021 mostly reflects investment income earned on our current investments of excess cash held in (i) money market funds, (ii) bond, other fixed income, and equity-related mutual funds, and (iii) investment-grade U.S. corporate, foreign, and government bonds, as well as (iv) a money market fund and equity related mutual fund investments associated with our rabbi trust that funds our deferred compensation plan.</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income is expected to decline during fiscal 2023 primarily due to the liquidation of all of our short-term investments classified as available-for-sale and corporate bonds classified as held-to-maturity during the fourth quarter of fiscal 2022.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Bargain Purchase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February 1, 2021, Culp International, a wholly-owned subsidiary of the company, acquired the remaining 50% ownership interest in CIH from its former joint venture partner. Pursuant to this transaction, we are now the sole owner with full control over CIH. The gain from bargain purchase represents the net assets acquired from this transaction that exceeded the fair value of our previously held 50% ownership interest of $1.7 million and the $954,000 total purchase price for the remaining 50% ownership interest.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See Note 2 of the consolidated financial statements for further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required to assess certain economic factors to determine the currency of the primary economic environment in which our foreign subsidiaries operate. Based on our assessments, the U.S. dollar was determined to be the functional currency of our operations located in China and Canada.</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other expense during fiscal 2022, as compared with fiscal 2021, is due mostly to more favorable foreign currency exchange rates applied against our balance sheet accounts denominated in Chinese Renminbi to determine the corresponding U.S. dollar financial reporting amounts. During fiscal 2022, we reported foreign exchange rate losses associated with our China operations of $104,000, a decrease of $1.3 million as compared to $1.4 million in foreign exchange rate losses reported during fiscal 2021. This decrease of $1.3 million was partially offset by a $450,000 realized loss on the sale of our remaining short-term available for sale and held-to-maturity investments that mostly occurred during the fourth quarter of fiscal 2021.</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significant $1.4 million foreign exchange rate loss incurred during fiscal 2021, which was mostly non-cash, was mostly offset by $1.3 million in income tax benefits, which reduced our income tax payments. These income tax benefits were associated with income tax deductible foreign exchange rate losses based on more unfavorable foreign currency exchange rates applied against balance sheet accounts denominated in U.S. dollars to determine the corresponding Chinese Renminbi local currency amounts. The foreign exchange rate losses incurred on our U.S. dollar denominated balance sheet accounts associated with our operations located in China are income tax deductible, as we incur income tax expense and pay income taxes in China’s local currency.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Effective Income Tax Rate &amp; Income Tax Expense</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income tax expense of $2.9 million, or (888.0%) of loss before income taxes, during fiscal 2022, compared with income tax expense of $7.7 million, or 70.7% of income before income taxes, during fiscal 2021.</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schedule summarizes the principal differences between income tax expense at the federal income tax rate and the effective income tax rate reflected in the consolidated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00" w:type="dxa"/>
            <w:vAlign w:val="bottom"/>
            <w:gridSpan w:val="2"/>
          </w:tcPr>
          <w:p>
            <w:pPr>
              <w:ind w:left="8180"/>
              <w:spacing w:after="0"/>
              <w:rPr>
                <w:sz w:val="20"/>
                <w:szCs w:val="20"/>
                <w:color w:val="auto"/>
              </w:rPr>
            </w:pPr>
            <w:r>
              <w:rPr>
                <w:rFonts w:ascii="Times New Roman" w:cs="Times New Roman" w:eastAsia="Times New Roman" w:hAnsi="Times New Roman"/>
                <w:sz w:val="18"/>
                <w:szCs w:val="18"/>
                <w:i w:val="1"/>
                <w:iCs w:val="1"/>
                <w:color w:val="auto"/>
              </w:rPr>
              <w:t>2022</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ind w:right="670"/>
              <w:spacing w:after="0"/>
              <w:rPr>
                <w:sz w:val="20"/>
                <w:szCs w:val="20"/>
                <w:color w:val="auto"/>
              </w:rPr>
            </w:pPr>
            <w:r>
              <w:rPr>
                <w:rFonts w:ascii="Times New Roman" w:cs="Times New Roman" w:eastAsia="Times New Roman" w:hAnsi="Times New Roman"/>
                <w:sz w:val="18"/>
                <w:szCs w:val="18"/>
                <w:i w:val="1"/>
                <w:iCs w:val="1"/>
                <w:color w:val="auto"/>
              </w:rPr>
              <w:t>2021</w:t>
            </w:r>
          </w:p>
        </w:tc>
      </w:tr>
      <w:tr>
        <w:trPr>
          <w:trHeight w:val="223"/>
        </w:trPr>
        <w:tc>
          <w:tcPr>
            <w:tcW w:w="7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income tax rate</w:t>
            </w:r>
          </w:p>
        </w:tc>
        <w:tc>
          <w:tcPr>
            <w:tcW w:w="10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(56.3)</w:t>
            </w:r>
          </w:p>
        </w:tc>
        <w:tc>
          <w:tcPr>
            <w:tcW w:w="180" w:type="dxa"/>
            <w:vAlign w:val="bottom"/>
          </w:tcPr>
          <w:p>
            <w:pPr>
              <w:spacing w:after="0"/>
              <w:rPr>
                <w:sz w:val="19"/>
                <w:szCs w:val="19"/>
                <w:color w:val="auto"/>
              </w:rPr>
            </w:pPr>
          </w:p>
        </w:tc>
        <w:tc>
          <w:tcPr>
            <w:tcW w:w="1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78.4</w:t>
            </w:r>
          </w:p>
        </w:tc>
      </w:tr>
      <w:tr>
        <w:trPr>
          <w:trHeight w:val="230"/>
        </w:trPr>
        <w:tc>
          <w:tcPr>
            <w:tcW w:w="8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effects of the 2017 Tax Cuts and Jobs Act</w:t>
            </w:r>
          </w:p>
        </w:tc>
        <w:tc>
          <w:tcPr>
            <w:tcW w:w="9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(33.8)</w:t>
            </w:r>
          </w:p>
        </w:tc>
      </w:tr>
      <w:tr>
        <w:trPr>
          <w:trHeight w:val="230"/>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intangible low taxed income tax (GILTI)</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(540.9)</w:t>
            </w:r>
          </w:p>
        </w:tc>
        <w:tc>
          <w:tcPr>
            <w:tcW w:w="180" w:type="dxa"/>
            <w:vAlign w:val="bottom"/>
          </w:tcPr>
          <w:p>
            <w:pPr>
              <w:spacing w:after="0"/>
              <w:rPr>
                <w:sz w:val="19"/>
                <w:szCs w:val="19"/>
                <w:color w:val="auto"/>
              </w:rPr>
            </w:pPr>
          </w:p>
        </w:tc>
        <w:tc>
          <w:tcPr>
            <w:tcW w:w="1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7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(206.2)</w:t>
            </w: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effects of Chinese foreign exchange gains and losses</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8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withholding taxes associated with foreign tax jurisdictions</w:t>
            </w:r>
          </w:p>
        </w:tc>
        <w:tc>
          <w:tcPr>
            <w:tcW w:w="7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(172.8)</w:t>
            </w: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uncertain income tax positions</w:t>
            </w: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105.4</w:t>
            </w:r>
          </w:p>
        </w:tc>
        <w:tc>
          <w:tcPr>
            <w:tcW w:w="180" w:type="dxa"/>
            <w:vAlign w:val="bottom"/>
          </w:tcPr>
          <w:p>
            <w:pPr>
              <w:spacing w:after="0"/>
              <w:rPr>
                <w:sz w:val="19"/>
                <w:szCs w:val="19"/>
                <w:color w:val="auto"/>
              </w:rPr>
            </w:pPr>
          </w:p>
        </w:tc>
        <w:tc>
          <w:tcPr>
            <w:tcW w:w="1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8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state income taxes</w:t>
            </w:r>
          </w:p>
        </w:tc>
        <w:tc>
          <w:tcPr>
            <w:tcW w:w="7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9"/>
                <w:szCs w:val="19"/>
                <w:color w:val="auto"/>
              </w:rPr>
            </w:pPr>
          </w:p>
        </w:tc>
        <w:tc>
          <w:tcPr>
            <w:tcW w:w="1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8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bargain purchase</w:t>
            </w:r>
          </w:p>
        </w:tc>
        <w:tc>
          <w:tcPr>
            <w:tcW w:w="9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(2)</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(35.8)</w:t>
            </w:r>
          </w:p>
        </w:tc>
        <w:tc>
          <w:tcPr>
            <w:tcW w:w="18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76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Consolidated effective income tax rate (1)</w:t>
            </w: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0"/>
        </w:trPr>
        <w:tc>
          <w:tcPr>
            <w:tcW w:w="7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500" w:hanging="492"/>
        <w:spacing w:after="0" w:line="256"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effective income tax rates for all fiscal years presented were negatively affected by the mix of consolidated (loss) income before income taxes, as significant pre-tax losses have been incurred by our U.S. operations and almost all of our taxable income was earned by our foreign operations located in China and Canada, which have higher income tax rates than the U.S. As a result, income tax expense incurred stems from taxable income from our foreign jurisdictions that exceeds our consolidated (loss) income before income taxes. Accordingly, the extent of the fluctuations in our consolidated effective income tax rates is dependent on the extent to which income tax expense incurred from our foreign operations compares with consolidated (loss) income before income taxes, which has been significantly lowered by our U.S. operations.</w:t>
      </w:r>
    </w:p>
    <w:p>
      <w:pPr>
        <w:spacing w:after="0" w:line="146"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 all periods presented represents miscellaneous adjustments that pertain to U.S permanent differences such as meals and entertainment and income tax provision to return adjustments.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GILTI</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9" w:name="page40"/>
    <w:bookmarkEnd w:id="39"/>
    <w:p>
      <w:pPr>
        <w:jc w:val="both"/>
        <w:spacing w:after="0" w:line="256" w:lineRule="auto"/>
        <w:rPr>
          <w:sz w:val="20"/>
          <w:szCs w:val="20"/>
          <w:color w:val="auto"/>
        </w:rPr>
      </w:pPr>
      <w:r>
        <w:rPr>
          <w:rFonts w:ascii="Times New Roman" w:cs="Times New Roman" w:eastAsia="Times New Roman" w:hAnsi="Times New Roman"/>
          <w:sz w:val="18"/>
          <w:szCs w:val="18"/>
          <w:color w:val="auto"/>
        </w:rPr>
        <w:t>Effective July 20, 2020, the U.S. Treasury Department finalized and enacted previously proposed regulations regarding the GILTI tax provisions of the Tax Cuts and Jobs Act of 2017 (“TCJA”). With the enactment of these final regulations, we became eligible for an exclusion from GILTI if we meet the provisions of the GILTI High-Tax exception included in these final regulations on a jurisdiction-by-jurisdiction basis. To meet the provisions of the GILTI High-Tax exception, the tested foreign entity’s effective income tax rate related to current year’s earnings must be higher than 90% of the U.S. Federal income tax rate of 21% (i.e.,18.9%). In addition, the enactment of the new regulations and the provisions for the GILTI High-Tax exception were retroactive to the original enactment of the GILTI tax provision, which included our 2019 and 2020 fiscal years.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we met the requirements for the GILTI High-Tax exception for our 2019 and 2020 fiscal years, we recorded a non-cash income tax benefit of $3.6 million resulting from the re-establishment of certain U.S. federal net operating loss carryforwards. This $3.6 million income tax benefit was recorded as a discrete event in which its full income tax effects were recorded during the first quarter of fiscal 2021.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2022</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did not meet the GILTI High-Tax exception for the 2021 tax year regarding our operations located in China. This was due primarily to significant income tax deductible foreign exchange losses that significantly lowered income tax expense associated with current year’s earnings. As a result, the current effective income tax rate was lower than the required 18.9% current effective income tax rate to meet the GILTI High-Tax exception. Consequently, we incurred a non-cash income tax charge of $1.8 million, which charge was fully offset by a $1.8 million non-cash income tax benefit due to a corresponding reversal of our full valuation allowance associated with our U.S. net deferred income tax assets.</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expect to meet the GILTI High-Tax exception for the 2022 tax year regarding our foreign operations located in Canada and Haiti. With regard to Canada, we placed several significant capital projects into service during fiscal 2022, and therefore, are eligible for a significant amount of deductible accelerated depreciation. As a result, our current year’s income tax expense is much lower than prior fiscal years, and therefore, our current effective income tax rate is expected to be lower than the required 18.9% current effective income tax rate to meet the GILTI High-Tax exception. For our operations in Haiti, taxable income or losses are not subject to income tax, as we are in an economic zone that permits a 0% income tax rate for the first fifteen years of operations, for which we have ten years remaining. Since our operations located in Haiti are not subject to income tax, our projected current effective income tax rate of 0% will be lower than the required 18.9% current effective income tax rate to meet the GILTI High-Tax exception. Although our operations located in Canada and Haiti did not meet the GILTI High-Tax exception, we did not incur any GILTI tax for the 2022 tax year, as the losses subject to GILTI tax from our Haitian operations exceeded the income subject to GILTI tax from our Canadian operation.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Income Taxes – Valuation Allowance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the realizability of our deferred income taxes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the U.S. tax law change relating to the GILTI tax provisions of the TCJA, we assessed the need for an additional valuation allowance against our U.S. net deferred income taxes as of the end of the first quarter of fiscal 2021. GILTI represented a significant source of our U.S. taxable income during fiscal 2019 and 2020 that offset our U.S. pre-tax losses during such years, and which offset was reversed because of the retroactivity of the new GILTI regulations. Consequently, due to the retroactivity of the new regulations, we experienced a recent history of cumulative U.S. taxable losses during the last two fiscal years, and we expected at the time of this assessment that our history of U.S. pre-tax losses would continue into fiscal 2021. As a result of the significant weight of this negative evidence, we believed that it was more-likely-than-not that our U.S. deferred income taxes would not be fully realizable. Accordingly, we recorded a non-cash income tax charge of $7.0 million to provide for a full valuation allowance against our U.S. net deferred income tax assets. This $7.0 million income tax charge was recorded as a discrete event in which its full income tax effects were recorded during the first quarter of fiscal 2021.</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May 1, 2022, we evaluated the realizability of our U.S. net deferred income tax assets to determine if a full valuation allowance was still required. Based on our assessment, we determined we still have a recent history of significant cumulative U.S. taxable losses, in that we experienced U.S. taxable losses during each of the last three fiscal years. In addition, we are currently expecting U.S. taxable losses to continue into fiscal 2023. As a result of the significant weight of this negative evidence, we believe it is more-likely-than-not that our U.S. net deferred income tax assets will not be fully realizable, and therefore we provided for a full valuation allowance against our U.S. net deferred income tax assets totaling $11.9 million as of May 1, 2022.</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12 of the consolidated financial statements for additional disclosures regarding the valuation allowance against our U.S. net deferred income taxes.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auto"/>
        </w:rPr>
        <w:t>Deferred Income Taxes – Undistributed Earnings from Foreign Subsidiaries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assess (i) whether the undistributed earnings from our foreign subsidiaries will be reinvested indefinitely or eventually distributed to our U.S. parent company, and (ii) if we are required to a record a deferred income tax liability for undistributed earnings from foreign subsidiaries that will not be reinvested indefinitely. As of May 1, 2022, we assessed the liquidity requirements of our U.S. parent company and determined that our undistributed earnings from our foreign subsidiaries would not be reinvested indefinitely and therefore, would be eventually distributed to our U.S. parent company. The conclusion reached from our assessment is consistent with prior years. Accordingly, as of May 1, 2022, we recorded a deferred income tax liability associated with our undistributed earnings from foreign subsidiaries of $3.6 million.</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12 of the consolidated financial statements for additional disclosures regarding our deferred income tax liability associated with the undistributed earnings from our foreign subsidiaries.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Uncertainty in Income Taxes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unrecognized income tax benefit for an uncertain income tax position can be recognized in the first interim period if the more-likely-than-not recognition threshold is met by the end of the reporting period, if the position is effectively settled through examination, negotiation, or litigation, or if the statute of limitations for the relevant taxing authority to examine and challenge the tax position has expired. If it is determined that any of the above conditions occur regarding our uncertain income tax positions, an adjustment to our unrecognized income tax benefit will be recorded at that time.</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1, 2022, we had a $1.1 million total gross unrecognized income tax benefit that relates to double taxation under applicable income tax treaties with foreign tax jurisdictions. At this time, significant change associated with this income tax benefit is not expected within the next fiscal year.</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 federal and state income tax returns filed by us remain subject to examination for income tax years 2019 and subsequent. Canadian federal income tax returns filed by us remain subject to examination for income tax years 2018 and subsequent. Canadian provincial (Quebec) income tax returns filed by us remain subject to examination for income tax years 2018 and subsequent. Income tax returns associated with our operations located in China are subject to examination for income tax year 2017 and subsequent.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12 of the consolidated financial statements for disclosures and additional information regarding our uncertain income tax positions.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 Paid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income taxes paid (refunded) by jurisdiction:</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20" w:type="dxa"/>
            <w:vAlign w:val="bottom"/>
          </w:tcPr>
          <w:p>
            <w:pPr>
              <w:spacing w:after="0"/>
              <w:rPr>
                <w:sz w:val="20"/>
                <w:szCs w:val="20"/>
                <w:color w:val="auto"/>
              </w:rPr>
            </w:pPr>
          </w:p>
        </w:tc>
        <w:tc>
          <w:tcPr>
            <w:tcW w:w="1280" w:type="dxa"/>
            <w:vAlign w:val="bottom"/>
          </w:tcPr>
          <w:p>
            <w:pPr>
              <w:jc w:val="right"/>
              <w:ind w:right="590"/>
              <w:spacing w:after="0"/>
              <w:rPr>
                <w:sz w:val="20"/>
                <w:szCs w:val="20"/>
                <w:color w:val="auto"/>
              </w:rPr>
            </w:pPr>
            <w:r>
              <w:rPr>
                <w:rFonts w:ascii="Times New Roman" w:cs="Times New Roman" w:eastAsia="Times New Roman" w:hAnsi="Times New Roman"/>
                <w:sz w:val="18"/>
                <w:szCs w:val="18"/>
                <w:i w:val="1"/>
                <w:iCs w:val="1"/>
                <w:color w:val="auto"/>
              </w:rPr>
              <w:t>2022</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610"/>
              <w:spacing w:after="0"/>
              <w:rPr>
                <w:sz w:val="20"/>
                <w:szCs w:val="20"/>
                <w:color w:val="auto"/>
              </w:rPr>
            </w:pPr>
            <w:r>
              <w:rPr>
                <w:rFonts w:ascii="Times New Roman" w:cs="Times New Roman" w:eastAsia="Times New Roman" w:hAnsi="Times New Roman"/>
                <w:sz w:val="18"/>
                <w:szCs w:val="18"/>
                <w:i w:val="1"/>
                <w:iCs w:val="1"/>
                <w:color w:val="auto"/>
              </w:rPr>
              <w:t>2021</w:t>
            </w:r>
          </w:p>
        </w:tc>
      </w:tr>
      <w:tr>
        <w:trPr>
          <w:trHeight w:val="205"/>
        </w:trPr>
        <w:tc>
          <w:tcPr>
            <w:tcW w:w="770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United States Federal - Alternative Minimum Tax</w:t>
            </w:r>
          </w:p>
        </w:tc>
        <w:tc>
          <w:tcPr>
            <w:tcW w:w="1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r>
      <w:tr>
        <w:trPr>
          <w:trHeight w:val="234"/>
        </w:trPr>
        <w:tc>
          <w:tcPr>
            <w:tcW w:w="78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(AMT) credit refunds (1)</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w:t>
            </w:r>
          </w:p>
        </w:tc>
      </w:tr>
      <w:tr>
        <w:trPr>
          <w:trHeight w:val="230"/>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Federal - transition tax</w:t>
            </w:r>
          </w:p>
        </w:tc>
        <w:tc>
          <w:tcPr>
            <w:tcW w:w="32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226</w:t>
            </w:r>
          </w:p>
        </w:tc>
      </w:tr>
      <w:tr>
        <w:trPr>
          <w:trHeight w:val="230"/>
        </w:trPr>
        <w:tc>
          <w:tcPr>
            <w:tcW w:w="7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China - Income Taxes</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2,036</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2,076</w:t>
            </w:r>
          </w:p>
        </w:tc>
      </w:tr>
      <w:tr>
        <w:trPr>
          <w:trHeight w:val="211"/>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 - Withholding Taxes Associated with Earnings</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and Profits Distribution to U.S. Parent</w:t>
            </w:r>
          </w:p>
        </w:tc>
        <w:tc>
          <w:tcPr>
            <w:tcW w:w="32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487</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798</w:t>
            </w:r>
          </w:p>
        </w:tc>
      </w:tr>
      <w:tr>
        <w:trPr>
          <w:trHeight w:val="230"/>
        </w:trPr>
        <w:tc>
          <w:tcPr>
            <w:tcW w:w="7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Canada - Income Taxes</w:t>
            </w:r>
          </w:p>
        </w:tc>
        <w:tc>
          <w:tcPr>
            <w:tcW w:w="3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1,408</w:t>
            </w:r>
          </w:p>
        </w:tc>
      </w:tr>
      <w:tr>
        <w:trPr>
          <w:trHeight w:val="223"/>
        </w:trPr>
        <w:tc>
          <w:tcPr>
            <w:tcW w:w="7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3,100</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2,998</w:t>
            </w:r>
          </w:p>
        </w:tc>
      </w:tr>
      <w:tr>
        <w:trPr>
          <w:trHeight w:val="20"/>
        </w:trPr>
        <w:tc>
          <w:tcPr>
            <w:tcW w:w="7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500" w:hanging="492"/>
        <w:spacing w:after="0" w:line="266"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provisions of the TCJA, we elected to treat our prior AMT credit carryforward balance of $1.5 million as refundable. We received refunds totaling $1.5 million in two separate installments totaling $746,000 and $764,000 during the first and second quarters of fiscal 2021,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 Liquidity</w:t>
      </w: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currently projecting annual cash income tax payments of approximately $3.2 million for fiscal 2023, compared with $3.1 million and $3.0 million for fiscal 2022 and 2021, respectively. Our estimated cash income tax payments for fiscal 2023 are management’s current projections only and can be affected by actual earnings from our foreign subsidiaries located in China and Canada versus annual projections, changes in the foreign exchange rates associated with our operations located in China in relation to the U.S. dollar, and the timing of when significant capital projects will be placed into service, which determines the deductibility of accelerated depreciation.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currently do not expect to incur any income taxes in the U.S. on a cash basis during fiscal 2023 due to (i) the immediate expensing of U.S. capital expenditures, and (ii) our existing U.S. federal net operating loss carryforwards. In accordance with the TCJA, we will be required to pay annual U.S. federal transition tax payments as follows: FY 2023 - $264,000; FY 2024 - $499,000; FY 2025- $665,000; and FY 2026 - $831,000.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2021 compared with 2020</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comparison of our results of operations for the fiscal years ended May 2, 2021, and May 3, 2020, see “Part II, Item 7. Management’s Discussion and Analysis of Financial Condition and Results of Operations” of our annual report on Form 10-K for the fiscal year ended May 2, 2021, filed with the SEC on July 16,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Overall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Currently, our sources of liquidity include cash and cash equivalents, cash flow from operations, and amounts available under our revolving credit lines. These sources have been adequate for day-to-day operations, capital expenditures, debt payments, common stock repurchases, and dividend payments. We believe our cash and cash equivalents of $14.6 million as of May 1, 2022, cash flow from operations, and the current availability under our revolving credit lines will be sufficient to fund our foreseeable business needs, commitments, and contractual obligations.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1, 2022, our cash and cash equivalents, short-term investments (available for sale), and short-term and long-term investments (held-to-maturity) (collectively “cash and investments’) totaled $14.6 million compared with $46.9 million as of May 2, 2021.</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our cash and investments from the end of fiscal 2021 was mostly due to (i) $5.7 million of capital expenditures primarily related to equipment associated with our mattress fabrics segment, our innovation campus located in downtown High Point, NC, and new equipment associated with information technology, (ii) cash payments totaling $5.5 million for regular quarterly dividend payments to shareholders, (iii) common stock repurchases totaling $1.8 million, (iv) $1.1 million of contributions to our rabbi trust that funds our deferred compensation plan, and (v) net cash used in operating activities totaling $17.4 million.</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net cash used in operating activities was $17.4 million during fiscal 2022, compared with net cash provided by operating activities of $21.5 million during fiscal 2021. This difference was due mostly to (i) a net increase in cash that was generated during fiscal 2021 due to a significant surge in customer demand as a result of the focus-on-the-home trend that occurred as businesses began to re-open coming out of pandemic-related closures, which such surge did not recur during fiscal 2022; (ii) a decrease in accounts payable due to the significant decrease in net sales during the fourth quarter of fiscal 2022 compared with the fourth quarter of fiscal 2021, as noted above, and due to our return to normal credit terms with our vendors, as opposed to the extended terms previously granted in response to the COVID-19 pandemic; (iii) an increase in inventory due to higher material costs, as well as an increase in inventory purchases to protect against supply chain disruption and support our customers; (iv) a decrease in accrued expenses primarily due to annual incentive bonus compensation paid during the first quarter of fiscal 2022; (v) $1.9 million in payments for the new building lease and start-up expenses associated with our upholstery fabrics cut and sew operation located in Haiti; partially offset by (vi) a decrease in accounts receivable related to the decrease in net sales during the fourth quarter of fiscal 2022 compared with the fourth quarter of fiscal 2021, as noted above, and due to our customers’ return to normal credit terms, rather than the extended terms previously granted in response to the COVIVD-19 pandemic.</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1, 2022, there were no outstanding borrowings under our lines of credit.</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The income taxes we pay also affect our liquidity. See the above section titled “</w:t>
      </w:r>
      <w:r>
        <w:rPr>
          <w:rFonts w:ascii="Times New Roman" w:cs="Times New Roman" w:eastAsia="Times New Roman" w:hAnsi="Times New Roman"/>
          <w:sz w:val="18"/>
          <w:szCs w:val="18"/>
          <w:i w:val="1"/>
          <w:iCs w:val="1"/>
          <w:color w:val="auto"/>
        </w:rPr>
        <w:t>Income Taxes Paid</w:t>
      </w:r>
      <w:r>
        <w:rPr>
          <w:rFonts w:ascii="Times New Roman" w:cs="Times New Roman" w:eastAsia="Times New Roman" w:hAnsi="Times New Roman"/>
          <w:sz w:val="18"/>
          <w:szCs w:val="18"/>
          <w:color w:val="auto"/>
        </w:rPr>
        <w:t>” of this Item 7 – MANAGEMENT’S DISCUSSION AND ANALYSIS OF FINANCIAL CONDITION for further details.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2" w:name="page43"/>
    <w:bookmarkEnd w:id="42"/>
    <w:p>
      <w:pPr>
        <w:jc w:val="both"/>
        <w:spacing w:after="0" w:line="261" w:lineRule="auto"/>
        <w:rPr>
          <w:sz w:val="20"/>
          <w:szCs w:val="20"/>
          <w:color w:val="auto"/>
        </w:rPr>
      </w:pPr>
      <w:r>
        <w:rPr>
          <w:rFonts w:ascii="Times New Roman" w:cs="Times New Roman" w:eastAsia="Times New Roman" w:hAnsi="Times New Roman"/>
          <w:sz w:val="18"/>
          <w:szCs w:val="18"/>
          <w:color w:val="auto"/>
        </w:rPr>
        <w:t>Our cash and cash equivalents may be adversely affected by factors beyond our control, such as (i) recent customer demand trends, (ii) supply chain disruptions, (iii) rising interest rates and inflation, (iv) world events (including the Russian-Ukraine war), and (v) the continuing uncertainty associated with COVID-19. These factors could cause delays in receipt of payment on accounts receivable and could increase inventory purchases to protect against supply chain disruptions and inflation.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By Geographic Area</w:t>
            </w: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92"/>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our cash and investments by geographic area follows:</w:t>
            </w: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66"/>
        </w:trPr>
        <w:tc>
          <w:tcPr>
            <w:tcW w:w="7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May 1,</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i w:val="1"/>
                <w:iCs w:val="1"/>
                <w:color w:val="auto"/>
              </w:rPr>
              <w:t>May 2,</w:t>
            </w:r>
          </w:p>
        </w:tc>
      </w:tr>
      <w:tr>
        <w:trPr>
          <w:trHeight w:val="236"/>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2022</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Times New Roman" w:cs="Times New Roman" w:eastAsia="Times New Roman" w:hAnsi="Times New Roman"/>
                <w:sz w:val="18"/>
                <w:szCs w:val="18"/>
                <w:i w:val="1"/>
                <w:iCs w:val="1"/>
                <w:color w:val="auto"/>
              </w:rPr>
              <w:t>2021</w:t>
            </w: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4,430</w:t>
            </w: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34,465</w:t>
            </w:r>
          </w:p>
        </w:tc>
      </w:tr>
      <w:tr>
        <w:trPr>
          <w:trHeight w:val="230"/>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04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9,502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10,635</w:t>
            </w:r>
          </w:p>
        </w:tc>
      </w:tr>
      <w:tr>
        <w:trPr>
          <w:trHeight w:val="229"/>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Canada</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267</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1,525</w:t>
            </w:r>
          </w:p>
        </w:tc>
      </w:tr>
      <w:tr>
        <w:trPr>
          <w:trHeight w:val="230"/>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Haiti</w:t>
            </w:r>
          </w:p>
        </w:tc>
        <w:tc>
          <w:tcPr>
            <w:tcW w:w="104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220</w:t>
            </w:r>
          </w:p>
        </w:tc>
      </w:tr>
      <w:tr>
        <w:trPr>
          <w:trHeight w:val="229"/>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10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6"/>
              </w:rPr>
              <w:t>14,550</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46,853</w:t>
            </w: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Program</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29, 2022, our board of directors announced the decision to suspend the company’s quarterly cash dividend. Considering the current and expected macroeconomic conditions, we believe that preserving capital and managing liquidity is in the company’s best interest to support future growth and the long-term interests of our shareholders.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2022, dividend payments totaled $5.5 million, which represented quarterly dividend payments ranging from $0.11 per share to $0.115 per share. During fiscal 2021, dividend payments totaled $5.3 million, which represented quarterly dividend payments ranging from $0.105 per share to $0.11 per share.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Repurchases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and timing of share purchases are based on working capital requirements, market and general business conditions, and other factors, including alternative investment opportunities.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2022, we repurchased 121,688 shares of our common stock at a cost of $1.8 million. As a result, as of May 1, 2022, $3.2 million is available for additional repurchases of our common stock. Despite the current share repurchase authorization, the company does not expect to repurchase any shares through at least the first quarter of fiscal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2021, we did not repurchase any shares of common stock.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Working Capital</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working capital (accounts receivable and inventories, less deferred revenue, accounts payable-trade, and capital expenditures) was $67.7 million as of May 1, 2022, compared with $50.2 million as of May 2, 2021. Operating working capital turnover was 5.2 during the fourth quarter of fiscal 2022 compared with 6.4 during the fourth quarter fiscal 2021.</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as of May 1, 2022, were $22.2 million, a decrease of $15.5 million, or 41.1%, compared with $37.7 million as of May 2, 2021. This decrease reflects a significant decline in net sales during the fourth quarter of fiscal 2022 compared with the fourth quarter of fiscal 2021. Net sales for the fourth quarter of fiscal 2022 were $56.9 million, a decline of $22.1 million, or 28.0%, compared with net sales of $79.1 million during the fourth quarter of fiscal 2021. In addition, the decrease in accounts receivable reflects improved cash collections during the fourth quarter of fiscal 2022 compared with the fourth quarter of fiscal 2021, as more customers associated with our mattress fabrics segment took advantage of cash discounts during the fourth quarter of fiscal 2022 compared with the fourth quarter of fiscal 2021.</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sales outstanding was 35 days for the fourth quarter of fiscal 2022, as compared with 43 days for the fourth quarter of fiscal 2021.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as of May 1, 2022, were $66.6 million, an increase of $10.6 million, or 19.0%, compared with $55.9 million as of May 2, 2021. This increase is primarily associated with our mattress fabrics segment and represents higher raw material costs, as well as an increase in inventory purchases to protect against supply chain disruption and support our customers.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Payable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payable - trade was $20.1 million as of May 1, 2022, a decrease of $22.4 million, or 52.8%, compared with $42.5 million as of May 2, 2021. This decrease in accounts payable - trade represents a decline in accounts payable due to the significant decrease in net sales during the fourth quarter of fiscal 2022 compared with the fourth quarter of fiscal 2021. It also reflects our return to normal credit terms with our vendors, as opposed to the extended terms previously granted in response to the COVID-19 pandemic.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Arrangements, Commitments and Contingencies, and Contractual Obligations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adopted the amendment to Item 303 of Regulation S-K and, accordingly, is no longer required to provide a contractual obligation table. However, please refer to the descriptions of our financing arrangements, commitments and contingencies, and contractual obligations outlined below and the applicable Note references to our consolidated financial statements noted below for disclosure of the cash requirements associated with these items.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Agreements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we have revolving credit agreements with banks for our U.S. parent company and our operations located in China.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1, 2022, we did not have any outstanding borrowings associated with our revolving credit agreements.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loan agreements require, among other things, that we maintain compliance with certain financial covenants. As of May 1, 2022, we were in compliance with these financial covenants.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11 of the consolidated financial statements for further disclosure regarding our revolving credit agreements.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13 of the consolidated financial statements for disclosure of our lease obligations, which includes a five-year maturity schedule.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1, 2022, and May 2, 2021, we had total amounts due regarding capital expenditures totaling $473,000 and $348,000, respectively, which pertained to outstanding vendor invoices, none of which were financed.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Income Tax Positions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May 1, 2022, we had $1.1 million of total gross unrecognized tax benefits, which primarily relate to double taxation under applicable income tax treaties with foreign tax jurisdictions. The outcome of these income tax uncertainties is dependent upon various matters including tax examinations, legal proceedings, competent authority proceedings, changes in regulatory tax laws, or interpretations of those tax laws, or expiration of statutes of limitation. As a result of these inherent uncertainties, we cannot reasonably estimate the timing of payment on this amount, if 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 and Depreciation Expense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expenditures on a cash basis were $5.7 million during fiscal 2022, compared with $6.7 million during fiscal 2021. Capital expenditures for fiscal 2022 primarily related to equipment associated with our mattress fabrics segment, our innovation campus located in downtown High Point, NC, and new equipment associated with information technology. Capital expenditures for fiscal 2021 mostly related to our mattress fabrics segment.</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was $7.0 million during fiscal 2022, compared with $6.8 million during fiscal 2021. Depreciation expense for fiscal 2022 and 2021 mostly related to our mattress fabrics segment.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fiscal 2023, cash capital expenditures are expected to focus primarily on critical maintenance level capital spending centered on our mattress fabrics segment. Funding for capital expenditures is expected to be primarily from cash provided by operating activities.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Handling Costs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 warehousing costs in SG&amp;A expenses. These costs were $4.3 million during fiscal 2022 and $3.9 million during fiscal 2021. Warehousing costs include the operating expenses of our various finished goods distribution centers, such as personnel costs, utilities, building rent and material handling equipment, and lease expense. Had these costs been included in cost of sales, gross profit would have been $31.8 million, or 10.8% of net sales, during fiscal 2022, and $45.9 million, or 15.3% of net sales, during fiscal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significant increase in our raw material costs, utility/energy costs, and general economic inflation could have a material adverse impact on the company, because competitive conditions have limited our ability to pass significant operating increases on to customers.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generally accepted accounting principles require us to make estimates and assumptions that affect our reported amounts in the consolidated financial statements and accompanying notes. Our estimates are based on (i) currently known facts and circumstances, (ii) prior experience, (iii) assessments of probability, (iv) forecasted financial information, and (v) assumptions that management believes to be reasonable but that are inherently uncertain and unpredictable. We use our best judgment when measuring these estimates, and if warranted, use external advice. Due to the uncertain and unpredictable nature of our estimates, actual results could differ from the estimates that were previously reported in our consolidated financial statements.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1, 2022, we believe the following list represents our critical accounting estimates that have or are reasonably likely to have a material effect on our financial condition or results of operations. For a discussion of all our significant accounting policies, including our critical accounting policies, refer to Note 1 of the consolidated financial statements.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Valuation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as a “make-to-order” and “make-to-stock” business. Although management closely monitors demand in each product to decide which patterns and styles to hold in inventory, the availability of low-cost imported products and shifts in consumer preferences and styles subject the company to markdowns of inventory.</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continually examines inventory to determine if there are indicators that the carrying value exceeds its net realizable value. Historical experience has shown that the most significant indicator that would require inventory markdowns is the age of the inventory and the planned discontinuance of certain fabric patterns. As a result, we provide inventory valuation markdowns based upon set percentages for inventory aging categories of six, nine, twelve, and fifteen-months that are determined based on historical experience and judgment. Also, we provide inventory valuation write-downs based on the planned discontinuation of certain products based on current market values at the time of assessment compared with their current carrying values. While management believes that adequate markdowns for inventory have been made in the consolidated financial statements, significant unanticipated changes in demand or changes in consumer tastes and preferences could result in additional inventory markdowns in the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1, 2022, and May 2, 2021, the reserve for inventory markdowns was $7.3 million and $6.1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 Valuation Allowance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the realizability of our deferred income taxes to determine if a valuation allowance is required. We are required to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determine if a valuation allowance is required or needs to be subsequently reversed, we use significant judgment when considering the effect of all positive and negative evidence identified and giving weight to that evidence. The weight given to the potential effect of positive and negative evidence is based on the extent to which it can be objectively verified. Our judgments are often based on estimates that are derived from (i) forecasted financial information, (ii) assumptions on when certain taxable or deductible events will occur, and (iii) interpretation of complex income tax laws and regulations.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1, 2022, we recorded a full valuation allowance against all our U.S. net deferred income tax assets totaling $11.9 million.</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12 of the consolidated financial statements for additional disclosures regarding our assessments and conclusions reached regarding our valuation allowance as of May 1,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required to recognize compensation expense for all stock-based compensation awards in the financial statements, with the cost measured at the grant date fair value.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Compensation expense for performance-based restricted stock units is recognized based on an assessment each reporting period of the probability of whether or not certain performance targets will be met and how many shares are expected to be earned as of the end of the vesting period. If certain targets are not expected to be achieved, compensation expense will not be recorded, and any previously recognized compensation expense will be reversed. Determining the probability of the vesting of our performance-based restricted stock units requires judgment, including assumptions used to forecast future financial results. While our forecasts of future financial results represent management’s best estimates, these involve inherent uncertainties. As a result, if we revised our assumptions and estimates during the vesting period, our stock-based compensation expense could be materially different than previously expected.</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estimate the fair value of our performance-based restricted stock units that have a market condition using a Monte Carlo valuation model. The Monte Carlo valuation model incorporates inputs and complex assumptions that include (i) the closing price of our common stock at the respective grant date, (ii) expected volatility of our common stock, (iii) expected volatility and correlation coefficient of our peer companies that are approved by the Compensation Committee of our board of directors, (iv) risk-free interest rate, and (v) dividend yield. The determination of the inputs and complex assumptions used, and the application of the Monte Carlo valuation model, requires significant judgment by management and advice from an external advisor.</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$1.1 million, $1.3 million, and $614,000 of compensation expense within selling, general, and administrative expense for our equity-based awards in fiscal 2022, 2021, and 2020,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New Accounting Pronouncements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 of the consolidated financial statements for recently adopted accounting pronouncements for fiscal 2022.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 of the consolidated financial statements for recently issued accounting pronouncements for fiscal 2023 and beyond.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MARKET RISK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market risk from changes in interest rates on our revolving credit agreements.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May 1, 2022, our existing U.S. revolving credit agreement required interest to be charged at a rate (applicable interest rate of 2.40%) as a variable spread over LIBOR based on the company’s ratio of debt to EBITDA as defined in the existing U.S. revolving credit agreement. As of May 1, 2022, there were no borrowings outstanding under our U.S. revolving credit agreement. Effective June 24, 2022, we entered into an amended and restated U.S. revolving credit agreement that requires interest to be charged at a rate that is calculated using an applicable margin over the Federal Reserve Bank of New York’s secured overnight fund rate (SOFR) as defined in the amended and restated U.S. revolving credit agreement.</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revolving credit lines associated with our operations located in China bear interest at a rate determined by the Chinese government at the time of borrowing. As of May 1, 2022, there were no borrowings outstanding under our revolving credit agreements associated with our operations located in China.</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market risk from changes in the value of foreign currencies for our subsidiaries domiciled in Canada and China. We try to maintain a natural hedge by keeping a balance of our assets and liabilities denominated in the local currency of our subsidiaries domiciled in Canada and China. However, there is no assurance that we will be able to continually maintain this natural hedge. Our foreign subsidiaries use the U.S. dollar as their functional currency. A substantial portion of the company’s imports purchased outside the U.S. are denominated in U.S. dollars. A 10% change in the above exchange rates as of May 1, 2022, would not have materially affected our results of operations or financial position.</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SUPPLEMENTARY DATA</w:t>
      </w:r>
    </w:p>
    <w:p>
      <w:pPr>
        <w:spacing w:after="0" w:line="20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Culp,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Culp, Inc. (a North Carolina corporation) and subsidiaries (the “Company”) as of May 1, 2022, and May 2, 2021, the related consolidated statements of net (loss) income, comprehensive (loss) income, changes in shareholders’ equity, and cash flows for each of the three years in the period ended May 1, 2022, and the related notes (collectively referred to as the “financial statements”). In our opinion, the financial statements present fairly, in all material respects, the financial position of the Company as of May 1, 2022, and May 2, 2021, and the results of its operations and its cash flows for each of the three years in the period ended May 1, 2022, in conformity with accounting principles generally accepted in the United States of America.</w:t>
      </w:r>
    </w:p>
    <w:p>
      <w:pPr>
        <w:spacing w:after="0" w:line="1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May 1, 2022,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July 15, 2022, expressed an unqualified opinion.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15, 2022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 except per share data and preferred and common stock shares)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May 1, 2022, and May 2, 2021</w:t>
            </w:r>
          </w:p>
        </w:tc>
        <w:tc>
          <w:tcPr>
            <w:tcW w:w="360" w:type="dxa"/>
            <w:vAlign w:val="bottom"/>
          </w:tcPr>
          <w:p>
            <w:pPr>
              <w:spacing w:after="0"/>
              <w:rPr>
                <w:sz w:val="18"/>
                <w:szCs w:val="18"/>
                <w:color w:val="auto"/>
              </w:rPr>
            </w:pPr>
          </w:p>
        </w:tc>
        <w:tc>
          <w:tcPr>
            <w:tcW w:w="1320" w:type="dxa"/>
            <w:vAlign w:val="bottom"/>
          </w:tcPr>
          <w:p>
            <w:pPr>
              <w:jc w:val="right"/>
              <w:ind w:right="66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663"/>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172"/>
        </w:trPr>
        <w:tc>
          <w:tcPr>
            <w:tcW w:w="7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60" w:type="dxa"/>
            <w:vAlign w:val="bottom"/>
            <w:tcBorders>
              <w:top w:val="single" w:sz="8" w:color="CFF0FC"/>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134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current assets:</w:t>
            </w: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6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14,550</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color w:val="auto"/>
              </w:rPr>
              <w:t>37,009</w:t>
            </w:r>
          </w:p>
        </w:tc>
        <w:tc>
          <w:tcPr>
            <w:tcW w:w="0" w:type="dxa"/>
            <w:vAlign w:val="bottom"/>
          </w:tcPr>
          <w:p>
            <w:pPr>
              <w:spacing w:after="0"/>
              <w:rPr>
                <w:sz w:val="1"/>
                <w:szCs w:val="1"/>
                <w:color w:val="auto"/>
              </w:rPr>
            </w:pPr>
          </w:p>
        </w:tc>
      </w:tr>
      <w:tr>
        <w:trPr>
          <w:trHeight w:val="175"/>
        </w:trPr>
        <w:tc>
          <w:tcPr>
            <w:tcW w:w="772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short-term investments - available for sale</w:t>
            </w:r>
          </w:p>
        </w:tc>
        <w:tc>
          <w:tcPr>
            <w:tcW w:w="360" w:type="dxa"/>
            <w:vAlign w:val="bottom"/>
          </w:tcPr>
          <w:p>
            <w:pPr>
              <w:spacing w:after="0"/>
              <w:rPr>
                <w:sz w:val="15"/>
                <w:szCs w:val="15"/>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5,542</w:t>
            </w:r>
          </w:p>
        </w:tc>
        <w:tc>
          <w:tcPr>
            <w:tcW w:w="0" w:type="dxa"/>
            <w:vAlign w:val="bottom"/>
          </w:tcPr>
          <w:p>
            <w:pPr>
              <w:spacing w:after="0"/>
              <w:rPr>
                <w:sz w:val="1"/>
                <w:szCs w:val="1"/>
                <w:color w:val="auto"/>
              </w:rPr>
            </w:pPr>
          </w:p>
        </w:tc>
      </w:tr>
      <w:tr>
        <w:trPr>
          <w:trHeight w:val="176"/>
        </w:trPr>
        <w:tc>
          <w:tcPr>
            <w:tcW w:w="77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short-term investments - held to maturity</w:t>
            </w:r>
          </w:p>
        </w:tc>
        <w:tc>
          <w:tcPr>
            <w:tcW w:w="36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color w:val="auto"/>
              </w:rPr>
              <w:t>3,161</w:t>
            </w:r>
          </w:p>
        </w:tc>
        <w:tc>
          <w:tcPr>
            <w:tcW w:w="0" w:type="dxa"/>
            <w:vAlign w:val="bottom"/>
          </w:tcPr>
          <w:p>
            <w:pPr>
              <w:spacing w:after="0"/>
              <w:rPr>
                <w:sz w:val="1"/>
                <w:szCs w:val="1"/>
                <w:color w:val="auto"/>
              </w:rPr>
            </w:pPr>
          </w:p>
        </w:tc>
      </w:tr>
      <w:tr>
        <w:trPr>
          <w:trHeight w:val="175"/>
        </w:trPr>
        <w:tc>
          <w:tcPr>
            <w:tcW w:w="772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accounts receivable, net</w:t>
            </w:r>
          </w:p>
        </w:tc>
        <w:tc>
          <w:tcPr>
            <w:tcW w:w="360" w:type="dxa"/>
            <w:vAlign w:val="bottom"/>
          </w:tcPr>
          <w:p>
            <w:pPr>
              <w:spacing w:after="0"/>
              <w:rPr>
                <w:sz w:val="15"/>
                <w:szCs w:val="15"/>
                <w:color w:val="auto"/>
              </w:rPr>
            </w:pPr>
          </w:p>
        </w:tc>
        <w:tc>
          <w:tcPr>
            <w:tcW w:w="132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22,226</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37,726</w:t>
            </w:r>
          </w:p>
        </w:tc>
        <w:tc>
          <w:tcPr>
            <w:tcW w:w="0" w:type="dxa"/>
            <w:vAlign w:val="bottom"/>
          </w:tcPr>
          <w:p>
            <w:pPr>
              <w:spacing w:after="0"/>
              <w:rPr>
                <w:sz w:val="1"/>
                <w:szCs w:val="1"/>
                <w:color w:val="auto"/>
              </w:rPr>
            </w:pPr>
          </w:p>
        </w:tc>
      </w:tr>
      <w:tr>
        <w:trPr>
          <w:trHeight w:val="176"/>
        </w:trPr>
        <w:tc>
          <w:tcPr>
            <w:tcW w:w="77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inventories</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66,557</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color w:val="auto"/>
              </w:rPr>
              <w:t>55,917</w:t>
            </w:r>
          </w:p>
        </w:tc>
        <w:tc>
          <w:tcPr>
            <w:tcW w:w="0" w:type="dxa"/>
            <w:vAlign w:val="bottom"/>
          </w:tcPr>
          <w:p>
            <w:pPr>
              <w:spacing w:after="0"/>
              <w:rPr>
                <w:sz w:val="1"/>
                <w:szCs w:val="1"/>
                <w:color w:val="auto"/>
              </w:rPr>
            </w:pPr>
          </w:p>
        </w:tc>
      </w:tr>
      <w:tr>
        <w:trPr>
          <w:trHeight w:val="176"/>
        </w:trPr>
        <w:tc>
          <w:tcPr>
            <w:tcW w:w="772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current income taxes receivable</w:t>
            </w:r>
          </w:p>
        </w:tc>
        <w:tc>
          <w:tcPr>
            <w:tcW w:w="360" w:type="dxa"/>
            <w:vAlign w:val="bottom"/>
          </w:tcPr>
          <w:p>
            <w:pPr>
              <w:spacing w:after="0"/>
              <w:rPr>
                <w:sz w:val="15"/>
                <w:szCs w:val="15"/>
                <w:color w:val="auto"/>
              </w:rPr>
            </w:pPr>
          </w:p>
        </w:tc>
        <w:tc>
          <w:tcPr>
            <w:tcW w:w="132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857</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77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other current assets</w:t>
            </w:r>
          </w:p>
        </w:tc>
        <w:tc>
          <w:tcPr>
            <w:tcW w:w="3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2,986</w:t>
            </w:r>
          </w:p>
        </w:tc>
        <w:tc>
          <w:tcPr>
            <w:tcW w:w="16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color w:val="auto"/>
              </w:rPr>
              <w:t>3,852</w:t>
            </w:r>
          </w:p>
        </w:tc>
        <w:tc>
          <w:tcPr>
            <w:tcW w:w="0" w:type="dxa"/>
            <w:vAlign w:val="bottom"/>
          </w:tcPr>
          <w:p>
            <w:pPr>
              <w:spacing w:after="0"/>
              <w:rPr>
                <w:sz w:val="1"/>
                <w:szCs w:val="1"/>
                <w:color w:val="auto"/>
              </w:rPr>
            </w:pPr>
          </w:p>
        </w:tc>
      </w:tr>
      <w:tr>
        <w:trPr>
          <w:trHeight w:val="169"/>
        </w:trPr>
        <w:tc>
          <w:tcPr>
            <w:tcW w:w="7720" w:type="dxa"/>
            <w:vAlign w:val="bottom"/>
            <w:gridSpan w:val="2"/>
          </w:tcPr>
          <w:p>
            <w:pPr>
              <w:ind w:left="740"/>
              <w:spacing w:after="0" w:line="169" w:lineRule="exact"/>
              <w:rPr>
                <w:sz w:val="20"/>
                <w:szCs w:val="20"/>
                <w:color w:val="auto"/>
              </w:rPr>
            </w:pPr>
            <w:r>
              <w:rPr>
                <w:rFonts w:ascii="Times New Roman" w:cs="Times New Roman" w:eastAsia="Times New Roman" w:hAnsi="Times New Roman"/>
                <w:sz w:val="15"/>
                <w:szCs w:val="15"/>
                <w:color w:val="auto"/>
              </w:rPr>
              <w:t>total current assets</w:t>
            </w:r>
          </w:p>
        </w:tc>
        <w:tc>
          <w:tcPr>
            <w:tcW w:w="360" w:type="dxa"/>
            <w:vAlign w:val="bottom"/>
          </w:tcPr>
          <w:p>
            <w:pPr>
              <w:spacing w:after="0"/>
              <w:rPr>
                <w:sz w:val="14"/>
                <w:szCs w:val="14"/>
                <w:color w:val="auto"/>
              </w:rPr>
            </w:pPr>
          </w:p>
        </w:tc>
        <w:tc>
          <w:tcPr>
            <w:tcW w:w="1320" w:type="dxa"/>
            <w:vAlign w:val="bottom"/>
          </w:tcPr>
          <w:p>
            <w:pPr>
              <w:jc w:val="right"/>
              <w:ind w:right="63"/>
              <w:spacing w:after="0" w:line="169" w:lineRule="exact"/>
              <w:rPr>
                <w:sz w:val="20"/>
                <w:szCs w:val="20"/>
                <w:color w:val="auto"/>
              </w:rPr>
            </w:pPr>
            <w:r>
              <w:rPr>
                <w:rFonts w:ascii="Times New Roman" w:cs="Times New Roman" w:eastAsia="Times New Roman" w:hAnsi="Times New Roman"/>
                <w:sz w:val="15"/>
                <w:szCs w:val="15"/>
                <w:b w:val="1"/>
                <w:bCs w:val="1"/>
                <w:color w:val="auto"/>
              </w:rPr>
              <w:t>107,176</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9" w:lineRule="exact"/>
              <w:rPr>
                <w:sz w:val="20"/>
                <w:szCs w:val="20"/>
                <w:color w:val="auto"/>
              </w:rPr>
            </w:pPr>
            <w:r>
              <w:rPr>
                <w:rFonts w:ascii="Times New Roman" w:cs="Times New Roman" w:eastAsia="Times New Roman" w:hAnsi="Times New Roman"/>
                <w:sz w:val="15"/>
                <w:szCs w:val="15"/>
                <w:color w:val="auto"/>
              </w:rPr>
              <w:t>143,207</w:t>
            </w:r>
          </w:p>
        </w:tc>
        <w:tc>
          <w:tcPr>
            <w:tcW w:w="0" w:type="dxa"/>
            <w:vAlign w:val="bottom"/>
          </w:tcPr>
          <w:p>
            <w:pPr>
              <w:spacing w:after="0"/>
              <w:rPr>
                <w:sz w:val="1"/>
                <w:szCs w:val="1"/>
                <w:color w:val="auto"/>
              </w:rPr>
            </w:pPr>
          </w:p>
        </w:tc>
      </w:tr>
      <w:tr>
        <w:trPr>
          <w:trHeight w:val="176"/>
        </w:trPr>
        <w:tc>
          <w:tcPr>
            <w:tcW w:w="77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41,702</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color w:val="auto"/>
              </w:rPr>
              <w:t>44,003</w:t>
            </w:r>
          </w:p>
        </w:tc>
        <w:tc>
          <w:tcPr>
            <w:tcW w:w="0" w:type="dxa"/>
            <w:vAlign w:val="bottom"/>
          </w:tcPr>
          <w:p>
            <w:pPr>
              <w:spacing w:after="0"/>
              <w:rPr>
                <w:sz w:val="1"/>
                <w:szCs w:val="1"/>
                <w:color w:val="auto"/>
              </w:rPr>
            </w:pPr>
          </w:p>
        </w:tc>
      </w:tr>
      <w:tr>
        <w:trPr>
          <w:trHeight w:val="175"/>
        </w:trPr>
        <w:tc>
          <w:tcPr>
            <w:tcW w:w="772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right of use assets</w:t>
            </w:r>
          </w:p>
        </w:tc>
        <w:tc>
          <w:tcPr>
            <w:tcW w:w="360" w:type="dxa"/>
            <w:vAlign w:val="bottom"/>
          </w:tcPr>
          <w:p>
            <w:pPr>
              <w:spacing w:after="0"/>
              <w:rPr>
                <w:sz w:val="15"/>
                <w:szCs w:val="15"/>
                <w:color w:val="auto"/>
              </w:rPr>
            </w:pPr>
          </w:p>
        </w:tc>
        <w:tc>
          <w:tcPr>
            <w:tcW w:w="132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15,577</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11,730</w:t>
            </w:r>
          </w:p>
        </w:tc>
        <w:tc>
          <w:tcPr>
            <w:tcW w:w="0" w:type="dxa"/>
            <w:vAlign w:val="bottom"/>
          </w:tcPr>
          <w:p>
            <w:pPr>
              <w:spacing w:after="0"/>
              <w:rPr>
                <w:sz w:val="1"/>
                <w:szCs w:val="1"/>
                <w:color w:val="auto"/>
              </w:rPr>
            </w:pPr>
          </w:p>
        </w:tc>
      </w:tr>
      <w:tr>
        <w:trPr>
          <w:trHeight w:val="176"/>
        </w:trPr>
        <w:tc>
          <w:tcPr>
            <w:tcW w:w="77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long-term investments - rabbi trust</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9,357</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color w:val="auto"/>
              </w:rPr>
              <w:t>8,415</w:t>
            </w:r>
          </w:p>
        </w:tc>
        <w:tc>
          <w:tcPr>
            <w:tcW w:w="0" w:type="dxa"/>
            <w:vAlign w:val="bottom"/>
          </w:tcPr>
          <w:p>
            <w:pPr>
              <w:spacing w:after="0"/>
              <w:rPr>
                <w:sz w:val="1"/>
                <w:szCs w:val="1"/>
                <w:color w:val="auto"/>
              </w:rPr>
            </w:pPr>
          </w:p>
        </w:tc>
      </w:tr>
      <w:tr>
        <w:trPr>
          <w:trHeight w:val="175"/>
        </w:trPr>
        <w:tc>
          <w:tcPr>
            <w:tcW w:w="772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long-term investments - held-to-maturity</w:t>
            </w:r>
          </w:p>
        </w:tc>
        <w:tc>
          <w:tcPr>
            <w:tcW w:w="360" w:type="dxa"/>
            <w:vAlign w:val="bottom"/>
          </w:tcPr>
          <w:p>
            <w:pPr>
              <w:spacing w:after="0"/>
              <w:rPr>
                <w:sz w:val="15"/>
                <w:szCs w:val="15"/>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w:t>
            </w: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1,141</w:t>
            </w:r>
          </w:p>
        </w:tc>
        <w:tc>
          <w:tcPr>
            <w:tcW w:w="0" w:type="dxa"/>
            <w:vAlign w:val="bottom"/>
          </w:tcPr>
          <w:p>
            <w:pPr>
              <w:spacing w:after="0"/>
              <w:rPr>
                <w:sz w:val="1"/>
                <w:szCs w:val="1"/>
                <w:color w:val="auto"/>
              </w:rPr>
            </w:pPr>
          </w:p>
        </w:tc>
      </w:tr>
      <w:tr>
        <w:trPr>
          <w:trHeight w:val="176"/>
        </w:trPr>
        <w:tc>
          <w:tcPr>
            <w:tcW w:w="77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intangible assets</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2,628</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color w:val="auto"/>
              </w:rPr>
              <w:t>3,004</w:t>
            </w:r>
          </w:p>
        </w:tc>
        <w:tc>
          <w:tcPr>
            <w:tcW w:w="0" w:type="dxa"/>
            <w:vAlign w:val="bottom"/>
          </w:tcPr>
          <w:p>
            <w:pPr>
              <w:spacing w:after="0"/>
              <w:rPr>
                <w:sz w:val="1"/>
                <w:szCs w:val="1"/>
                <w:color w:val="auto"/>
              </w:rPr>
            </w:pPr>
          </w:p>
        </w:tc>
      </w:tr>
      <w:tr>
        <w:trPr>
          <w:trHeight w:val="175"/>
        </w:trPr>
        <w:tc>
          <w:tcPr>
            <w:tcW w:w="772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deferred income taxes</w:t>
            </w:r>
          </w:p>
        </w:tc>
        <w:tc>
          <w:tcPr>
            <w:tcW w:w="360" w:type="dxa"/>
            <w:vAlign w:val="bottom"/>
          </w:tcPr>
          <w:p>
            <w:pPr>
              <w:spacing w:after="0"/>
              <w:rPr>
                <w:sz w:val="15"/>
                <w:szCs w:val="15"/>
                <w:color w:val="auto"/>
              </w:rPr>
            </w:pPr>
          </w:p>
        </w:tc>
        <w:tc>
          <w:tcPr>
            <w:tcW w:w="132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528</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545</w:t>
            </w:r>
          </w:p>
        </w:tc>
        <w:tc>
          <w:tcPr>
            <w:tcW w:w="0" w:type="dxa"/>
            <w:vAlign w:val="bottom"/>
          </w:tcPr>
          <w:p>
            <w:pPr>
              <w:spacing w:after="0"/>
              <w:rPr>
                <w:sz w:val="1"/>
                <w:szCs w:val="1"/>
                <w:color w:val="auto"/>
              </w:rPr>
            </w:pPr>
          </w:p>
        </w:tc>
      </w:tr>
      <w:tr>
        <w:trPr>
          <w:trHeight w:val="176"/>
        </w:trPr>
        <w:tc>
          <w:tcPr>
            <w:tcW w:w="77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other assets</w:t>
            </w:r>
          </w:p>
        </w:tc>
        <w:tc>
          <w:tcPr>
            <w:tcW w:w="3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595</w:t>
            </w:r>
          </w:p>
        </w:tc>
        <w:tc>
          <w:tcPr>
            <w:tcW w:w="16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color w:val="auto"/>
              </w:rPr>
              <w:t>2,035</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gridSpan w:val="2"/>
          </w:tcPr>
          <w:p>
            <w:pPr>
              <w:ind w:left="740"/>
              <w:spacing w:after="0" w:line="169" w:lineRule="exact"/>
              <w:rPr>
                <w:sz w:val="20"/>
                <w:szCs w:val="20"/>
                <w:color w:val="auto"/>
              </w:rPr>
            </w:pPr>
            <w:r>
              <w:rPr>
                <w:rFonts w:ascii="Times New Roman" w:cs="Times New Roman" w:eastAsia="Times New Roman" w:hAnsi="Times New Roman"/>
                <w:sz w:val="15"/>
                <w:szCs w:val="15"/>
                <w:color w:val="auto"/>
              </w:rPr>
              <w:t>total assets</w:t>
            </w:r>
          </w:p>
        </w:tc>
        <w:tc>
          <w:tcPr>
            <w:tcW w:w="360" w:type="dxa"/>
            <w:vAlign w:val="bottom"/>
            <w:tcBorders>
              <w:bottom w:val="single" w:sz="8" w:color="auto"/>
            </w:tcBorders>
          </w:tcPr>
          <w:p>
            <w:pPr>
              <w:jc w:val="right"/>
              <w:ind w:right="204"/>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320" w:type="dxa"/>
            <w:vAlign w:val="bottom"/>
            <w:tcBorders>
              <w:bottom w:val="single" w:sz="8" w:color="auto"/>
            </w:tcBorders>
          </w:tcPr>
          <w:p>
            <w:pPr>
              <w:jc w:val="right"/>
              <w:ind w:right="63"/>
              <w:spacing w:after="0" w:line="169" w:lineRule="exact"/>
              <w:rPr>
                <w:sz w:val="20"/>
                <w:szCs w:val="20"/>
                <w:color w:val="auto"/>
              </w:rPr>
            </w:pPr>
            <w:r>
              <w:rPr>
                <w:rFonts w:ascii="Times New Roman" w:cs="Times New Roman" w:eastAsia="Times New Roman" w:hAnsi="Times New Roman"/>
                <w:sz w:val="15"/>
                <w:szCs w:val="15"/>
                <w:b w:val="1"/>
                <w:bCs w:val="1"/>
                <w:color w:val="auto"/>
              </w:rPr>
              <w:t>177,563</w:t>
            </w:r>
          </w:p>
        </w:tc>
        <w:tc>
          <w:tcPr>
            <w:tcW w:w="1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jc w:val="right"/>
              <w:ind w:right="18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auto"/>
            </w:tcBorders>
          </w:tcPr>
          <w:p>
            <w:pPr>
              <w:jc w:val="right"/>
              <w:ind w:right="63"/>
              <w:spacing w:after="0" w:line="169" w:lineRule="exact"/>
              <w:rPr>
                <w:sz w:val="20"/>
                <w:szCs w:val="20"/>
                <w:color w:val="auto"/>
              </w:rPr>
            </w:pPr>
            <w:r>
              <w:rPr>
                <w:rFonts w:ascii="Times New Roman" w:cs="Times New Roman" w:eastAsia="Times New Roman" w:hAnsi="Times New Roman"/>
                <w:sz w:val="15"/>
                <w:szCs w:val="15"/>
                <w:color w:val="auto"/>
              </w:rPr>
              <w:t>214,080</w:t>
            </w:r>
          </w:p>
        </w:tc>
        <w:tc>
          <w:tcPr>
            <w:tcW w:w="0" w:type="dxa"/>
            <w:vAlign w:val="bottom"/>
          </w:tcPr>
          <w:p>
            <w:pPr>
              <w:spacing w:after="0"/>
              <w:rPr>
                <w:sz w:val="1"/>
                <w:szCs w:val="1"/>
                <w:color w:val="auto"/>
              </w:rPr>
            </w:pPr>
          </w:p>
        </w:tc>
      </w:tr>
      <w:tr>
        <w:trPr>
          <w:trHeight w:val="156"/>
        </w:trPr>
        <w:tc>
          <w:tcPr>
            <w:tcW w:w="7720" w:type="dxa"/>
            <w:vAlign w:val="bottom"/>
            <w:gridSpan w:val="2"/>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3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72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current liabilities:</w:t>
            </w: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accounts payable - trade</w:t>
            </w:r>
          </w:p>
        </w:tc>
        <w:tc>
          <w:tcPr>
            <w:tcW w:w="360" w:type="dxa"/>
            <w:vAlign w:val="bottom"/>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3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20,099</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color w:val="auto"/>
              </w:rPr>
              <w:t>42,540</w:t>
            </w:r>
          </w:p>
        </w:tc>
        <w:tc>
          <w:tcPr>
            <w:tcW w:w="0" w:type="dxa"/>
            <w:vAlign w:val="bottom"/>
          </w:tcPr>
          <w:p>
            <w:pPr>
              <w:spacing w:after="0"/>
              <w:rPr>
                <w:sz w:val="1"/>
                <w:szCs w:val="1"/>
                <w:color w:val="auto"/>
              </w:rPr>
            </w:pPr>
          </w:p>
        </w:tc>
      </w:tr>
      <w:tr>
        <w:trPr>
          <w:trHeight w:val="176"/>
        </w:trPr>
        <w:tc>
          <w:tcPr>
            <w:tcW w:w="772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accounts payable - capital expenditures</w:t>
            </w:r>
          </w:p>
        </w:tc>
        <w:tc>
          <w:tcPr>
            <w:tcW w:w="360" w:type="dxa"/>
            <w:vAlign w:val="bottom"/>
          </w:tcPr>
          <w:p>
            <w:pPr>
              <w:spacing w:after="0"/>
              <w:rPr>
                <w:sz w:val="15"/>
                <w:szCs w:val="15"/>
                <w:color w:val="auto"/>
              </w:rPr>
            </w:pPr>
          </w:p>
        </w:tc>
        <w:tc>
          <w:tcPr>
            <w:tcW w:w="132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473</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348</w:t>
            </w:r>
          </w:p>
        </w:tc>
        <w:tc>
          <w:tcPr>
            <w:tcW w:w="0" w:type="dxa"/>
            <w:vAlign w:val="bottom"/>
          </w:tcPr>
          <w:p>
            <w:pPr>
              <w:spacing w:after="0"/>
              <w:rPr>
                <w:sz w:val="1"/>
                <w:szCs w:val="1"/>
                <w:color w:val="auto"/>
              </w:rPr>
            </w:pPr>
          </w:p>
        </w:tc>
      </w:tr>
      <w:tr>
        <w:trPr>
          <w:trHeight w:val="175"/>
        </w:trPr>
        <w:tc>
          <w:tcPr>
            <w:tcW w:w="77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operating lease liability - current</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3,219</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color w:val="auto"/>
              </w:rPr>
              <w:t>2,736</w:t>
            </w:r>
          </w:p>
        </w:tc>
        <w:tc>
          <w:tcPr>
            <w:tcW w:w="0" w:type="dxa"/>
            <w:vAlign w:val="bottom"/>
          </w:tcPr>
          <w:p>
            <w:pPr>
              <w:spacing w:after="0"/>
              <w:rPr>
                <w:sz w:val="1"/>
                <w:szCs w:val="1"/>
                <w:color w:val="auto"/>
              </w:rPr>
            </w:pPr>
          </w:p>
        </w:tc>
      </w:tr>
      <w:tr>
        <w:trPr>
          <w:trHeight w:val="176"/>
        </w:trPr>
        <w:tc>
          <w:tcPr>
            <w:tcW w:w="772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deferred revenue</w:t>
            </w:r>
          </w:p>
        </w:tc>
        <w:tc>
          <w:tcPr>
            <w:tcW w:w="360" w:type="dxa"/>
            <w:vAlign w:val="bottom"/>
          </w:tcPr>
          <w:p>
            <w:pPr>
              <w:spacing w:after="0"/>
              <w:rPr>
                <w:sz w:val="15"/>
                <w:szCs w:val="15"/>
                <w:color w:val="auto"/>
              </w:rPr>
            </w:pPr>
          </w:p>
        </w:tc>
        <w:tc>
          <w:tcPr>
            <w:tcW w:w="132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520</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540</w:t>
            </w:r>
          </w:p>
        </w:tc>
        <w:tc>
          <w:tcPr>
            <w:tcW w:w="0" w:type="dxa"/>
            <w:vAlign w:val="bottom"/>
          </w:tcPr>
          <w:p>
            <w:pPr>
              <w:spacing w:after="0"/>
              <w:rPr>
                <w:sz w:val="1"/>
                <w:szCs w:val="1"/>
                <w:color w:val="auto"/>
              </w:rPr>
            </w:pPr>
          </w:p>
        </w:tc>
      </w:tr>
      <w:tr>
        <w:trPr>
          <w:trHeight w:val="176"/>
        </w:trPr>
        <w:tc>
          <w:tcPr>
            <w:tcW w:w="77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accrued expenses</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7,832</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color w:val="auto"/>
              </w:rPr>
              <w:t>14,839</w:t>
            </w:r>
          </w:p>
        </w:tc>
        <w:tc>
          <w:tcPr>
            <w:tcW w:w="0" w:type="dxa"/>
            <w:vAlign w:val="bottom"/>
          </w:tcPr>
          <w:p>
            <w:pPr>
              <w:spacing w:after="0"/>
              <w:rPr>
                <w:sz w:val="1"/>
                <w:szCs w:val="1"/>
                <w:color w:val="auto"/>
              </w:rPr>
            </w:pPr>
          </w:p>
        </w:tc>
      </w:tr>
      <w:tr>
        <w:trPr>
          <w:trHeight w:val="175"/>
        </w:trPr>
        <w:tc>
          <w:tcPr>
            <w:tcW w:w="772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5"/>
                <w:szCs w:val="15"/>
                <w:color w:val="auto"/>
              </w:rPr>
              <w:t>income taxes payable - current</w:t>
            </w: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413</w:t>
            </w:r>
          </w:p>
        </w:tc>
        <w:tc>
          <w:tcPr>
            <w:tcW w:w="16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229</w:t>
            </w:r>
          </w:p>
        </w:tc>
        <w:tc>
          <w:tcPr>
            <w:tcW w:w="0" w:type="dxa"/>
            <w:vAlign w:val="bottom"/>
          </w:tcPr>
          <w:p>
            <w:pPr>
              <w:spacing w:after="0"/>
              <w:rPr>
                <w:sz w:val="1"/>
                <w:szCs w:val="1"/>
                <w:color w:val="auto"/>
              </w:rPr>
            </w:pPr>
          </w:p>
        </w:tc>
      </w:tr>
      <w:tr>
        <w:trPr>
          <w:trHeight w:val="169"/>
        </w:trPr>
        <w:tc>
          <w:tcPr>
            <w:tcW w:w="7720" w:type="dxa"/>
            <w:vAlign w:val="bottom"/>
            <w:gridSpan w:val="2"/>
            <w:shd w:val="clear" w:color="auto" w:fill="CFF0FC"/>
          </w:tcPr>
          <w:p>
            <w:pPr>
              <w:ind w:left="740"/>
              <w:spacing w:after="0" w:line="169" w:lineRule="exact"/>
              <w:rPr>
                <w:sz w:val="20"/>
                <w:szCs w:val="20"/>
                <w:color w:val="auto"/>
              </w:rPr>
            </w:pPr>
            <w:r>
              <w:rPr>
                <w:rFonts w:ascii="Times New Roman" w:cs="Times New Roman" w:eastAsia="Times New Roman" w:hAnsi="Times New Roman"/>
                <w:sz w:val="15"/>
                <w:szCs w:val="15"/>
                <w:color w:val="auto"/>
              </w:rPr>
              <w:t>total current liabilities</w:t>
            </w: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63"/>
              <w:spacing w:after="0" w:line="169" w:lineRule="exact"/>
              <w:rPr>
                <w:sz w:val="20"/>
                <w:szCs w:val="20"/>
                <w:color w:val="auto"/>
              </w:rPr>
            </w:pPr>
            <w:r>
              <w:rPr>
                <w:rFonts w:ascii="Times New Roman" w:cs="Times New Roman" w:eastAsia="Times New Roman" w:hAnsi="Times New Roman"/>
                <w:sz w:val="15"/>
                <w:szCs w:val="15"/>
                <w:b w:val="1"/>
                <w:bCs w:val="1"/>
                <w:color w:val="auto"/>
              </w:rPr>
              <w:t>32,556</w:t>
            </w:r>
          </w:p>
        </w:tc>
        <w:tc>
          <w:tcPr>
            <w:tcW w:w="1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63"/>
              <w:spacing w:after="0" w:line="169" w:lineRule="exact"/>
              <w:rPr>
                <w:sz w:val="20"/>
                <w:szCs w:val="20"/>
                <w:color w:val="auto"/>
              </w:rPr>
            </w:pPr>
            <w:r>
              <w:rPr>
                <w:rFonts w:ascii="Times New Roman" w:cs="Times New Roman" w:eastAsia="Times New Roman" w:hAnsi="Times New Roman"/>
                <w:sz w:val="15"/>
                <w:szCs w:val="15"/>
                <w:color w:val="auto"/>
              </w:rPr>
              <w:t>61,232</w:t>
            </w:r>
          </w:p>
        </w:tc>
        <w:tc>
          <w:tcPr>
            <w:tcW w:w="0" w:type="dxa"/>
            <w:vAlign w:val="bottom"/>
          </w:tcPr>
          <w:p>
            <w:pPr>
              <w:spacing w:after="0"/>
              <w:rPr>
                <w:sz w:val="1"/>
                <w:szCs w:val="1"/>
                <w:color w:val="auto"/>
              </w:rPr>
            </w:pPr>
          </w:p>
        </w:tc>
      </w:tr>
      <w:tr>
        <w:trPr>
          <w:trHeight w:val="175"/>
        </w:trPr>
        <w:tc>
          <w:tcPr>
            <w:tcW w:w="772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operating lease liability - long-term</w:t>
            </w:r>
          </w:p>
        </w:tc>
        <w:tc>
          <w:tcPr>
            <w:tcW w:w="360" w:type="dxa"/>
            <w:vAlign w:val="bottom"/>
          </w:tcPr>
          <w:p>
            <w:pPr>
              <w:spacing w:after="0"/>
              <w:rPr>
                <w:sz w:val="15"/>
                <w:szCs w:val="15"/>
                <w:color w:val="auto"/>
              </w:rPr>
            </w:pPr>
          </w:p>
        </w:tc>
        <w:tc>
          <w:tcPr>
            <w:tcW w:w="132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7,062</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6,821</w:t>
            </w:r>
          </w:p>
        </w:tc>
        <w:tc>
          <w:tcPr>
            <w:tcW w:w="0" w:type="dxa"/>
            <w:vAlign w:val="bottom"/>
          </w:tcPr>
          <w:p>
            <w:pPr>
              <w:spacing w:after="0"/>
              <w:rPr>
                <w:sz w:val="1"/>
                <w:szCs w:val="1"/>
                <w:color w:val="auto"/>
              </w:rPr>
            </w:pPr>
          </w:p>
        </w:tc>
      </w:tr>
      <w:tr>
        <w:trPr>
          <w:trHeight w:val="176"/>
        </w:trPr>
        <w:tc>
          <w:tcPr>
            <w:tcW w:w="77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income taxes payable - long-term</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3,097</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color w:val="auto"/>
              </w:rPr>
              <w:t>3,326</w:t>
            </w:r>
          </w:p>
        </w:tc>
        <w:tc>
          <w:tcPr>
            <w:tcW w:w="0" w:type="dxa"/>
            <w:vAlign w:val="bottom"/>
          </w:tcPr>
          <w:p>
            <w:pPr>
              <w:spacing w:after="0"/>
              <w:rPr>
                <w:sz w:val="1"/>
                <w:szCs w:val="1"/>
                <w:color w:val="auto"/>
              </w:rPr>
            </w:pPr>
          </w:p>
        </w:tc>
      </w:tr>
      <w:tr>
        <w:trPr>
          <w:trHeight w:val="176"/>
        </w:trPr>
        <w:tc>
          <w:tcPr>
            <w:tcW w:w="772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deferred income taxes</w:t>
            </w:r>
          </w:p>
        </w:tc>
        <w:tc>
          <w:tcPr>
            <w:tcW w:w="360" w:type="dxa"/>
            <w:vAlign w:val="bottom"/>
          </w:tcPr>
          <w:p>
            <w:pPr>
              <w:spacing w:after="0"/>
              <w:rPr>
                <w:sz w:val="15"/>
                <w:szCs w:val="15"/>
                <w:color w:val="auto"/>
              </w:rPr>
            </w:pPr>
          </w:p>
        </w:tc>
        <w:tc>
          <w:tcPr>
            <w:tcW w:w="132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6,004</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5,330</w:t>
            </w:r>
          </w:p>
        </w:tc>
        <w:tc>
          <w:tcPr>
            <w:tcW w:w="0" w:type="dxa"/>
            <w:vAlign w:val="bottom"/>
          </w:tcPr>
          <w:p>
            <w:pPr>
              <w:spacing w:after="0"/>
              <w:rPr>
                <w:sz w:val="1"/>
                <w:szCs w:val="1"/>
                <w:color w:val="auto"/>
              </w:rPr>
            </w:pPr>
          </w:p>
        </w:tc>
      </w:tr>
      <w:tr>
        <w:trPr>
          <w:trHeight w:val="175"/>
        </w:trPr>
        <w:tc>
          <w:tcPr>
            <w:tcW w:w="77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deferred compensation</w:t>
            </w:r>
          </w:p>
        </w:tc>
        <w:tc>
          <w:tcPr>
            <w:tcW w:w="3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9,343</w:t>
            </w:r>
          </w:p>
        </w:tc>
        <w:tc>
          <w:tcPr>
            <w:tcW w:w="16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color w:val="auto"/>
              </w:rPr>
              <w:t>8,365</w:t>
            </w:r>
          </w:p>
        </w:tc>
        <w:tc>
          <w:tcPr>
            <w:tcW w:w="0" w:type="dxa"/>
            <w:vAlign w:val="bottom"/>
          </w:tcPr>
          <w:p>
            <w:pPr>
              <w:spacing w:after="0"/>
              <w:rPr>
                <w:sz w:val="1"/>
                <w:szCs w:val="1"/>
                <w:color w:val="auto"/>
              </w:rPr>
            </w:pPr>
          </w:p>
        </w:tc>
      </w:tr>
      <w:tr>
        <w:trPr>
          <w:trHeight w:val="169"/>
        </w:trPr>
        <w:tc>
          <w:tcPr>
            <w:tcW w:w="7720" w:type="dxa"/>
            <w:vAlign w:val="bottom"/>
            <w:gridSpan w:val="2"/>
          </w:tcPr>
          <w:p>
            <w:pPr>
              <w:ind w:left="740"/>
              <w:spacing w:after="0" w:line="169" w:lineRule="exact"/>
              <w:rPr>
                <w:sz w:val="20"/>
                <w:szCs w:val="20"/>
                <w:color w:val="auto"/>
              </w:rPr>
            </w:pPr>
            <w:r>
              <w:rPr>
                <w:rFonts w:ascii="Times New Roman" w:cs="Times New Roman" w:eastAsia="Times New Roman" w:hAnsi="Times New Roman"/>
                <w:sz w:val="15"/>
                <w:szCs w:val="15"/>
                <w:color w:val="auto"/>
              </w:rPr>
              <w:t>total liabilities</w:t>
            </w:r>
          </w:p>
        </w:tc>
        <w:tc>
          <w:tcPr>
            <w:tcW w:w="360" w:type="dxa"/>
            <w:vAlign w:val="bottom"/>
          </w:tcPr>
          <w:p>
            <w:pPr>
              <w:spacing w:after="0"/>
              <w:rPr>
                <w:sz w:val="14"/>
                <w:szCs w:val="14"/>
                <w:color w:val="auto"/>
              </w:rPr>
            </w:pPr>
          </w:p>
        </w:tc>
        <w:tc>
          <w:tcPr>
            <w:tcW w:w="1320" w:type="dxa"/>
            <w:vAlign w:val="bottom"/>
          </w:tcPr>
          <w:p>
            <w:pPr>
              <w:jc w:val="right"/>
              <w:ind w:right="63"/>
              <w:spacing w:after="0" w:line="169" w:lineRule="exact"/>
              <w:rPr>
                <w:sz w:val="20"/>
                <w:szCs w:val="20"/>
                <w:color w:val="auto"/>
              </w:rPr>
            </w:pPr>
            <w:r>
              <w:rPr>
                <w:rFonts w:ascii="Times New Roman" w:cs="Times New Roman" w:eastAsia="Times New Roman" w:hAnsi="Times New Roman"/>
                <w:sz w:val="15"/>
                <w:szCs w:val="15"/>
                <w:b w:val="1"/>
                <w:bCs w:val="1"/>
                <w:color w:val="auto"/>
              </w:rPr>
              <w:t>58,062</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jc w:val="right"/>
              <w:ind w:right="63"/>
              <w:spacing w:after="0" w:line="169" w:lineRule="exact"/>
              <w:rPr>
                <w:sz w:val="20"/>
                <w:szCs w:val="20"/>
                <w:color w:val="auto"/>
              </w:rPr>
            </w:pPr>
            <w:r>
              <w:rPr>
                <w:rFonts w:ascii="Times New Roman" w:cs="Times New Roman" w:eastAsia="Times New Roman" w:hAnsi="Times New Roman"/>
                <w:sz w:val="15"/>
                <w:szCs w:val="15"/>
                <w:color w:val="auto"/>
              </w:rPr>
              <w:t>85,074</w:t>
            </w:r>
          </w:p>
        </w:tc>
        <w:tc>
          <w:tcPr>
            <w:tcW w:w="0" w:type="dxa"/>
            <w:vAlign w:val="bottom"/>
          </w:tcPr>
          <w:p>
            <w:pPr>
              <w:spacing w:after="0"/>
              <w:rPr>
                <w:sz w:val="1"/>
                <w:szCs w:val="1"/>
                <w:color w:val="auto"/>
              </w:rPr>
            </w:pPr>
          </w:p>
        </w:tc>
      </w:tr>
      <w:tr>
        <w:trPr>
          <w:trHeight w:val="175"/>
        </w:trPr>
        <w:tc>
          <w:tcPr>
            <w:tcW w:w="77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commitments and contingencies (notes 11 and 13)</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shareholders' equity:</w:t>
            </w: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preferred stock, $.05 par value, authorized 10,000,000 shares</w:t>
            </w:r>
          </w:p>
        </w:tc>
        <w:tc>
          <w:tcPr>
            <w:tcW w:w="36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7720" w:type="dxa"/>
            <w:vAlign w:val="bottom"/>
            <w:gridSpan w:val="2"/>
          </w:tcPr>
          <w:p>
            <w:pPr>
              <w:ind w:left="500"/>
              <w:spacing w:after="0" w:line="159" w:lineRule="exact"/>
              <w:rPr>
                <w:sz w:val="20"/>
                <w:szCs w:val="20"/>
                <w:color w:val="auto"/>
              </w:rPr>
            </w:pPr>
            <w:r>
              <w:rPr>
                <w:rFonts w:ascii="Times New Roman" w:cs="Times New Roman" w:eastAsia="Times New Roman" w:hAnsi="Times New Roman"/>
                <w:sz w:val="15"/>
                <w:szCs w:val="15"/>
                <w:color w:val="auto"/>
              </w:rPr>
              <w:t>common stock, $.05 par value, authorized 40,000,000</w:t>
            </w: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620"/>
              <w:spacing w:after="0" w:line="162" w:lineRule="exact"/>
              <w:rPr>
                <w:sz w:val="20"/>
                <w:szCs w:val="20"/>
                <w:color w:val="auto"/>
              </w:rPr>
            </w:pPr>
            <w:r>
              <w:rPr>
                <w:rFonts w:ascii="Times New Roman" w:cs="Times New Roman" w:eastAsia="Times New Roman" w:hAnsi="Times New Roman"/>
                <w:sz w:val="15"/>
                <w:szCs w:val="15"/>
                <w:color w:val="auto"/>
              </w:rPr>
              <w:t>shares, issued and outstanding 12,228,629 at May 1, 2022</w:t>
            </w:r>
          </w:p>
        </w:tc>
        <w:tc>
          <w:tcPr>
            <w:tcW w:w="360" w:type="dxa"/>
            <w:vAlign w:val="bottom"/>
          </w:tcPr>
          <w:p>
            <w:pPr>
              <w:spacing w:after="0"/>
              <w:rPr>
                <w:sz w:val="14"/>
                <w:szCs w:val="14"/>
                <w:color w:val="auto"/>
              </w:rPr>
            </w:pPr>
          </w:p>
        </w:tc>
        <w:tc>
          <w:tcPr>
            <w:tcW w:w="1320" w:type="dxa"/>
            <w:vAlign w:val="bottom"/>
            <w:vMerge w:val="restart"/>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611</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72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and 12,312,822 at May 2, 2021</w:t>
            </w:r>
          </w:p>
        </w:tc>
        <w:tc>
          <w:tcPr>
            <w:tcW w:w="3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616</w:t>
            </w:r>
          </w:p>
        </w:tc>
        <w:tc>
          <w:tcPr>
            <w:tcW w:w="0" w:type="dxa"/>
            <w:vAlign w:val="bottom"/>
          </w:tcPr>
          <w:p>
            <w:pPr>
              <w:spacing w:after="0"/>
              <w:rPr>
                <w:sz w:val="1"/>
                <w:szCs w:val="1"/>
                <w:color w:val="auto"/>
              </w:rPr>
            </w:pPr>
          </w:p>
        </w:tc>
      </w:tr>
      <w:tr>
        <w:trPr>
          <w:trHeight w:val="175"/>
        </w:trPr>
        <w:tc>
          <w:tcPr>
            <w:tcW w:w="77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capital contributed in excess of par value</w:t>
            </w:r>
          </w:p>
        </w:tc>
        <w:tc>
          <w:tcPr>
            <w:tcW w:w="3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43,143</w:t>
            </w:r>
          </w:p>
        </w:tc>
        <w:tc>
          <w:tcPr>
            <w:tcW w:w="1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color w:val="auto"/>
              </w:rPr>
              <w:t>43,807</w:t>
            </w:r>
          </w:p>
        </w:tc>
        <w:tc>
          <w:tcPr>
            <w:tcW w:w="0" w:type="dxa"/>
            <w:vAlign w:val="bottom"/>
          </w:tcPr>
          <w:p>
            <w:pPr>
              <w:spacing w:after="0"/>
              <w:rPr>
                <w:sz w:val="1"/>
                <w:szCs w:val="1"/>
                <w:color w:val="auto"/>
              </w:rPr>
            </w:pPr>
          </w:p>
        </w:tc>
      </w:tr>
      <w:tr>
        <w:trPr>
          <w:trHeight w:val="176"/>
        </w:trPr>
        <w:tc>
          <w:tcPr>
            <w:tcW w:w="772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accumulated earnings</w:t>
            </w:r>
          </w:p>
        </w:tc>
        <w:tc>
          <w:tcPr>
            <w:tcW w:w="360" w:type="dxa"/>
            <w:vAlign w:val="bottom"/>
          </w:tcPr>
          <w:p>
            <w:pPr>
              <w:spacing w:after="0"/>
              <w:rPr>
                <w:sz w:val="15"/>
                <w:szCs w:val="15"/>
                <w:color w:val="auto"/>
              </w:rPr>
            </w:pPr>
          </w:p>
        </w:tc>
        <w:tc>
          <w:tcPr>
            <w:tcW w:w="132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75,715</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84,437</w:t>
            </w:r>
          </w:p>
        </w:tc>
        <w:tc>
          <w:tcPr>
            <w:tcW w:w="0" w:type="dxa"/>
            <w:vAlign w:val="bottom"/>
          </w:tcPr>
          <w:p>
            <w:pPr>
              <w:spacing w:after="0"/>
              <w:rPr>
                <w:sz w:val="1"/>
                <w:szCs w:val="1"/>
                <w:color w:val="auto"/>
              </w:rPr>
            </w:pPr>
          </w:p>
        </w:tc>
      </w:tr>
      <w:tr>
        <w:trPr>
          <w:trHeight w:val="175"/>
        </w:trPr>
        <w:tc>
          <w:tcPr>
            <w:tcW w:w="77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rPr>
              <w:t>accumulated other comprehensive income</w:t>
            </w:r>
          </w:p>
        </w:tc>
        <w:tc>
          <w:tcPr>
            <w:tcW w:w="36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32</w:t>
            </w:r>
          </w:p>
        </w:tc>
        <w:tc>
          <w:tcPr>
            <w:tcW w:w="16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5"/>
                <w:szCs w:val="15"/>
                <w:color w:val="auto"/>
              </w:rPr>
              <w:t>146</w:t>
            </w:r>
          </w:p>
        </w:tc>
        <w:tc>
          <w:tcPr>
            <w:tcW w:w="0" w:type="dxa"/>
            <w:vAlign w:val="bottom"/>
          </w:tcPr>
          <w:p>
            <w:pPr>
              <w:spacing w:after="0"/>
              <w:rPr>
                <w:sz w:val="1"/>
                <w:szCs w:val="1"/>
                <w:color w:val="auto"/>
              </w:rPr>
            </w:pPr>
          </w:p>
        </w:tc>
      </w:tr>
      <w:tr>
        <w:trPr>
          <w:trHeight w:val="169"/>
        </w:trPr>
        <w:tc>
          <w:tcPr>
            <w:tcW w:w="7720" w:type="dxa"/>
            <w:vAlign w:val="bottom"/>
            <w:tcBorders>
              <w:bottom w:val="single" w:sz="8" w:color="CFF0FC"/>
            </w:tcBorders>
            <w:gridSpan w:val="2"/>
          </w:tcPr>
          <w:p>
            <w:pPr>
              <w:ind w:left="740"/>
              <w:spacing w:after="0" w:line="169" w:lineRule="exact"/>
              <w:rPr>
                <w:sz w:val="20"/>
                <w:szCs w:val="20"/>
                <w:color w:val="auto"/>
              </w:rPr>
            </w:pPr>
            <w:r>
              <w:rPr>
                <w:rFonts w:ascii="Times New Roman" w:cs="Times New Roman" w:eastAsia="Times New Roman" w:hAnsi="Times New Roman"/>
                <w:sz w:val="15"/>
                <w:szCs w:val="15"/>
                <w:color w:val="auto"/>
              </w:rPr>
              <w:t>total equity</w:t>
            </w: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3"/>
              <w:spacing w:after="0" w:line="169" w:lineRule="exact"/>
              <w:rPr>
                <w:sz w:val="20"/>
                <w:szCs w:val="20"/>
                <w:color w:val="auto"/>
              </w:rPr>
            </w:pPr>
            <w:r>
              <w:rPr>
                <w:rFonts w:ascii="Times New Roman" w:cs="Times New Roman" w:eastAsia="Times New Roman" w:hAnsi="Times New Roman"/>
                <w:sz w:val="15"/>
                <w:szCs w:val="15"/>
                <w:b w:val="1"/>
                <w:bCs w:val="1"/>
                <w:color w:val="auto"/>
              </w:rPr>
              <w:t>119,501</w:t>
            </w:r>
          </w:p>
        </w:tc>
        <w:tc>
          <w:tcPr>
            <w:tcW w:w="1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3"/>
              <w:spacing w:after="0" w:line="169" w:lineRule="exact"/>
              <w:rPr>
                <w:sz w:val="20"/>
                <w:szCs w:val="20"/>
                <w:color w:val="auto"/>
              </w:rPr>
            </w:pPr>
            <w:r>
              <w:rPr>
                <w:rFonts w:ascii="Times New Roman" w:cs="Times New Roman" w:eastAsia="Times New Roman" w:hAnsi="Times New Roman"/>
                <w:sz w:val="15"/>
                <w:szCs w:val="15"/>
                <w:color w:val="auto"/>
              </w:rPr>
              <w:t>129,006</w:t>
            </w:r>
          </w:p>
        </w:tc>
        <w:tc>
          <w:tcPr>
            <w:tcW w:w="0" w:type="dxa"/>
            <w:vAlign w:val="bottom"/>
          </w:tcPr>
          <w:p>
            <w:pPr>
              <w:spacing w:after="0"/>
              <w:rPr>
                <w:sz w:val="1"/>
                <w:szCs w:val="1"/>
                <w:color w:val="auto"/>
              </w:rPr>
            </w:pPr>
          </w:p>
        </w:tc>
      </w:tr>
      <w:tr>
        <w:trPr>
          <w:trHeight w:val="169"/>
        </w:trPr>
        <w:tc>
          <w:tcPr>
            <w:tcW w:w="7720" w:type="dxa"/>
            <w:vAlign w:val="bottom"/>
            <w:tcBorders>
              <w:bottom w:val="single" w:sz="8" w:color="CFF0FC"/>
            </w:tcBorders>
            <w:gridSpan w:val="2"/>
            <w:shd w:val="clear" w:color="auto" w:fill="CFF0FC"/>
          </w:tcPr>
          <w:p>
            <w:pPr>
              <w:ind w:left="740"/>
              <w:spacing w:after="0" w:line="169" w:lineRule="exact"/>
              <w:rPr>
                <w:sz w:val="20"/>
                <w:szCs w:val="20"/>
                <w:color w:val="auto"/>
              </w:rPr>
            </w:pPr>
            <w:r>
              <w:rPr>
                <w:rFonts w:ascii="Times New Roman" w:cs="Times New Roman" w:eastAsia="Times New Roman" w:hAnsi="Times New Roman"/>
                <w:sz w:val="15"/>
                <w:szCs w:val="15"/>
                <w:color w:val="auto"/>
              </w:rPr>
              <w:t>total liabilities and equity</w:t>
            </w:r>
          </w:p>
        </w:tc>
        <w:tc>
          <w:tcPr>
            <w:tcW w:w="360" w:type="dxa"/>
            <w:vAlign w:val="bottom"/>
            <w:tcBorders>
              <w:bottom w:val="single" w:sz="8" w:color="auto"/>
            </w:tcBorders>
            <w:shd w:val="clear" w:color="auto" w:fill="CFF0FC"/>
          </w:tcPr>
          <w:p>
            <w:pPr>
              <w:jc w:val="right"/>
              <w:ind w:right="204"/>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320" w:type="dxa"/>
            <w:vAlign w:val="bottom"/>
            <w:tcBorders>
              <w:bottom w:val="single" w:sz="8" w:color="auto"/>
            </w:tcBorders>
            <w:shd w:val="clear" w:color="auto" w:fill="CFF0FC"/>
          </w:tcPr>
          <w:p>
            <w:pPr>
              <w:jc w:val="right"/>
              <w:ind w:right="63"/>
              <w:spacing w:after="0" w:line="169" w:lineRule="exact"/>
              <w:rPr>
                <w:sz w:val="20"/>
                <w:szCs w:val="20"/>
                <w:color w:val="auto"/>
              </w:rPr>
            </w:pPr>
            <w:r>
              <w:rPr>
                <w:rFonts w:ascii="Times New Roman" w:cs="Times New Roman" w:eastAsia="Times New Roman" w:hAnsi="Times New Roman"/>
                <w:sz w:val="15"/>
                <w:szCs w:val="15"/>
                <w:b w:val="1"/>
                <w:bCs w:val="1"/>
                <w:color w:val="auto"/>
              </w:rPr>
              <w:t>177,563</w:t>
            </w:r>
          </w:p>
        </w:tc>
        <w:tc>
          <w:tcPr>
            <w:tcW w:w="16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jc w:val="right"/>
              <w:ind w:right="18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auto"/>
            </w:tcBorders>
            <w:shd w:val="clear" w:color="auto" w:fill="CFF0FC"/>
          </w:tcPr>
          <w:p>
            <w:pPr>
              <w:jc w:val="right"/>
              <w:ind w:right="63"/>
              <w:spacing w:after="0" w:line="169" w:lineRule="exact"/>
              <w:rPr>
                <w:sz w:val="20"/>
                <w:szCs w:val="20"/>
                <w:color w:val="auto"/>
              </w:rPr>
            </w:pPr>
            <w:r>
              <w:rPr>
                <w:rFonts w:ascii="Times New Roman" w:cs="Times New Roman" w:eastAsia="Times New Roman" w:hAnsi="Times New Roman"/>
                <w:sz w:val="15"/>
                <w:szCs w:val="15"/>
                <w:color w:val="auto"/>
              </w:rPr>
              <w:t>214,080</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NET (LOSS) INCOME</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6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For the years ended May 1, 2022, May 2, 2021, and May 3, 2020</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data)</w:t>
            </w:r>
          </w:p>
        </w:tc>
        <w:tc>
          <w:tcPr>
            <w:tcW w:w="1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294,839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299,720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256,166</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(258,746)</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(249,888)</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(215,668)</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 profit from continuing operations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36,093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49,832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40,498</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(35,415)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(34,424)</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impairments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(13,712)</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credit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652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678</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12,076</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gain on bargain purchase</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(1,359)</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23"/>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income before income taxes from continuing operations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10,880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(2,886)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(loss) from investment in unconsolidated joint venture</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(3,211)</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3,218</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(11,158)</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 from discontinued operation</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(17,577)</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loss from discontinued operation</w:t>
            </w:r>
          </w:p>
        </w:tc>
        <w:tc>
          <w:tcPr>
            <w:tcW w:w="1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(17,509)</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(3,211)</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3,218</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(28,667)</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income from continuing operations per share-basic</w:t>
            </w: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(0.26)</w:t>
            </w:r>
          </w:p>
        </w:tc>
        <w:tc>
          <w:tcPr>
            <w:tcW w:w="1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0.26</w:t>
            </w:r>
          </w:p>
        </w:tc>
        <w:tc>
          <w:tcPr>
            <w:tcW w:w="1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from continuing operations per share-diluted</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(0.26)</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0.26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 per share-basic</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from discontinued operation per share-diluted</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share-basic</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(0.26)</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0.26</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per share-diluted</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(0.26)</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0.26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ind w:right="5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COMPREHENSIVE (LOSS) INCOME </w:t>
      </w:r>
      <w:r>
        <w:rPr>
          <w:rFonts w:ascii="Times New Roman" w:cs="Times New Roman" w:eastAsia="Times New Roman" w:hAnsi="Times New Roman"/>
          <w:sz w:val="18"/>
          <w:szCs w:val="18"/>
          <w:b w:val="1"/>
          <w:bCs w:val="1"/>
          <w:i w:val="1"/>
          <w:iCs w:val="1"/>
          <w:color w:val="auto"/>
        </w:rPr>
        <w:t>For the years ended May 1, 2022, May 2, 2021, and May 3, 2020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23"/>
        </w:trPr>
        <w:tc>
          <w:tcPr>
            <w:tcW w:w="6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5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(3,211)</w:t>
            </w:r>
          </w:p>
        </w:tc>
        <w:tc>
          <w:tcPr>
            <w:tcW w:w="1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3,218</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(28,667)</w:t>
            </w:r>
          </w:p>
        </w:tc>
        <w:tc>
          <w:tcPr>
            <w:tcW w:w="0" w:type="dxa"/>
            <w:vAlign w:val="bottom"/>
          </w:tcPr>
          <w:p>
            <w:pPr>
              <w:spacing w:after="0"/>
              <w:rPr>
                <w:sz w:val="1"/>
                <w:szCs w:val="1"/>
                <w:color w:val="auto"/>
              </w:rPr>
            </w:pPr>
          </w:p>
        </w:tc>
      </w:tr>
      <w:tr>
        <w:trPr>
          <w:trHeight w:val="229"/>
        </w:trPr>
        <w:tc>
          <w:tcPr>
            <w:tcW w:w="6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5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holding (loss) gain on investments</w:t>
            </w:r>
          </w:p>
        </w:tc>
        <w:tc>
          <w:tcPr>
            <w:tcW w:w="5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1"/>
        </w:trPr>
        <w:tc>
          <w:tcPr>
            <w:tcW w:w="6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reclassification adjustment for realized loss (gain) included in</w:t>
            </w: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8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net (loss) income</w:t>
            </w:r>
          </w:p>
        </w:tc>
        <w:tc>
          <w:tcPr>
            <w:tcW w:w="58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unrealized (loss) gain on investments</w:t>
            </w:r>
          </w:p>
        </w:tc>
        <w:tc>
          <w:tcPr>
            <w:tcW w:w="58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1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5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(3,325)</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3,374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(28,717)</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Plus: comprehensive loss attributable to non-controlling interest</w:t>
            </w: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associated with discontinued operation</w:t>
            </w:r>
          </w:p>
        </w:tc>
        <w:tc>
          <w:tcPr>
            <w:tcW w:w="5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4,674</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Culp Inc. common shareholders</w:t>
            </w:r>
          </w:p>
        </w:tc>
        <w:tc>
          <w:tcPr>
            <w:tcW w:w="5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(3,325)</w:t>
            </w:r>
          </w:p>
        </w:tc>
        <w:tc>
          <w:tcPr>
            <w:tcW w:w="1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3,374</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Shareholders' equity attributable to Culp Inc.</w:t>
            </w: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5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(dollars in thousands, except common stock shares)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Controlling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Contributed</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ind w:right="268"/>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For the years ended May 1, 2022, May 2, 2021,</w:t>
            </w:r>
          </w:p>
        </w:tc>
        <w:tc>
          <w:tcPr>
            <w:tcW w:w="1920" w:type="dxa"/>
            <w:vAlign w:val="bottom"/>
            <w:gridSpan w:val="5"/>
          </w:tcPr>
          <w:p>
            <w:pPr>
              <w:ind w:left="4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2"/>
                <w:szCs w:val="12"/>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in Excess</w:t>
            </w:r>
          </w:p>
        </w:tc>
        <w:tc>
          <w:tcPr>
            <w:tcW w:w="9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60" w:type="dxa"/>
            <w:vAlign w:val="bottom"/>
            <w:gridSpan w:val="2"/>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Discontinued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35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and May 3, 2020</w:t>
            </w: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of Par Value</w:t>
            </w:r>
          </w:p>
        </w:tc>
        <w:tc>
          <w:tcPr>
            <w:tcW w:w="80" w:type="dxa"/>
            <w:vAlign w:val="bottom"/>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960" w:type="dxa"/>
            <w:vAlign w:val="bottom"/>
            <w:gridSpan w:val="2"/>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5"/>
              </w:rPr>
              <w:t>Income(Loss)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3"/>
                <w:szCs w:val="13"/>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Operation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55"/>
        </w:trPr>
        <w:tc>
          <w:tcPr>
            <w:tcW w:w="346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April 28, 2019</w:t>
            </w:r>
          </w:p>
        </w:tc>
        <w:tc>
          <w:tcPr>
            <w:tcW w:w="10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jc w:val="right"/>
              <w:ind w:right="49"/>
              <w:spacing w:after="0" w:line="155" w:lineRule="exact"/>
              <w:rPr>
                <w:sz w:val="20"/>
                <w:szCs w:val="20"/>
                <w:color w:val="auto"/>
              </w:rPr>
            </w:pPr>
            <w:r>
              <w:rPr>
                <w:rFonts w:ascii="Times New Roman" w:cs="Times New Roman" w:eastAsia="Times New Roman" w:hAnsi="Times New Roman"/>
                <w:sz w:val="14"/>
                <w:szCs w:val="14"/>
                <w:color w:val="auto"/>
              </w:rPr>
              <w:t>12,391,160</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FF0FC"/>
          </w:tcPr>
          <w:p>
            <w:pPr>
              <w:jc w:val="right"/>
              <w:ind w:right="49"/>
              <w:spacing w:after="0" w:line="155" w:lineRule="exact"/>
              <w:rPr>
                <w:sz w:val="20"/>
                <w:szCs w:val="20"/>
                <w:color w:val="auto"/>
              </w:rPr>
            </w:pPr>
            <w:r>
              <w:rPr>
                <w:rFonts w:ascii="Times New Roman" w:cs="Times New Roman" w:eastAsia="Times New Roman" w:hAnsi="Times New Roman"/>
                <w:sz w:val="14"/>
                <w:szCs w:val="14"/>
                <w:color w:val="auto"/>
              </w:rPr>
              <w:t>620</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FF0FC"/>
          </w:tcPr>
          <w:p>
            <w:pPr>
              <w:jc w:val="right"/>
              <w:ind w:right="49"/>
              <w:spacing w:after="0" w:line="155" w:lineRule="exact"/>
              <w:rPr>
                <w:sz w:val="20"/>
                <w:szCs w:val="20"/>
                <w:color w:val="auto"/>
              </w:rPr>
            </w:pPr>
            <w:r>
              <w:rPr>
                <w:rFonts w:ascii="Times New Roman" w:cs="Times New Roman" w:eastAsia="Times New Roman" w:hAnsi="Times New Roman"/>
                <w:sz w:val="14"/>
                <w:szCs w:val="14"/>
                <w:color w:val="auto"/>
              </w:rPr>
              <w:t>43,694</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115,579</w:t>
            </w:r>
          </w:p>
        </w:tc>
        <w:tc>
          <w:tcPr>
            <w:tcW w:w="1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73"/>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159,933</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FF0FC"/>
          </w:tcPr>
          <w:p>
            <w:pPr>
              <w:jc w:val="right"/>
              <w:ind w:right="49"/>
              <w:spacing w:after="0" w:line="155" w:lineRule="exact"/>
              <w:rPr>
                <w:sz w:val="20"/>
                <w:szCs w:val="20"/>
                <w:color w:val="auto"/>
              </w:rPr>
            </w:pPr>
            <w:r>
              <w:rPr>
                <w:rFonts w:ascii="Times New Roman" w:cs="Times New Roman" w:eastAsia="Times New Roman" w:hAnsi="Times New Roman"/>
                <w:sz w:val="14"/>
                <w:szCs w:val="14"/>
                <w:color w:val="auto"/>
              </w:rPr>
              <w:t>4,314</w:t>
            </w: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FF0FC"/>
          </w:tcPr>
          <w:p>
            <w:pPr>
              <w:jc w:val="right"/>
              <w:ind w:right="69"/>
              <w:spacing w:after="0" w:line="155" w:lineRule="exact"/>
              <w:rPr>
                <w:sz w:val="20"/>
                <w:szCs w:val="20"/>
                <w:color w:val="auto"/>
              </w:rPr>
            </w:pPr>
            <w:r>
              <w:rPr>
                <w:rFonts w:ascii="Times New Roman" w:cs="Times New Roman" w:eastAsia="Times New Roman" w:hAnsi="Times New Roman"/>
                <w:sz w:val="14"/>
                <w:szCs w:val="14"/>
                <w:color w:val="auto"/>
              </w:rPr>
              <w:t>164,247</w:t>
            </w:r>
          </w:p>
        </w:tc>
        <w:tc>
          <w:tcPr>
            <w:tcW w:w="0" w:type="dxa"/>
            <w:vAlign w:val="bottom"/>
          </w:tcPr>
          <w:p>
            <w:pPr>
              <w:spacing w:after="0"/>
              <w:rPr>
                <w:sz w:val="1"/>
                <w:szCs w:val="1"/>
                <w:color w:val="auto"/>
              </w:rPr>
            </w:pPr>
          </w:p>
        </w:tc>
      </w:tr>
      <w:tr>
        <w:trPr>
          <w:trHeight w:val="162"/>
        </w:trPr>
        <w:tc>
          <w:tcPr>
            <w:tcW w:w="3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(23,993)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(23,993)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(28,667)</w:t>
            </w:r>
          </w:p>
        </w:tc>
        <w:tc>
          <w:tcPr>
            <w:tcW w:w="0" w:type="dxa"/>
            <w:vAlign w:val="bottom"/>
          </w:tcPr>
          <w:p>
            <w:pPr>
              <w:spacing w:after="0"/>
              <w:rPr>
                <w:sz w:val="1"/>
                <w:szCs w:val="1"/>
                <w:color w:val="auto"/>
              </w:rPr>
            </w:pPr>
          </w:p>
        </w:tc>
      </w:tr>
      <w:tr>
        <w:trPr>
          <w:trHeight w:val="139"/>
        </w:trPr>
        <w:tc>
          <w:tcPr>
            <w:tcW w:w="3560" w:type="dxa"/>
            <w:vAlign w:val="bottom"/>
            <w:gridSpan w:val="2"/>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capital contribution from non-controlling</w:t>
            </w:r>
          </w:p>
        </w:tc>
        <w:tc>
          <w:tcPr>
            <w:tcW w:w="9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360</w:t>
            </w:r>
          </w:p>
        </w:tc>
        <w:tc>
          <w:tcPr>
            <w:tcW w:w="0" w:type="dxa"/>
            <w:vAlign w:val="bottom"/>
          </w:tcPr>
          <w:p>
            <w:pPr>
              <w:spacing w:after="0"/>
              <w:rPr>
                <w:sz w:val="1"/>
                <w:szCs w:val="1"/>
                <w:color w:val="auto"/>
              </w:rPr>
            </w:pPr>
          </w:p>
        </w:tc>
      </w:tr>
      <w:tr>
        <w:trPr>
          <w:trHeight w:val="171"/>
        </w:trPr>
        <w:tc>
          <w:tcPr>
            <w:tcW w:w="35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interest - discontinued operation</w:t>
            </w:r>
          </w:p>
        </w:tc>
        <w:tc>
          <w:tcPr>
            <w:tcW w:w="9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614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614</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unrealized loss on investments</w:t>
            </w: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39"/>
        </w:trPr>
        <w:tc>
          <w:tcPr>
            <w:tcW w:w="3560" w:type="dxa"/>
            <w:vAlign w:val="bottom"/>
            <w:gridSpan w:val="2"/>
          </w:tcPr>
          <w:p>
            <w:pPr>
              <w:ind w:left="260"/>
              <w:spacing w:after="0" w:line="139" w:lineRule="exact"/>
              <w:rPr>
                <w:sz w:val="20"/>
                <w:szCs w:val="20"/>
                <w:color w:val="auto"/>
              </w:rPr>
            </w:pPr>
            <w:r>
              <w:rPr>
                <w:rFonts w:ascii="Times New Roman" w:cs="Times New Roman" w:eastAsia="Times New Roman" w:hAnsi="Times New Roman"/>
                <w:sz w:val="14"/>
                <w:szCs w:val="14"/>
                <w:color w:val="auto"/>
              </w:rPr>
              <w:t>common stock issued in connection with</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vesting of performance-based restricted</w:t>
            </w:r>
          </w:p>
        </w:tc>
        <w:tc>
          <w:tcPr>
            <w:tcW w:w="8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15,638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5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stock units</w:t>
            </w: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immediately vested common stock awards</w:t>
            </w:r>
          </w:p>
        </w:tc>
        <w:tc>
          <w:tcPr>
            <w:tcW w:w="8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23,664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3560" w:type="dxa"/>
            <w:vAlign w:val="bottom"/>
            <w:gridSpan w:val="2"/>
          </w:tcPr>
          <w:p>
            <w:pPr>
              <w:ind w:left="260"/>
              <w:spacing w:after="0" w:line="139" w:lineRule="exact"/>
              <w:rPr>
                <w:sz w:val="20"/>
                <w:szCs w:val="20"/>
                <w:color w:val="auto"/>
              </w:rPr>
            </w:pPr>
            <w:r>
              <w:rPr>
                <w:rFonts w:ascii="Times New Roman" w:cs="Times New Roman" w:eastAsia="Times New Roman" w:hAnsi="Times New Roman"/>
                <w:sz w:val="14"/>
                <w:szCs w:val="14"/>
                <w:color w:val="auto"/>
              </w:rPr>
              <w:t>common stock surrendered in connection</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71"/>
        </w:trPr>
        <w:tc>
          <w:tcPr>
            <w:tcW w:w="35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with payroll withholding taxes</w:t>
            </w: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common stock repurchased</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(142,496)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(1,680)</w:t>
            </w:r>
          </w:p>
        </w:tc>
        <w:tc>
          <w:tcPr>
            <w:tcW w:w="0" w:type="dxa"/>
            <w:vAlign w:val="bottom"/>
          </w:tcPr>
          <w:p>
            <w:pPr>
              <w:spacing w:after="0"/>
              <w:rPr>
                <w:sz w:val="1"/>
                <w:szCs w:val="1"/>
                <w:color w:val="auto"/>
              </w:rPr>
            </w:pPr>
          </w:p>
        </w:tc>
      </w:tr>
      <w:tr>
        <w:trPr>
          <w:trHeight w:val="162"/>
        </w:trPr>
        <w:tc>
          <w:tcPr>
            <w:tcW w:w="3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dividends paid</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(5,075)</w:t>
            </w:r>
          </w:p>
        </w:tc>
        <w:tc>
          <w:tcPr>
            <w:tcW w:w="0" w:type="dxa"/>
            <w:vAlign w:val="bottom"/>
          </w:tcPr>
          <w:p>
            <w:pPr>
              <w:spacing w:after="0"/>
              <w:rPr>
                <w:sz w:val="1"/>
                <w:szCs w:val="1"/>
                <w:color w:val="auto"/>
              </w:rPr>
            </w:pPr>
          </w:p>
        </w:tc>
      </w:tr>
      <w:tr>
        <w:trPr>
          <w:trHeight w:val="156"/>
        </w:trPr>
        <w:tc>
          <w:tcPr>
            <w:tcW w:w="3560" w:type="dxa"/>
            <w:vAlign w:val="bottom"/>
            <w:tcBorders>
              <w:top w:val="single" w:sz="8" w:color="CFF0FC"/>
            </w:tcBorders>
            <w:gridSpan w:val="2"/>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May 3, 2020</w:t>
            </w:r>
          </w:p>
        </w:tc>
        <w:tc>
          <w:tcPr>
            <w:tcW w:w="880" w:type="dxa"/>
            <w:vAlign w:val="bottom"/>
            <w:tcBorders>
              <w:top w:val="single" w:sz="8" w:color="auto"/>
            </w:tcBorders>
            <w:shd w:val="clear" w:color="auto" w:fill="CFF0FC"/>
          </w:tcPr>
          <w:p>
            <w:pPr>
              <w:jc w:val="right"/>
              <w:ind w:right="49"/>
              <w:spacing w:after="0" w:line="155" w:lineRule="exact"/>
              <w:rPr>
                <w:sz w:val="20"/>
                <w:szCs w:val="20"/>
                <w:color w:val="auto"/>
              </w:rPr>
            </w:pPr>
            <w:r>
              <w:rPr>
                <w:rFonts w:ascii="Times New Roman" w:cs="Times New Roman" w:eastAsia="Times New Roman" w:hAnsi="Times New Roman"/>
                <w:sz w:val="14"/>
                <w:szCs w:val="14"/>
                <w:color w:val="auto"/>
              </w:rPr>
              <w:t>12,284,946</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ind w:right="49"/>
              <w:spacing w:after="0" w:line="155" w:lineRule="exact"/>
              <w:rPr>
                <w:sz w:val="20"/>
                <w:szCs w:val="20"/>
                <w:color w:val="auto"/>
              </w:rPr>
            </w:pPr>
            <w:r>
              <w:rPr>
                <w:rFonts w:ascii="Times New Roman" w:cs="Times New Roman" w:eastAsia="Times New Roman" w:hAnsi="Times New Roman"/>
                <w:sz w:val="14"/>
                <w:szCs w:val="14"/>
                <w:color w:val="auto"/>
              </w:rPr>
              <w:t>615</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ind w:right="49"/>
              <w:spacing w:after="0" w:line="155" w:lineRule="exact"/>
              <w:rPr>
                <w:sz w:val="20"/>
                <w:szCs w:val="20"/>
                <w:color w:val="auto"/>
              </w:rPr>
            </w:pPr>
            <w:r>
              <w:rPr>
                <w:rFonts w:ascii="Times New Roman" w:cs="Times New Roman" w:eastAsia="Times New Roman" w:hAnsi="Times New Roman"/>
                <w:sz w:val="14"/>
                <w:szCs w:val="14"/>
                <w:color w:val="auto"/>
              </w:rPr>
              <w:t>42,582</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86,511</w:t>
            </w:r>
          </w:p>
        </w:tc>
        <w:tc>
          <w:tcPr>
            <w:tcW w:w="1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129,698</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ind w:right="49"/>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ind w:right="69"/>
              <w:spacing w:after="0" w:line="155" w:lineRule="exact"/>
              <w:rPr>
                <w:sz w:val="20"/>
                <w:szCs w:val="20"/>
                <w:color w:val="auto"/>
              </w:rPr>
            </w:pPr>
            <w:r>
              <w:rPr>
                <w:rFonts w:ascii="Times New Roman" w:cs="Times New Roman" w:eastAsia="Times New Roman" w:hAnsi="Times New Roman"/>
                <w:sz w:val="14"/>
                <w:szCs w:val="14"/>
                <w:color w:val="auto"/>
              </w:rPr>
              <w:t>129,698</w:t>
            </w:r>
          </w:p>
        </w:tc>
        <w:tc>
          <w:tcPr>
            <w:tcW w:w="0" w:type="dxa"/>
            <w:vAlign w:val="bottom"/>
          </w:tcPr>
          <w:p>
            <w:pPr>
              <w:spacing w:after="0"/>
              <w:rPr>
                <w:sz w:val="1"/>
                <w:szCs w:val="1"/>
                <w:color w:val="auto"/>
              </w:rPr>
            </w:pPr>
          </w:p>
        </w:tc>
      </w:tr>
      <w:tr>
        <w:trPr>
          <w:trHeight w:val="162"/>
        </w:trPr>
        <w:tc>
          <w:tcPr>
            <w:tcW w:w="3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3,218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3,218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3,218</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1,251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1,251</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1,251</w:t>
            </w:r>
          </w:p>
        </w:tc>
        <w:tc>
          <w:tcPr>
            <w:tcW w:w="0" w:type="dxa"/>
            <w:vAlign w:val="bottom"/>
          </w:tcPr>
          <w:p>
            <w:pPr>
              <w:spacing w:after="0"/>
              <w:rPr>
                <w:sz w:val="1"/>
                <w:szCs w:val="1"/>
                <w:color w:val="auto"/>
              </w:rPr>
            </w:pPr>
          </w:p>
        </w:tc>
      </w:tr>
      <w:tr>
        <w:trPr>
          <w:trHeight w:val="162"/>
        </w:trPr>
        <w:tc>
          <w:tcPr>
            <w:tcW w:w="3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unrealized gain on investments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39"/>
        </w:trPr>
        <w:tc>
          <w:tcPr>
            <w:tcW w:w="3560" w:type="dxa"/>
            <w:vAlign w:val="bottom"/>
            <w:gridSpan w:val="2"/>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common stock issued in connection with</w:t>
            </w: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gridSpan w:val="2"/>
            <w:shd w:val="clear" w:color="auto" w:fill="CFF0FC"/>
          </w:tcPr>
          <w:p>
            <w:pPr>
              <w:ind w:left="360"/>
              <w:spacing w:after="0" w:line="149" w:lineRule="exact"/>
              <w:rPr>
                <w:sz w:val="20"/>
                <w:szCs w:val="20"/>
                <w:color w:val="auto"/>
              </w:rPr>
            </w:pPr>
            <w:r>
              <w:rPr>
                <w:rFonts w:ascii="Times New Roman" w:cs="Times New Roman" w:eastAsia="Times New Roman" w:hAnsi="Times New Roman"/>
                <w:sz w:val="14"/>
                <w:szCs w:val="14"/>
                <w:color w:val="auto"/>
              </w:rPr>
              <w:t>vesting of performance-based restricted</w:t>
            </w:r>
          </w:p>
        </w:tc>
        <w:tc>
          <w:tcPr>
            <w:tcW w:w="88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8,843</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5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stock units</w:t>
            </w:r>
          </w:p>
        </w:tc>
        <w:tc>
          <w:tcPr>
            <w:tcW w:w="8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immediately vested common stock awards</w:t>
            </w: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21,220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3560" w:type="dxa"/>
            <w:vAlign w:val="bottom"/>
            <w:gridSpan w:val="2"/>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common stock surrendered in connection</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(2,187)</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1"/>
        </w:trPr>
        <w:tc>
          <w:tcPr>
            <w:tcW w:w="35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with payroll withholding taxes</w:t>
            </w:r>
          </w:p>
        </w:tc>
        <w:tc>
          <w:tcPr>
            <w:tcW w:w="8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dividends paid</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(5,292)</w:t>
            </w:r>
          </w:p>
        </w:tc>
        <w:tc>
          <w:tcPr>
            <w:tcW w:w="0" w:type="dxa"/>
            <w:vAlign w:val="bottom"/>
          </w:tcPr>
          <w:p>
            <w:pPr>
              <w:spacing w:after="0"/>
              <w:rPr>
                <w:sz w:val="1"/>
                <w:szCs w:val="1"/>
                <w:color w:val="auto"/>
              </w:rPr>
            </w:pPr>
          </w:p>
        </w:tc>
      </w:tr>
      <w:tr>
        <w:trPr>
          <w:trHeight w:val="156"/>
        </w:trPr>
        <w:tc>
          <w:tcPr>
            <w:tcW w:w="3560" w:type="dxa"/>
            <w:vAlign w:val="bottom"/>
            <w:tcBorders>
              <w:top w:val="single" w:sz="8" w:color="CFF0FC"/>
            </w:tcBorders>
            <w:gridSpan w:val="2"/>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May 2, 2021</w:t>
            </w:r>
          </w:p>
        </w:tc>
        <w:tc>
          <w:tcPr>
            <w:tcW w:w="880" w:type="dxa"/>
            <w:vAlign w:val="bottom"/>
            <w:tcBorders>
              <w:top w:val="single" w:sz="8" w:color="auto"/>
            </w:tcBorders>
            <w:shd w:val="clear" w:color="auto" w:fill="CFF0FC"/>
          </w:tcPr>
          <w:p>
            <w:pPr>
              <w:jc w:val="right"/>
              <w:ind w:right="49"/>
              <w:spacing w:after="0" w:line="155" w:lineRule="exact"/>
              <w:rPr>
                <w:sz w:val="20"/>
                <w:szCs w:val="20"/>
                <w:color w:val="auto"/>
              </w:rPr>
            </w:pPr>
            <w:r>
              <w:rPr>
                <w:rFonts w:ascii="Times New Roman" w:cs="Times New Roman" w:eastAsia="Times New Roman" w:hAnsi="Times New Roman"/>
                <w:sz w:val="14"/>
                <w:szCs w:val="14"/>
                <w:color w:val="auto"/>
              </w:rPr>
              <w:t>12,312,822</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ind w:right="49"/>
              <w:spacing w:after="0" w:line="155" w:lineRule="exact"/>
              <w:rPr>
                <w:sz w:val="20"/>
                <w:szCs w:val="20"/>
                <w:color w:val="auto"/>
              </w:rPr>
            </w:pPr>
            <w:r>
              <w:rPr>
                <w:rFonts w:ascii="Times New Roman" w:cs="Times New Roman" w:eastAsia="Times New Roman" w:hAnsi="Times New Roman"/>
                <w:sz w:val="14"/>
                <w:szCs w:val="14"/>
                <w:color w:val="auto"/>
              </w:rPr>
              <w:t>616</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ind w:right="49"/>
              <w:spacing w:after="0" w:line="155" w:lineRule="exact"/>
              <w:rPr>
                <w:sz w:val="20"/>
                <w:szCs w:val="20"/>
                <w:color w:val="auto"/>
              </w:rPr>
            </w:pPr>
            <w:r>
              <w:rPr>
                <w:rFonts w:ascii="Times New Roman" w:cs="Times New Roman" w:eastAsia="Times New Roman" w:hAnsi="Times New Roman"/>
                <w:sz w:val="14"/>
                <w:szCs w:val="14"/>
                <w:color w:val="auto"/>
              </w:rPr>
              <w:t>43,807</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84,437</w:t>
            </w:r>
          </w:p>
        </w:tc>
        <w:tc>
          <w:tcPr>
            <w:tcW w:w="1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146</w:t>
            </w: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129,006</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ind w:right="49"/>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ind w:right="69"/>
              <w:spacing w:after="0" w:line="155" w:lineRule="exact"/>
              <w:rPr>
                <w:sz w:val="20"/>
                <w:szCs w:val="20"/>
                <w:color w:val="auto"/>
              </w:rPr>
            </w:pPr>
            <w:r>
              <w:rPr>
                <w:rFonts w:ascii="Times New Roman" w:cs="Times New Roman" w:eastAsia="Times New Roman" w:hAnsi="Times New Roman"/>
                <w:sz w:val="14"/>
                <w:szCs w:val="14"/>
                <w:color w:val="auto"/>
              </w:rPr>
              <w:t>129,006</w:t>
            </w:r>
          </w:p>
        </w:tc>
        <w:tc>
          <w:tcPr>
            <w:tcW w:w="0" w:type="dxa"/>
            <w:vAlign w:val="bottom"/>
          </w:tcPr>
          <w:p>
            <w:pPr>
              <w:spacing w:after="0"/>
              <w:rPr>
                <w:sz w:val="1"/>
                <w:szCs w:val="1"/>
                <w:color w:val="auto"/>
              </w:rPr>
            </w:pPr>
          </w:p>
        </w:tc>
      </w:tr>
      <w:tr>
        <w:trPr>
          <w:trHeight w:val="162"/>
        </w:trPr>
        <w:tc>
          <w:tcPr>
            <w:tcW w:w="3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(3,211)</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1,133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1,133</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1,133</w:t>
            </w:r>
          </w:p>
        </w:tc>
        <w:tc>
          <w:tcPr>
            <w:tcW w:w="0" w:type="dxa"/>
            <w:vAlign w:val="bottom"/>
          </w:tcPr>
          <w:p>
            <w:pPr>
              <w:spacing w:after="0"/>
              <w:rPr>
                <w:sz w:val="1"/>
                <w:szCs w:val="1"/>
                <w:color w:val="auto"/>
              </w:rPr>
            </w:pPr>
          </w:p>
        </w:tc>
      </w:tr>
      <w:tr>
        <w:trPr>
          <w:trHeight w:val="162"/>
        </w:trPr>
        <w:tc>
          <w:tcPr>
            <w:tcW w:w="3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unrealized loss on investments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39"/>
        </w:trPr>
        <w:tc>
          <w:tcPr>
            <w:tcW w:w="3560" w:type="dxa"/>
            <w:vAlign w:val="bottom"/>
            <w:gridSpan w:val="2"/>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common stock issued in connection with</w:t>
            </w: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gridSpan w:val="2"/>
            <w:shd w:val="clear" w:color="auto" w:fill="CFF0FC"/>
          </w:tcPr>
          <w:p>
            <w:pPr>
              <w:ind w:left="360"/>
              <w:spacing w:after="0" w:line="149" w:lineRule="exact"/>
              <w:rPr>
                <w:sz w:val="20"/>
                <w:szCs w:val="20"/>
                <w:color w:val="auto"/>
              </w:rPr>
            </w:pPr>
            <w:r>
              <w:rPr>
                <w:rFonts w:ascii="Times New Roman" w:cs="Times New Roman" w:eastAsia="Times New Roman" w:hAnsi="Times New Roman"/>
                <w:sz w:val="14"/>
                <w:szCs w:val="14"/>
                <w:color w:val="auto"/>
              </w:rPr>
              <w:t>vesting of performance-based restricted</w:t>
            </w:r>
          </w:p>
        </w:tc>
        <w:tc>
          <w:tcPr>
            <w:tcW w:w="88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10,863</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5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stock units</w:t>
            </w:r>
          </w:p>
        </w:tc>
        <w:tc>
          <w:tcPr>
            <w:tcW w:w="8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immediately vested common stock awards</w:t>
            </w: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29,657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3560" w:type="dxa"/>
            <w:vAlign w:val="bottom"/>
            <w:gridSpan w:val="2"/>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common stock surrendered in connection</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71"/>
        </w:trPr>
        <w:tc>
          <w:tcPr>
            <w:tcW w:w="35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with payroll withholding taxes</w:t>
            </w:r>
          </w:p>
        </w:tc>
        <w:tc>
          <w:tcPr>
            <w:tcW w:w="8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common stock repurchased</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(1,752)</w:t>
            </w:r>
          </w:p>
        </w:tc>
        <w:tc>
          <w:tcPr>
            <w:tcW w:w="0" w:type="dxa"/>
            <w:vAlign w:val="bottom"/>
          </w:tcPr>
          <w:p>
            <w:pPr>
              <w:spacing w:after="0"/>
              <w:rPr>
                <w:sz w:val="1"/>
                <w:szCs w:val="1"/>
                <w:color w:val="auto"/>
              </w:rPr>
            </w:pPr>
          </w:p>
        </w:tc>
      </w:tr>
      <w:tr>
        <w:trPr>
          <w:trHeight w:val="162"/>
        </w:trPr>
        <w:tc>
          <w:tcPr>
            <w:tcW w:w="35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dividends paid</w:t>
            </w: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(5,511)</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(5,511)</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(5,511)</w:t>
            </w:r>
          </w:p>
        </w:tc>
        <w:tc>
          <w:tcPr>
            <w:tcW w:w="0" w:type="dxa"/>
            <w:vAlign w:val="bottom"/>
          </w:tcPr>
          <w:p>
            <w:pPr>
              <w:spacing w:after="0"/>
              <w:rPr>
                <w:sz w:val="1"/>
                <w:szCs w:val="1"/>
                <w:color w:val="auto"/>
              </w:rPr>
            </w:pPr>
          </w:p>
        </w:tc>
      </w:tr>
      <w:tr>
        <w:trPr>
          <w:trHeight w:val="155"/>
        </w:trPr>
        <w:tc>
          <w:tcPr>
            <w:tcW w:w="35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Balance, May 1, 2022</w:t>
            </w:r>
          </w:p>
        </w:tc>
        <w:tc>
          <w:tcPr>
            <w:tcW w:w="880" w:type="dxa"/>
            <w:vAlign w:val="bottom"/>
            <w:tcBorders>
              <w:top w:val="single" w:sz="8" w:color="auto"/>
              <w:bottom w:val="single" w:sz="8" w:color="auto"/>
            </w:tcBorders>
          </w:tcPr>
          <w:p>
            <w:pPr>
              <w:jc w:val="right"/>
              <w:ind w:right="49"/>
              <w:spacing w:after="0" w:line="155" w:lineRule="exact"/>
              <w:rPr>
                <w:sz w:val="20"/>
                <w:szCs w:val="20"/>
                <w:color w:val="auto"/>
              </w:rPr>
            </w:pPr>
            <w:r>
              <w:rPr>
                <w:rFonts w:ascii="Times New Roman" w:cs="Times New Roman" w:eastAsia="Times New Roman" w:hAnsi="Times New Roman"/>
                <w:sz w:val="14"/>
                <w:szCs w:val="14"/>
                <w:color w:val="auto"/>
              </w:rPr>
              <w:t>12,228,629</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49"/>
              <w:spacing w:after="0" w:line="155" w:lineRule="exact"/>
              <w:rPr>
                <w:sz w:val="20"/>
                <w:szCs w:val="20"/>
                <w:color w:val="auto"/>
              </w:rPr>
            </w:pPr>
            <w:r>
              <w:rPr>
                <w:rFonts w:ascii="Times New Roman" w:cs="Times New Roman" w:eastAsia="Times New Roman" w:hAnsi="Times New Roman"/>
                <w:sz w:val="14"/>
                <w:szCs w:val="14"/>
                <w:color w:val="auto"/>
              </w:rPr>
              <w:t>611</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49"/>
              <w:spacing w:after="0" w:line="155" w:lineRule="exact"/>
              <w:rPr>
                <w:sz w:val="20"/>
                <w:szCs w:val="20"/>
                <w:color w:val="auto"/>
              </w:rPr>
            </w:pPr>
            <w:r>
              <w:rPr>
                <w:rFonts w:ascii="Times New Roman" w:cs="Times New Roman" w:eastAsia="Times New Roman" w:hAnsi="Times New Roman"/>
                <w:sz w:val="14"/>
                <w:szCs w:val="14"/>
                <w:color w:val="auto"/>
              </w:rPr>
              <w:t>43,143</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75,715</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3"/>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119,501</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ind w:right="49"/>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69"/>
              <w:spacing w:after="0" w:line="155" w:lineRule="exact"/>
              <w:rPr>
                <w:sz w:val="20"/>
                <w:szCs w:val="20"/>
                <w:color w:val="auto"/>
              </w:rPr>
            </w:pPr>
            <w:r>
              <w:rPr>
                <w:rFonts w:ascii="Times New Roman" w:cs="Times New Roman" w:eastAsia="Times New Roman" w:hAnsi="Times New Roman"/>
                <w:sz w:val="14"/>
                <w:szCs w:val="14"/>
                <w:color w:val="auto"/>
              </w:rPr>
              <w:t>119,501</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years ended May 1, 2022, May 2, 2021, and May 3, 2020</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548"/>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58"/>
        </w:trPr>
        <w:tc>
          <w:tcPr>
            <w:tcW w:w="6520" w:type="dxa"/>
            <w:vAlign w:val="bottom"/>
            <w:tcBorders>
              <w:top w:val="single" w:sz="8" w:color="auto"/>
            </w:tcBorders>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14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r>
      <w:tr>
        <w:trPr>
          <w:trHeight w:val="162"/>
        </w:trPr>
        <w:tc>
          <w:tcPr>
            <w:tcW w:w="6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 income</w:t>
            </w:r>
          </w:p>
        </w:tc>
        <w:tc>
          <w:tcPr>
            <w:tcW w:w="4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(3,211)</w:t>
            </w:r>
          </w:p>
        </w:tc>
        <w:tc>
          <w:tcPr>
            <w:tcW w:w="1000" w:type="dxa"/>
            <w:vAlign w:val="bottom"/>
            <w:gridSpan w:val="2"/>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3,218</w:t>
            </w:r>
          </w:p>
        </w:tc>
        <w:tc>
          <w:tcPr>
            <w:tcW w:w="14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(28,667)</w:t>
            </w:r>
          </w:p>
        </w:tc>
      </w:tr>
      <w:tr>
        <w:trPr>
          <w:trHeight w:val="139"/>
        </w:trPr>
        <w:tc>
          <w:tcPr>
            <w:tcW w:w="652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adjustments to reconcile net (loss) income to net cash (used in) provided by</w:t>
            </w: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r>
      <w:tr>
        <w:trPr>
          <w:trHeight w:val="171"/>
        </w:trPr>
        <w:tc>
          <w:tcPr>
            <w:tcW w:w="6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operating activities:</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r>
      <w:tr>
        <w:trPr>
          <w:trHeight w:val="162"/>
        </w:trPr>
        <w:tc>
          <w:tcPr>
            <w:tcW w:w="65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depreciation</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6,994</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6,846</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7,827</w:t>
            </w:r>
          </w:p>
        </w:tc>
      </w:tr>
      <w:tr>
        <w:trPr>
          <w:trHeight w:val="162"/>
        </w:trPr>
        <w:tc>
          <w:tcPr>
            <w:tcW w:w="65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amortization</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559</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466</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647</w:t>
            </w:r>
          </w:p>
        </w:tc>
      </w:tr>
      <w:tr>
        <w:trPr>
          <w:trHeight w:val="162"/>
        </w:trPr>
        <w:tc>
          <w:tcPr>
            <w:tcW w:w="65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asset impairments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33,914</w:t>
            </w:r>
          </w:p>
        </w:tc>
      </w:tr>
      <w:tr>
        <w:trPr>
          <w:trHeight w:val="162"/>
        </w:trPr>
        <w:tc>
          <w:tcPr>
            <w:tcW w:w="65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reversal of contingent consideration associated with discontinued operation</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(6,081)</w:t>
            </w:r>
          </w:p>
        </w:tc>
      </w:tr>
      <w:tr>
        <w:trPr>
          <w:trHeight w:val="162"/>
        </w:trPr>
        <w:tc>
          <w:tcPr>
            <w:tcW w:w="65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loss on disposal of discontinued operation</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1,606</w:t>
            </w:r>
          </w:p>
        </w:tc>
      </w:tr>
      <w:tr>
        <w:trPr>
          <w:trHeight w:val="162"/>
        </w:trPr>
        <w:tc>
          <w:tcPr>
            <w:tcW w:w="65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1,133</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1,251</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614</w:t>
            </w:r>
          </w:p>
        </w:tc>
      </w:tr>
      <w:tr>
        <w:trPr>
          <w:trHeight w:val="162"/>
        </w:trPr>
        <w:tc>
          <w:tcPr>
            <w:tcW w:w="65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deferred income taxes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691</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3,760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w:t>
            </w:r>
          </w:p>
        </w:tc>
      </w:tr>
      <w:tr>
        <w:trPr>
          <w:trHeight w:val="162"/>
        </w:trPr>
        <w:tc>
          <w:tcPr>
            <w:tcW w:w="65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gain on bargain purchase</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5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gain on sale of property, plant, and equipment</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r>
      <w:tr>
        <w:trPr>
          <w:trHeight w:val="162"/>
        </w:trPr>
        <w:tc>
          <w:tcPr>
            <w:tcW w:w="65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(income) loss from investment in unconsolidated joint venture</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125</w:t>
            </w:r>
          </w:p>
        </w:tc>
      </w:tr>
      <w:tr>
        <w:trPr>
          <w:trHeight w:val="162"/>
        </w:trPr>
        <w:tc>
          <w:tcPr>
            <w:tcW w:w="65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realized loss (gain) from the sale of investments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450</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r>
      <w:tr>
        <w:trPr>
          <w:trHeight w:val="162"/>
        </w:trPr>
        <w:tc>
          <w:tcPr>
            <w:tcW w:w="65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foreign currency exchange loss</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16</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1,520</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109</w:t>
            </w:r>
          </w:p>
        </w:tc>
      </w:tr>
      <w:tr>
        <w:trPr>
          <w:trHeight w:val="139"/>
        </w:trPr>
        <w:tc>
          <w:tcPr>
            <w:tcW w:w="6520" w:type="dxa"/>
            <w:vAlign w:val="bottom"/>
          </w:tcPr>
          <w:p>
            <w:pPr>
              <w:ind w:left="740"/>
              <w:spacing w:after="0" w:line="139" w:lineRule="exact"/>
              <w:rPr>
                <w:sz w:val="20"/>
                <w:szCs w:val="20"/>
                <w:color w:val="auto"/>
              </w:rPr>
            </w:pPr>
            <w:r>
              <w:rPr>
                <w:rFonts w:ascii="Times New Roman" w:cs="Times New Roman" w:eastAsia="Times New Roman" w:hAnsi="Times New Roman"/>
                <w:sz w:val="14"/>
                <w:szCs w:val="14"/>
                <w:color w:val="auto"/>
              </w:rPr>
              <w:t>changes in assets and liabilities, net of effects of</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71"/>
        </w:trPr>
        <w:tc>
          <w:tcPr>
            <w:tcW w:w="65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acquisition and disposal of businesses: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65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4"/>
                <w:szCs w:val="14"/>
                <w:color w:val="auto"/>
              </w:rPr>
              <w:t>accounts receivable</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15,416</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(12,117)</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(1,994)</w:t>
            </w:r>
          </w:p>
        </w:tc>
      </w:tr>
      <w:tr>
        <w:trPr>
          <w:trHeight w:val="162"/>
        </w:trPr>
        <w:tc>
          <w:tcPr>
            <w:tcW w:w="65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inventories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(10,787)</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(7,225)</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w:t>
            </w:r>
          </w:p>
        </w:tc>
      </w:tr>
      <w:tr>
        <w:trPr>
          <w:trHeight w:val="162"/>
        </w:trPr>
        <w:tc>
          <w:tcPr>
            <w:tcW w:w="65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4"/>
                <w:szCs w:val="14"/>
                <w:color w:val="auto"/>
              </w:rPr>
              <w:t>other current assets</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946</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(1,442)</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342</w:t>
            </w:r>
          </w:p>
        </w:tc>
      </w:tr>
      <w:tr>
        <w:trPr>
          <w:trHeight w:val="162"/>
        </w:trPr>
        <w:tc>
          <w:tcPr>
            <w:tcW w:w="65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(1,386)</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62"/>
        </w:trPr>
        <w:tc>
          <w:tcPr>
            <w:tcW w:w="65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4"/>
                <w:szCs w:val="14"/>
                <w:color w:val="auto"/>
              </w:rPr>
              <w:t>accounts payable-trade</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(22,131)</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17,228</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499</w:t>
            </w:r>
          </w:p>
        </w:tc>
      </w:tr>
      <w:tr>
        <w:trPr>
          <w:trHeight w:val="162"/>
        </w:trPr>
        <w:tc>
          <w:tcPr>
            <w:tcW w:w="65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accrued expenses and deferred compensation</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(5,204)</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9,457</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w:t>
            </w:r>
          </w:p>
        </w:tc>
      </w:tr>
      <w:tr>
        <w:trPr>
          <w:trHeight w:val="162"/>
        </w:trPr>
        <w:tc>
          <w:tcPr>
            <w:tcW w:w="65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4"/>
                <w:szCs w:val="14"/>
                <w:color w:val="auto"/>
              </w:rPr>
              <w:t>deferred revenue</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103</w:t>
            </w:r>
          </w:p>
        </w:tc>
      </w:tr>
      <w:tr>
        <w:trPr>
          <w:trHeight w:val="162"/>
        </w:trPr>
        <w:tc>
          <w:tcPr>
            <w:tcW w:w="65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accrued restructuring costs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162"/>
        </w:trPr>
        <w:tc>
          <w:tcPr>
            <w:tcW w:w="652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4"/>
                <w:szCs w:val="14"/>
                <w:color w:val="auto"/>
              </w:rPr>
              <w:t>income taxes</w:t>
            </w:r>
          </w:p>
        </w:tc>
        <w:tc>
          <w:tcPr>
            <w:tcW w:w="14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(907)</w:t>
            </w:r>
          </w:p>
        </w:tc>
        <w:tc>
          <w:tcPr>
            <w:tcW w:w="140" w:type="dxa"/>
            <w:vAlign w:val="bottom"/>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843</w:t>
            </w:r>
          </w:p>
        </w:tc>
        <w:tc>
          <w:tcPr>
            <w:tcW w:w="14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w:t>
            </w:r>
          </w:p>
        </w:tc>
      </w:tr>
      <w:tr>
        <w:trPr>
          <w:trHeight w:val="156"/>
        </w:trPr>
        <w:tc>
          <w:tcPr>
            <w:tcW w:w="6520" w:type="dxa"/>
            <w:vAlign w:val="bottom"/>
            <w:tcBorders>
              <w:bottom w:val="single" w:sz="8" w:color="CFF0FC"/>
            </w:tcBorders>
          </w:tcPr>
          <w:p>
            <w:pPr>
              <w:ind w:left="1240"/>
              <w:spacing w:after="0" w:line="155" w:lineRule="exact"/>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(17,441)</w:t>
            </w:r>
          </w:p>
        </w:tc>
        <w:tc>
          <w:tcPr>
            <w:tcW w:w="14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21,478</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4,970</w:t>
            </w:r>
          </w:p>
        </w:tc>
      </w:tr>
      <w:tr>
        <w:trPr>
          <w:trHeight w:val="155"/>
        </w:trPr>
        <w:tc>
          <w:tcPr>
            <w:tcW w:w="65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r>
      <w:tr>
        <w:trPr>
          <w:trHeight w:val="162"/>
        </w:trPr>
        <w:tc>
          <w:tcPr>
            <w:tcW w:w="6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cash paid for acquisition of assets, net of cash acquired</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capital expenditures</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(5,695)</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(6,664)</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(4,585)</w:t>
            </w:r>
          </w:p>
        </w:tc>
      </w:tr>
      <w:tr>
        <w:trPr>
          <w:trHeight w:val="162"/>
        </w:trPr>
        <w:tc>
          <w:tcPr>
            <w:tcW w:w="6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proceeds from the sale of property, plant, and equipment</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672</w:t>
            </w:r>
          </w:p>
        </w:tc>
      </w:tr>
      <w:tr>
        <w:trPr>
          <w:trHeight w:val="162"/>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proceeds from long-term note receivable associated with discontinued operation</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1,523</w:t>
            </w:r>
          </w:p>
        </w:tc>
      </w:tr>
      <w:tr>
        <w:trPr>
          <w:trHeight w:val="162"/>
        </w:trPr>
        <w:tc>
          <w:tcPr>
            <w:tcW w:w="6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investment in unconsolidated joint venture</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r>
      <w:tr>
        <w:trPr>
          <w:trHeight w:val="162"/>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proceeds from the sale of short-term investments (available for sale)</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9,879</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468</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6,606</w:t>
            </w:r>
          </w:p>
        </w:tc>
      </w:tr>
      <w:tr>
        <w:trPr>
          <w:trHeight w:val="162"/>
        </w:trPr>
        <w:tc>
          <w:tcPr>
            <w:tcW w:w="6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proceeds from the sale and maturity of investments (held to maturity)</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13,486</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10,165</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6,100</w:t>
            </w:r>
          </w:p>
        </w:tc>
      </w:tr>
      <w:tr>
        <w:trPr>
          <w:trHeight w:val="162"/>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purchase of short-term investments (available for sale)</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(4,391)</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(5,044)</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(7,555)</w:t>
            </w:r>
          </w:p>
        </w:tc>
      </w:tr>
      <w:tr>
        <w:trPr>
          <w:trHeight w:val="162"/>
        </w:trPr>
        <w:tc>
          <w:tcPr>
            <w:tcW w:w="6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purchase of investments (held-to-maturity)</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(9,751)</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(8,173)</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(7,465)</w:t>
            </w:r>
          </w:p>
        </w:tc>
      </w:tr>
      <w:tr>
        <w:trPr>
          <w:trHeight w:val="162"/>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proceeds from the sale of long-term investments (rabbi trust)</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56</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157</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5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4"/>
                <w:szCs w:val="14"/>
                <w:color w:val="auto"/>
              </w:rPr>
              <w:t>purchase of long-term investments (rabbi trust)</w:t>
            </w:r>
          </w:p>
        </w:tc>
        <w:tc>
          <w:tcPr>
            <w:tcW w:w="1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(1,088)</w:t>
            </w:r>
          </w:p>
        </w:tc>
        <w:tc>
          <w:tcPr>
            <w:tcW w:w="14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(788)</w:t>
            </w:r>
          </w:p>
        </w:tc>
      </w:tr>
      <w:tr>
        <w:trPr>
          <w:trHeight w:val="155"/>
        </w:trPr>
        <w:tc>
          <w:tcPr>
            <w:tcW w:w="6520" w:type="dxa"/>
            <w:vAlign w:val="bottom"/>
            <w:shd w:val="clear" w:color="auto" w:fill="CFF0FC"/>
          </w:tcPr>
          <w:p>
            <w:pPr>
              <w:ind w:left="1240"/>
              <w:spacing w:after="0" w:line="155"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4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2,496</w:t>
            </w:r>
          </w:p>
        </w:tc>
        <w:tc>
          <w:tcPr>
            <w:tcW w:w="140" w:type="dxa"/>
            <w:vAlign w:val="bottom"/>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(10,680)</w:t>
            </w:r>
          </w:p>
        </w:tc>
        <w:tc>
          <w:tcPr>
            <w:tcW w:w="14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(5,712)</w:t>
            </w:r>
          </w:p>
        </w:tc>
      </w:tr>
      <w:tr>
        <w:trPr>
          <w:trHeight w:val="155"/>
        </w:trPr>
        <w:tc>
          <w:tcPr>
            <w:tcW w:w="65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2"/>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proceeds from lines of credit</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9,000</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30,765</w:t>
            </w:r>
          </w:p>
        </w:tc>
      </w:tr>
      <w:tr>
        <w:trPr>
          <w:trHeight w:val="162"/>
        </w:trPr>
        <w:tc>
          <w:tcPr>
            <w:tcW w:w="6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payments associated with lines of credit</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(9,000)</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(30,772)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proceeds from Paycheck Protection Program loan</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7,606</w:t>
            </w:r>
          </w:p>
        </w:tc>
      </w:tr>
      <w:tr>
        <w:trPr>
          <w:trHeight w:val="162"/>
        </w:trPr>
        <w:tc>
          <w:tcPr>
            <w:tcW w:w="6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payments associated with Paycheck Protection Program loan</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(7,606)</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proceeds from subordinated loan payable associated with the</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r>
      <w:tr>
        <w:trPr>
          <w:trHeight w:val="162"/>
        </w:trPr>
        <w:tc>
          <w:tcPr>
            <w:tcW w:w="65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noncontrolling interest of discontinued operation</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250</w:t>
            </w:r>
          </w:p>
        </w:tc>
      </w:tr>
      <w:tr>
        <w:trPr>
          <w:trHeight w:val="162"/>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cash paid for acquisition of businesses</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(1,532)</w:t>
            </w:r>
          </w:p>
        </w:tc>
      </w:tr>
      <w:tr>
        <w:trPr>
          <w:trHeight w:val="162"/>
        </w:trPr>
        <w:tc>
          <w:tcPr>
            <w:tcW w:w="6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dividends paid</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(5,511)</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(5,075)</w:t>
            </w:r>
          </w:p>
        </w:tc>
      </w:tr>
      <w:tr>
        <w:trPr>
          <w:trHeight w:val="162"/>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(1,752)</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(1,680)</w:t>
            </w:r>
          </w:p>
        </w:tc>
      </w:tr>
      <w:tr>
        <w:trPr>
          <w:trHeight w:val="162"/>
        </w:trPr>
        <w:tc>
          <w:tcPr>
            <w:tcW w:w="65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common stock surrendered for payroll withholding taxes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62"/>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capital contribution associated with the noncontrolling interest</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r>
      <w:tr>
        <w:trPr>
          <w:trHeight w:val="162"/>
        </w:trPr>
        <w:tc>
          <w:tcPr>
            <w:tcW w:w="65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of discontinued operation</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360</w:t>
            </w:r>
          </w:p>
        </w:tc>
      </w:tr>
      <w:tr>
        <w:trPr>
          <w:trHeight w:val="162"/>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payments for debt issuance costs</w:t>
            </w:r>
          </w:p>
        </w:tc>
        <w:tc>
          <w:tcPr>
            <w:tcW w:w="14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(110)</w:t>
            </w:r>
          </w:p>
        </w:tc>
        <w:tc>
          <w:tcPr>
            <w:tcW w:w="140" w:type="dxa"/>
            <w:vAlign w:val="bottom"/>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55"/>
        </w:trPr>
        <w:tc>
          <w:tcPr>
            <w:tcW w:w="6520" w:type="dxa"/>
            <w:vAlign w:val="bottom"/>
            <w:tcBorders>
              <w:bottom w:val="single" w:sz="8" w:color="CFF0FC"/>
            </w:tcBorders>
          </w:tcPr>
          <w:p>
            <w:pPr>
              <w:ind w:left="1240"/>
              <w:spacing w:after="0" w:line="155" w:lineRule="exact"/>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(7,423)</w:t>
            </w:r>
          </w:p>
        </w:tc>
        <w:tc>
          <w:tcPr>
            <w:tcW w:w="14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(43,710)</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30,643</w:t>
            </w:r>
          </w:p>
        </w:tc>
      </w:tr>
      <w:tr>
        <w:trPr>
          <w:trHeight w:val="156"/>
        </w:trPr>
        <w:tc>
          <w:tcPr>
            <w:tcW w:w="65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(91)</w:t>
            </w: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131</w:t>
            </w:r>
          </w:p>
        </w:tc>
        <w:tc>
          <w:tcPr>
            <w:tcW w:w="1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(119)</w:t>
            </w:r>
          </w:p>
        </w:tc>
      </w:tr>
      <w:tr>
        <w:trPr>
          <w:trHeight w:val="162"/>
        </w:trPr>
        <w:tc>
          <w:tcPr>
            <w:tcW w:w="6520" w:type="dxa"/>
            <w:vAlign w:val="bottom"/>
          </w:tcPr>
          <w:p>
            <w:pPr>
              <w:spacing w:after="0"/>
              <w:rPr>
                <w:sz w:val="20"/>
                <w:szCs w:val="20"/>
                <w:color w:val="auto"/>
              </w:rPr>
            </w:pPr>
            <w:r>
              <w:rPr>
                <w:rFonts w:ascii="Times New Roman" w:cs="Times New Roman" w:eastAsia="Times New Roman" w:hAnsi="Times New Roman"/>
                <w:sz w:val="14"/>
                <w:szCs w:val="14"/>
                <w:color w:val="auto"/>
              </w:rPr>
              <w:t>(decrease) increase in cash and cash equivalents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(22,459)</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(32,781)</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29,782</w:t>
            </w:r>
          </w:p>
        </w:tc>
      </w:tr>
      <w:tr>
        <w:trPr>
          <w:trHeight w:val="162"/>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14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37,009</w:t>
            </w:r>
          </w:p>
        </w:tc>
        <w:tc>
          <w:tcPr>
            <w:tcW w:w="140" w:type="dxa"/>
            <w:vAlign w:val="bottom"/>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69,790</w:t>
            </w:r>
          </w:p>
        </w:tc>
        <w:tc>
          <w:tcPr>
            <w:tcW w:w="14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40,008</w:t>
            </w:r>
          </w:p>
        </w:tc>
      </w:tr>
      <w:tr>
        <w:trPr>
          <w:trHeight w:val="155"/>
        </w:trPr>
        <w:tc>
          <w:tcPr>
            <w:tcW w:w="65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cash and cash equivalents at end of year</w:t>
            </w:r>
          </w:p>
        </w:tc>
        <w:tc>
          <w:tcPr>
            <w:tcW w:w="140" w:type="dxa"/>
            <w:vAlign w:val="bottom"/>
          </w:tcPr>
          <w:p>
            <w:pPr>
              <w:spacing w:after="0"/>
              <w:rPr>
                <w:sz w:val="13"/>
                <w:szCs w:val="13"/>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14,550</w:t>
            </w:r>
          </w:p>
        </w:tc>
        <w:tc>
          <w:tcPr>
            <w:tcW w:w="140" w:type="dxa"/>
            <w:vAlign w:val="bottom"/>
          </w:tcPr>
          <w:p>
            <w:pPr>
              <w:spacing w:after="0"/>
              <w:rPr>
                <w:sz w:val="13"/>
                <w:szCs w:val="13"/>
                <w:color w:val="auto"/>
              </w:rPr>
            </w:pPr>
          </w:p>
        </w:tc>
        <w:tc>
          <w:tcPr>
            <w:tcW w:w="860" w:type="dxa"/>
            <w:vAlign w:val="bottom"/>
            <w:tcBorders>
              <w:bottom w:val="single" w:sz="8" w:color="auto"/>
            </w:tcBorders>
          </w:tcPr>
          <w:p>
            <w:pPr>
              <w:jc w:val="right"/>
              <w:ind w:right="7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37,009</w:t>
            </w:r>
          </w:p>
        </w:tc>
        <w:tc>
          <w:tcPr>
            <w:tcW w:w="14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69,790</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85" w:lineRule="exact"/>
        <w:rPr>
          <w:sz w:val="20"/>
          <w:szCs w:val="20"/>
          <w:color w:val="auto"/>
        </w:rPr>
      </w:pPr>
    </w:p>
    <w:p>
      <w:pPr>
        <w:ind w:right="4680" w:firstLine="8"/>
        <w:spacing w:after="0" w:line="462" w:lineRule="auto"/>
        <w:tabs>
          <w:tab w:leader="none" w:pos="499"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AND SUMMARY OF SIGNIFICANT ACCOUNTING POLICIES Description of Business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Continuing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continuing operations are classified into two business segments: mattress fabrics and upholstery fabrics.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mattress fabrics segment manufactures, sources, and sells fabrics and mattress covers primarily to bedding manufacturers. We have mattress fabric operations located in Stokesdale, NC, High Point, NC, and Quebec, Canada. Additionally, we acquired the remaining fifty percent ownership interest in our former unconsolidated joint venture located in Ouanaminthe, Haiti during the fourth quarter of fiscal 2021. As a result, we are now the sole owner with full control of this cut and sew mattress cover operation (see Note 2 of the consolidated financial statements for further details regarding this business combination).</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upholstery fabrics segment develops, sources, manufactures, and sells fabrics primarily to residential and commercial furniture manufacturers. We have upholstery fabric operations located in Shanghai, China and Burlington, NC. During the third quarter of fiscal 2022, we also commenced operation of a new facility in Ouanaminthe, Haiti dedicated to the production of cut and sewn upholstery kits. Additionally, Read Window Products, LLC (“Read”), a wholly-owned subsidiary with operations located in Knoxville, TN, provides window treatments and sourcing of upholstery fabrics and other products, as well as measuring and installation of Read’s products, to customers in the hospitality and commercial industries. Read also supplies soft goods such as decorative top sheets, coverlets, duvet covers, bed skirts, bolsters, and pillows.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 – Home Accessories Segment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June 22, 2018, we acquired an 80% ownership interest in eLuxury, LLC (“eLuxury”), a company that offers bedding accessories and home goods directly to consumers and businesses through its e-commerce platform. eLuxury’s financial information was included in our home accessories segment.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March 31, 2020, we sold our entire ownership interest in eLuxury to its noncontrolling interest holder as part of our comprehensive response to the challenging conditions arising from the COVID-19 global pandemic. As a result of this sale, our home accessories segment was eliminated at such time, and therefore its results of operations and assets and liabilities were excluded from our continuing operations and presented as a discontinued operation in our consolidated financial statements. See Note 3 of the consolidated financial statements for further details.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financial statements of the company have been prepared in accordance with U.S. generally accepted accounting principles.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Overall</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All significant intercompany balances and transactions have been eliminated in consolidation. The accounts of our subsidiaries located in Shanghai, China and Poznan, Poland are consolidated as of April 30, a calendar month end, which are required by the Chinese and Polish governments, respectively. No events occurred related to the difference between our fiscal year end on the Sunday closest to April 30 and our China and Polish subsidiaries, year end of April 30 that materially affected the company’s financial position, results of operations, or cash flows for fiscal years 2022, 2021, and 2020.</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International Holdings, Ltd. (CIH)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Method of Accounting and Consolidation</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January 1, 2017, Culp International Holdings, Ltd. (Culp International), a wholly-owned subsidiary of Culp, Inc. (“Culp”), entered into a joint venture agreement pursuant to which Culp International owned 50% of CIH.</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a result of our initial 50% ownership interest, Culp’s investment in CIH was accounted for under the equity method of accounting in accordance with </w:t>
      </w:r>
      <w:r>
        <w:rPr>
          <w:rFonts w:ascii="Times New Roman" w:cs="Times New Roman" w:eastAsia="Times New Roman" w:hAnsi="Times New Roman"/>
          <w:sz w:val="18"/>
          <w:szCs w:val="18"/>
          <w:i w:val="1"/>
          <w:iCs w:val="1"/>
          <w:color w:val="auto"/>
        </w:rPr>
        <w:t xml:space="preserve">ASC Topic 823 – Investments – Equity Method and Joint Ventures. </w:t>
      </w:r>
      <w:r>
        <w:rPr>
          <w:rFonts w:ascii="Times New Roman" w:cs="Times New Roman" w:eastAsia="Times New Roman" w:hAnsi="Times New Roman"/>
          <w:sz w:val="18"/>
          <w:szCs w:val="18"/>
          <w:color w:val="auto"/>
        </w:rPr>
        <w:t>The equity method of accounting is required for an investee entity (i.e., CIH) that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but over which the reporting entity (i.e., Culp.) exercises significant influence. Whether or not a reporting entity exercises significant influence with respect to an investee depends on an evaluation of several factors, including representation on the investee’s board of directors, voting rights, and ownership level. In accordance with the equity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method of accounting, our 50% proportionate share of earnings and losses from CIH were reflected in the caption “Income (loss) from investment in unconsolidated joint venture” in the Consolidated Statements of Net (Loss) Income for the first nine months of fiscal 2021 and the full fiscal 2020 year.</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February 1, 2021, Culp International entered into a Share Purchase Agreement to acquire the remaining 50% ownership interest in CIH. Pursuant to this transaction, Culp International is now the sole owner with full control over CIH. As a result, effective February 1, 2021, our consolidated financial statements now include all of the accounts of CIH, and any significant intercompany balances and transactions have been eliminated in consolidation. Furthermore, the equity method of accounting will no longer be used and the former investment in unconsolidated joint venture is now included in the net assets of our now 100% interest in CIH. (see Note 2 of the consolidated financial statements for further details regarding this business combination).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fiscal year is the 52 or 53-week period ending on the Sunday closest to April 30. Fiscal 2022, 2021, and 2020 included 52 weeks, 52 weeks, and 53 weeks,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demand deposit and money market accounts. We consider all highly liquid instruments with original maturities of three months or less to be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cash and cash equivalents by geographic area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May 1,</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i w:val="1"/>
                <w:iCs w:val="1"/>
                <w:color w:val="auto"/>
              </w:rPr>
              <w:t>May 2,</w:t>
            </w:r>
          </w:p>
        </w:tc>
      </w:tr>
      <w:tr>
        <w:trPr>
          <w:trHeight w:val="236"/>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2022</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Times New Roman" w:cs="Times New Roman" w:eastAsia="Times New Roman" w:hAnsi="Times New Roman"/>
                <w:sz w:val="18"/>
                <w:szCs w:val="18"/>
                <w:i w:val="1"/>
                <w:iCs w:val="1"/>
                <w:color w:val="auto"/>
              </w:rPr>
              <w:t>2021</w:t>
            </w: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4,430</w:t>
            </w: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24,621</w:t>
            </w:r>
          </w:p>
        </w:tc>
      </w:tr>
      <w:tr>
        <w:trPr>
          <w:trHeight w:val="229"/>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04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9,502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10,635</w:t>
            </w:r>
          </w:p>
        </w:tc>
      </w:tr>
      <w:tr>
        <w:trPr>
          <w:trHeight w:val="230"/>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Canada</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267</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1,525</w:t>
            </w:r>
          </w:p>
        </w:tc>
      </w:tr>
      <w:tr>
        <w:trPr>
          <w:trHeight w:val="229"/>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Haiti</w:t>
            </w:r>
          </w:p>
        </w:tc>
        <w:tc>
          <w:tcPr>
            <w:tcW w:w="104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220</w:t>
            </w:r>
          </w:p>
        </w:tc>
      </w:tr>
      <w:tr>
        <w:trPr>
          <w:trHeight w:val="230"/>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10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6"/>
              </w:rPr>
              <w:t>14,550</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37,009</w:t>
            </w: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Throughout the year, we have cash balances regarding our U.S. operations of more than the federally insured amounts on deposit with a financial institution. We have not experienced any losses in such accounts. Management believes we are not exposed to any significant credit risk related to cash and cash equivalents.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Investments (Available-for-Sale)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2022, we sold all our short-term investments classified as available-for-sale, and therefore we did not report short-term investments classified as available-for-sale in the accompanying Consolidated Balance Sheet as of May 1, 2022. As of May 2, 2021, our short-term investments classified as available-for-sale were recorded at their fair values of $5.5 million, had an accumulated unrealized gain of $24,000, and resided with our U.S. operations. The fair value of our short-term investments approximated their cost basis.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Investments (Rabbi Trust)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rabbi trust to set aside funds for participants of our deferred compensation plan (the “Plan”) that enables our participants to credit their contributions to various investment options of the Plan. The investments associated with the rabbi trust consist of investments in a money market fund and various mutual funds that are classified as available-for-sale.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long-term investments classified as available-for-sale were recorded at their fair value of $9.4 million and $8.4 million as of May 1, 2022, and May 2, 2021, respectively. These investments had an accumulated unrealized gain totaling $32,000 and $122,000 as of May 1, 2022, and May 2, 2021, respectively. The fair value of our long-term investments associated with our rabbi trust approximates their cost basis and reside with our U.S.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Investments (Held-To-Maturity)</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fiscal 2022, we sold all our short-term investments classified as held-to-maturity, and therefore we did not report short-term or long-term investments classified as held-to-maturity in the accompanying Consolidated Balance Sheet as of May 1, 2022. As of May 2, 2021, our investments classified as held-to-maturity consisted of investment grade U.S. corporate bonds, foreign bonds, and government bonds. These investments were classified as held-to-maturity as we had the positive intent and ability to hold these investments until maturity. Our held-to-maturity investments were recorded as either current or noncurrent in our Consolidated Balance Sheets, based on the maturity date in relation to the respective reporting period and recorded at amortized cost.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2, 2021, the amortized cost and fair value of our held-to-maturity investments were $4.3 million.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bond investments were classified as level 2 in accordance with the fair value hierarchy defined in Note 15 of the consolidated financial statements. Our bond investments were traded over the counter within a broker network and not on an active market. The fair value of our bond investments was determined based on a published source that provided an average bid price. The average bid price was based on various broker prices that were determined based on market conditions, interest rates, and the rating of the respective bond investments.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our investments classified as held-to-maturity resided with our U.S.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Current Expected Credit Losses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Substantially all our accounts receivable were due from manufacturers in the bedding and furniture industries. We grant credit to customers and generally do not require collateral. We record an allowance for doubtful accounts that reflects estimates of probable credit losses. As of the end of each reporting period, we assess the credit risk of our customers within our accounts receivable portfolio. Our risk assessment includes the respective customer’s (i) financial position; (ii) past payment history; (iii) management’s general ability; and (iv) historical loss experience; as well as (v) any other ongoing economic conditions. After our risk assessment is completed, we assign credit grades to our customers, which in turn, are used to determine our allowance for doubtful accounts. We do not have any off-balance sheet credit exposure related to our customers.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account for inventories at the lower of first-in, first-out (FIFO) cost or net realizable value. Management continuously examines inventory to determine if there are indicators that the carrying value exceeds its net realizable value. Experience has shown that the most significant indicators of the need for inventory markdowns are the age of the inventory and the planned discontinuance of certain patterns. As a result, we provide inventory valuation write-downs based upon established percentages based on the age of the inventory that are continually evaluated as events and market conditions require. Our inventory aging categories are six, nine, twelve, and fifteen months. We also provide inventory valuation write-downs based on the planned discontinuance of certain products based on the current market values at that time as compared to their current carrying values.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recorded at cost and depreciated over their estimated useful lives using the straight-line method. Major renewals and betterments are capitalized. Maintenance, repairs, and minor renewals are expensed as incurred. When properties or equipment are retired or otherwise disposed of, the related cost and accumulated depreciation are removed from the accounts. Amounts received on disposal less the book value of assets sold are charged or credited to income from operations.</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reviews long-lived assets, which consist principally of property, plant, and equipment, for impairment whenever events or changes in circumstances indicate that the carrying value of the asset may not be recovered. Recoverability of long-lived assets to be held and used is measured by a comparison of the carrying amount of the asset to future net undiscounted cash flows expected to be generated by the asset. If the carrying amount of an asset exceeds its estimated future cash flows, an impairment charge is recognized for the excess of the carrying amount over the fair value of the asset. After the impairment loss is recognized, the adjusted carrying amount is the new accounting basis. Assets to be disposed of by sale are reported at the lower of the carrying value or fair value less cost to sell when the company has committed to a disposal plan and would be reported separately as assets held for sale in the Consolidated Balance Sheets.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costs are expensed as incurred. No advertising costs were incurred and presented in continuing operations during fiscal years 2022, 2021, or 2020. We did incur advertising costs totaling $1.7 million during fiscal 2020, which were included in net loss from discontinued operation in the fiscal 2020 Consolidated Statement of Net Loss.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Interest Costs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interest costs incurred were $17,000, $51,000, and, $190,000 during fiscal 2022, 2021, and 2020, respectively. All of the total interest costs incurred during fiscal years 2022 and 2021 were presented in continuing operations. Of the $190,000 in total interest costs incurred during fiscal 2020, $106,000 and $84,000 were presented in continuing operations and discontinued operations, respectively.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capitalize interest costs incurred on funds used to construct property, plant, and equipment. The capitalized interest is recorded as part of the asset to which it relates and is depreciated over the asset’s estimated useful life. No interest costs for the construction of qualifying fixed assets were capitalized during fiscal 2022, 2021, or 2020.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Adjustments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United States dollar is the functional currency for the company’s Canadian and Chinese subsidiaries. All monetary foreign currency asset and liability accounts are remeasured into U.S. dollars at year-end exchange rates. Non-monetary assets and liabilities such as property, plant, and equipment and right of use assets are recorded at historical exchange rates. Foreign currency revenues and expenses are remeasured at average exchange rates in effect during the year, except for certain expenses related to balance sheet amounts remeasured at historical exchange rates, such as depreciation expense. Exchange gains and losses from remeasurement of foreign currency denominated monetary assets and liabilities are recorded in the other expense line item in the Consolidated Statements of Net (Loss) Income in the period in which they occur.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foreign currency exchange (losses) gains by geographic area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2022</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2021</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2020</w:t>
            </w:r>
          </w:p>
        </w:tc>
      </w:tr>
      <w:tr>
        <w:trPr>
          <w:trHeight w:val="22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China</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3"/>
        </w:trPr>
        <w:tc>
          <w:tcPr>
            <w:tcW w:w="65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2022 and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asset impairment charges were recorded during fiscal 2022 or fiscal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2020</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ASC Topic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our business was classified into four reporting units during fiscal 2020: mattress fabrics, upholstery fabrics, Read, and home accessories. Effective March 31, 2020, we sold our entire ownership interest in eLuxury to its noncontrolling interest holder, and our home accessories reporting unit was eliminated at such time. As a result of this sale, we met the criteria outlined in ASC Topic 205-20 for our goodwill to be classified as held for sale and the results of operations and assets and liabilities for our home accessories segment were excluded from our continuing operations and presented as a discontinued operation in our consolidated financial statements (see Note 3 to the consolidated financial statements for further details).</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ASC Topic 350 requires us to assess goodwill for impairment annually (the last day of our fiscal year) or between annual tests if we believe certain indicators of impairment exist. Such indicators could include but are not limited to (1) deterioration in the environment of the industry and markets in which we operate, (2) unanticipated competition, (3) a deterioration in general economic conditions, (4) overall decline in financial performance such as negative and declining cash flows, or a decline in actual or planned revenue or earnings compared with actual and projected results or relevant prior periods, and (5) a decrease in the price per share of our common stock. As a result, we first assess qualitative factors, such as the indicators outlined above, to determine whether it is more likely than not that the fair value of a reporting unit is less than its carrying amount, including goodwill. If we conclude that it is more likely than not that the fair value of a reporting unit is less than its carrying amount, we conduct a quantitative goodwill impairment test. The quantitative impairment test involves comparing the fair value of the applicable reporting unit with its carrying value. We estimate the fair values of our reporting units using a combination of income, discounted cash flows, and market approaches, which utilize comparable companies’ data. If the carrying amount of a reporting unit exceeds the reporting unit’s fair value, an impairment loss is recognized in an amount equal to that excess, limited to the total amount of goodwill allocated to that reporting unit.</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our third quarter and annual impairment assessments during the fourth quarter, we recorded asset impairment charges associated with our goodwill and tradenames totaling $33.9 million during fiscal 2020. Of the total $33.9 million, $20.2 million and $13.7 million were reported in discontinued operations and continuing operations, respectively. Also, of the total $33.9 million asset impairment charges, $27.2 million and $6.7 million pertained to goodwill and tradenames, respectively. Due to the asset impairment charges of $27.2 million associated with our goodwill, no goodwill was reported on our Consolidated Balance Sheet as of May 1, 2022, and May 2, 2021.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6" w:name="page57"/>
    <w:bookmarkEnd w:id="56"/>
    <w:p>
      <w:pPr>
        <w:jc w:val="both"/>
        <w:spacing w:after="0" w:line="282" w:lineRule="auto"/>
        <w:rPr>
          <w:sz w:val="20"/>
          <w:szCs w:val="20"/>
          <w:color w:val="auto"/>
        </w:rPr>
      </w:pPr>
      <w:r>
        <w:rPr>
          <w:rFonts w:ascii="Times New Roman" w:cs="Times New Roman" w:eastAsia="Times New Roman" w:hAnsi="Times New Roman"/>
          <w:sz w:val="18"/>
          <w:szCs w:val="18"/>
          <w:color w:val="auto"/>
        </w:rPr>
        <w:t>See Notes 8 and 9 to the consolidated financial statements for further details of our assessments of impairment, conclusions reached, and the performance of our quantitative test.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 Taxes – Overall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income taxes are recognized for temporary differences between the financial statement carrying amounts and the tax basis of our assets, liabilities, U.S. loss carryforwards, and foreign income tax credits at income tax rates expected to be in effect when such amounts are realized or settled. The effect on deferred income taxes of a change in tax rates is recognized in income tax (expense) benefit in the period that includes the enactment date.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 Taxes – Valuation Allowance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our deferred income taxes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we operate in multiple jurisdictions, we assess the need for a valuation allowance on a jurisdiction-by-jurisdiction basis, considering the effects of local tax law.</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 Taxes – Undistributed Earnings from Foreign Subsidiaries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assess whether the undistributed earnings from our foreign subsidiaries will be reinvested indefinitely or eventually distributed to our U.S. parent company. We are required to record a deferred tax liability for undistributed earnings from foreign subsidiaries that will not be reinvested indefinitely. As a result of the 2017 Tax Cuts and Jobs Act, a U.S. corporation is allowed a 100% dividend received deduction for earnings and profits received from a 10% owned foreign corporation. Therefore, a deferred tax liability will only be required for unremitted withholding taxes associated with earnings and profits generated by our foreign subsidiaries that will ultimately be repatriated to the U.S. parent company.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Income Tax Positions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an income tax benefit for a tax position taken or expected to be taken in an income tax return if the more-likely-than-not recognition threshold is met by the end of the reporting period, or is effectively settled through examination, or litigation, or negotiation, or if the statute of limitations for the relevant taxing authority to examine and challenge the tax position has expired. The income tax effect recognized in the financial statements from such a position is measured based on the largest benefit that has a greater than 50% likelihood of being realized upon ultimate resolution. Penalties and interest related to uncertain income tax positions are recorded as income tax expense. Significant judgment is required in the identification of uncertain income tax positions and in the estimation of penalties and interest on uncertain income tax positions.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upon the transfer of control of promised products or services to customers in an amount that reflects the consideration we expect to receive in exchange for those products or services. We determined that our customer purchase orders represent contracts. In addition to purchase orders, we also have supply contracts with certain customers that define standard terms and conditions. Our contracts generally include promises to sell upholstery fabrics, mattress fabrics, or home goods products. In addition, we provide fabrication and installation services of our own products associated with customized window treatments.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associated with sales of our products is recognized at the point in time when control of the promised goods has been transferred to the customer. The point in time when control transfers to the customer depends on the contractually agreed upon shipping terms, but typically occurs once the product has been shipped or once it has been delivered to a location specified by the customer. For certain warehousing arrangements, transfer of control to the customer is deemed to have occurred when the customer pulls the inventory for use in their production.</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associated with our customized fabrication services, which are performed on various types of window treatments, is recognized over time once the customized products are deemed to have no alternative use and for which we have an enforceable right to payment for the services performed. Revenue for our customized fabrication services is recognized over time using the output method based on units produced. Revenue associated with our installation services of our own products is also recognized over time as the customer receives and consumes the benefits of the promised installation services. Revenue associated with our installation services is recognized over time using the output method based on units installed.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auto"/>
        </w:rPr>
        <w:t>Transaction Price</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transaction price is typically allocated to performance obligations based upon stand-alone selling prices. We did not disclose the value of unsatisfied performance obligations as substantially all of any unsatisfied performance obligations as of May 1, 2022, will be satisfied within one year or less.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Measurement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is measured as the amount of consideration we expect to receive in exchange for the transfer of the promised products and services. The amount of consideration we expect to receive changes due to variable consideration is associated with allowances for sales returns, early payment discounts, and volume rebates that we offer to customers. The amount of variable consideration which is included in the transaction price is only included in net sales to the extent that it is probable that a significant reversal in the amount of cumulative revenue recognized will not occur in a future period.</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mattress fabrics and upholstery fabrics business segments only allow product returns to the extent that the products or services did not meet the contractually agreed upon specifications at the time of sale. Customers must receive authorization prior to returning products. Our former home accessories business segment allowed returns for any reason provided the product was returned within the stated time frame, generally 30 days, unless the product was customized in which case a defect must be present in order to return the product. Estimates of allowances for sales returns are based on historical data, current potential product return issues, and known sales returns for which customers have been granted return authorization. Known sales returns for which customers have been granted permission to return products for a refund or credit, continue to be recorded as a contra account receivable. Estimates for potential future sales returns and related customer accommodations are recorded within accrued expenses. We record estimates for sales returns on a gross basis rather than a net basis and an estimate for a right of return asset is recorded in other current assets and cost of goods sold. Variable consideration associated with early payment cash discounts are estimated using current payment trends and historical data on a customer-by-customer basis. The variable consideration associated with volume rebates is based on the portion of the rebate earned relative to the total amount of rebates the customer is expected to earn over the rebate period, as determined using historical data and projections.</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evaluated the nature of our warranties related to our contracts with customers and determined that any such warranties are assurance-type warranties that cover only compliance with agreed upon specifications, and therefore are not considered separate performance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Shipping and Handling Costs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received for shipping and handling costs, which is immaterial for all periods presented, is included in net sales. Shipping costs, principally freight, that comprise payments to third-party shippers are classified as cost of sales. Handling costs represent finished goods warehousing costs incurred to store, move, and prepare products for shipment in the company’s various distribution facilities. Handling costs were $4.3 million, $3.9 million, and $4.0 million fiscal 2022, 2021, and 2020, respectively, and are included in selling, general and administrative expenses.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Sales and Other Taxes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other taxes collected from customers and remitted to governmental authorities are presented on a net basis and, as such, are excluded from revenues.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lease manufacturing facilities, office space, distribution centers, and equipment under operating lease arrangements. We determine if an arrangement is a lease at its inception if it conveys the right to control the use of identified property, plant, or equipment for a period of time in exchange for consideration. Operating leases with an initial term of 12 months or less are not recognized in our Consolidated Balance Sheets. We account for lease components separately from non-lease components. We recognize a ROU asset and lease liability on the commencement date of a lease arrangement based on the present value of lease payments over the lease term.</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lease term may include renewal options if it is reasonably certain that the option to renew a lease period will be exercised. A renewal option is considered reasonably certain to be exercised if there is a significant economic incentive to exercise the renewal option on the date a lease arrangement is commenced.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our leases, an estimated incremental borrowing rate (“IBR”) is utilized, based on information available at the inception of the lease. The IBR represents an estimate of the interest rate we would incur at lease commencement to borrow an amount equal to the lease payments on a collateralized basis over the term of the lease.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equity incentive plans are described more fully in Note 14 to the notes to the consolidated financial statements. ASC Topic 718, “Compensation – Stock Compensation”, requires that all stock-based compensation be recognized as compensation expense in the financial statements and that such cost be measured at the grant date for awards issued to employees and the company’s board of directors. Equity awards issued to a non-employee are measured at the earlier date of when the performance criteria are met or at the end of each reporting period. Compensation expense for time-vested restricted stock awards is amortized on a straight-line basis over the respective vesting period. Compensation expense for performance-based restricted stock units is recorded based on an assessment each reporting period to determine the probability of whether or not certain performance targets will be met and how many common stock shares are expected to be earned as of the end of the vesting period. If certain performance targets are not expected to be achieved, compensation expense will not be recorded, and any previously recognized compensation expense will be reversed.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certain financial instruments, and the fair market value of such instruments may differ from amounts reflected on a historical basis. These financial instruments include our short-term and long-term investments classified as available-for-sale. The fair value measurements of our financial instruments are described more fully in Note 15 of the consolidated financial statements.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 of cash and cash equivalents, accounts receivable, other current assets, lines of credit, accounts payable, and accrued expenses approximate their fair value because of the short maturity of these 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740):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xml:space="preserve"> (“ASU 2019-12”), which is intended to simplify various aspects of accounting for income taxes. ASU 2019-12 removes certain exceptions to the general principles in Topic 740 and clarifies and amends existing guidance to improve consistent application. This guidance was effective for fiscal years, and periods within those fiscal years, beginning after December 15, 2020, with early adoption permitted. As a result, we adopted the provisions of ASU 2019-12 on May 3, 2021 (the beginning of fiscal 2022). The adoption of ASU 2019-12 did not affect our financial position, results of operations, or cash flows.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there are no new accounting pronouncements that are expected to have a material effect on our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9" w:name="page60"/>
    <w:bookmarkEnd w:id="59"/>
    <w:p>
      <w:pPr>
        <w:ind w:left="500" w:hanging="492"/>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 ACHIEVED IN STAGES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January 1, 2017, Culp International Holdings, Ltd. (“Culp International”), a wholly-owned subsidiary of the company, entered into a joint venture agreement pursuant to which Culp International owned 50% of CLASS International Holdings, Ltd. (“CIH). CIH produces cut and sewn mattress covers housed in two facilities totaling 120,000 square feet, located in a modern industrial park on the northeastern border of Haiti. Effective February 1, 2021 (sometimes referred to as the “acquisition date”), Culp International entered into a Share Purchase Agreement with its former joint venture partner pursuant to which Culp International acquired the remaining 50% ownership interest in CIH. We believe having sole ownership of this operation increases our flexibility and enhances our capacity by having near-shore capabilities that help us meet the needs of our mattress cover customers.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acquisition of the remaining 50% ownership interest in CIH, we accounted for our initial 50% ownership interest in CIH as an unconsolidated joint venture under the equity method of accounting. In connection with the acquisition of the remaining 50% ownership interest in CIH, our consolidated financial statements now include all of the accounts of CIH, and any significant intercompany balances and transactions have been eliminated in consolidation.</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consideration transferred for our now-100% ownership interest in connection with this acquisition totaled $2.7 million, of which $1.7 million represents the fair value of our previously held 50% ownership interest in CIH, and $954,000 represented the purchase price that was mostly paid at closing on February 1, 2021, for the remaining 50% ownership interest in CIH. We remeasured our previously held 50% ownership interest in CIH at its acquisition date fair value. As of the acquisition date, the fair value of our previously held 50% ownership interest totaling $1.7 million represented its carrying amount, and therefore, no gain or loss was recognized in earnings for the remeasurement of our previously held 50% ownership interest.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Assets Acquired and Liabilities Assumed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final allocation of the consideration transferred to the assets acquired and liabilities assumed based on their fair values.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Fair Value</w:t>
            </w:r>
          </w:p>
        </w:tc>
      </w:tr>
      <w:tr>
        <w:trPr>
          <w:trHeight w:val="223"/>
        </w:trPr>
        <w:tc>
          <w:tcPr>
            <w:tcW w:w="9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r>
      <w:tr>
        <w:trPr>
          <w:trHeight w:val="230"/>
        </w:trPr>
        <w:tc>
          <w:tcPr>
            <w:tcW w:w="9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2,544</w:t>
            </w:r>
          </w:p>
        </w:tc>
      </w:tr>
      <w:tr>
        <w:trPr>
          <w:trHeight w:val="230"/>
        </w:trPr>
        <w:tc>
          <w:tcPr>
            <w:tcW w:w="9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and leasehold improvements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846</w:t>
            </w:r>
          </w:p>
        </w:tc>
      </w:tr>
      <w:tr>
        <w:trPr>
          <w:trHeight w:val="230"/>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9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bargain purchase</w:t>
            </w: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23"/>
        </w:trPr>
        <w:tc>
          <w:tcPr>
            <w:tcW w:w="9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2,678</w:t>
            </w:r>
          </w:p>
        </w:tc>
      </w:tr>
      <w:tr>
        <w:trPr>
          <w:trHeight w:val="20"/>
        </w:trPr>
        <w:tc>
          <w:tcPr>
            <w:tcW w:w="9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860"/>
        <w:spacing w:after="0" w:line="461" w:lineRule="auto"/>
        <w:rPr>
          <w:sz w:val="20"/>
          <w:szCs w:val="20"/>
          <w:color w:val="auto"/>
        </w:rPr>
      </w:pPr>
      <w:r>
        <w:rPr>
          <w:rFonts w:ascii="Times New Roman" w:cs="Times New Roman" w:eastAsia="Times New Roman" w:hAnsi="Times New Roman"/>
          <w:sz w:val="18"/>
          <w:szCs w:val="18"/>
          <w:color w:val="auto"/>
        </w:rPr>
        <w:t xml:space="preserve">Equipment and leasehold improvements will be depreciated on a straight-line basis over their remaining useful lives ranging from 1 to 10 years. </w:t>
      </w:r>
      <w:r>
        <w:rPr>
          <w:rFonts w:ascii="Times New Roman" w:cs="Times New Roman" w:eastAsia="Times New Roman" w:hAnsi="Times New Roman"/>
          <w:sz w:val="18"/>
          <w:szCs w:val="18"/>
          <w:u w:val="single" w:color="auto"/>
          <w:color w:val="auto"/>
        </w:rPr>
        <w:t>Gain on Bargain Purchase</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Concurrent with our acquisition of the remaining 50% ownership interest in CIH, our former joint venture partner sold its mattress related business to a third party. Our acquisition of the remaining 50% ownership interest in CIH was undertaken due to this sale and the terms negotiated therewith. As a result, the $3.5 million fair value of the identifiable assets acquired and liabilities assumed exceeded the consideration transferred of $2.7 million. Consequently, we (i) reassessed the recognition and measurement of the assets acquired, liabilities assumed, and previously held ownership interest; (ii) gained an understanding of why there was a bargain purchase; and (iii) reviewed the rebate and supply agreements that were executed concurrent with the Share Purchase Agreement. As part of our review of the rebate and supply agreements, we verified that the terms of these agreements were consistent with fair market value terms and are considered separate transactions and not considered part of the business combination. Accordingly, this acquisition has been accounted for as a bargain purchase and, as a result, we recognized a gain of $819,000, which is reported in the line-item “gain on bargain purchase” in the fiscal 2021 Consolidated Statement of Net Income.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Separate Transactions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and Rebate Agreements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Share Purchase Agreement, we entered into supply and rebate agreements with an affiliated company of our former joint venture partner to secure plant capacity utilization and preserve sales channels of certain mattress fabric products.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supply and rebate agreements are effective as of the acquisition date and are based on future sales orders consistent with current market conditions.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transactions associated with the supply and rebate agreements will be accounted for in accordance with ASC Topic 606 </w:t>
      </w:r>
      <w:r>
        <w:rPr>
          <w:rFonts w:ascii="Times New Roman" w:cs="Times New Roman" w:eastAsia="Times New Roman" w:hAnsi="Times New Roman"/>
          <w:sz w:val="18"/>
          <w:szCs w:val="18"/>
          <w:i w:val="1"/>
          <w:iCs w:val="1"/>
          <w:color w:val="auto"/>
        </w:rPr>
        <w:t>Revenue from Contract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During fiscal 2022 and the period from February 1, 2021, through May 2, 2021, shipments pursuant to the supply agreement were $1.6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$379,000, respectively. During fiscal 2022 and the period from February 1, 2021, through May 2, 2021, charges of $73,000 and $25,000 pursuant to the rebate agreement were included in net sales in the Consolidated Statement of Net (Loss) Income.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Costs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Acquisition-related costs totaling $30,000 were included in selling, general, and administrative expenses in the fiscal 2021 Consolidated Statement of Net Income.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Actual revenue and net loss from the acquisition date of February 1, 2021, through May 2, 2021, included in our fiscal 2021 Consolidated Statement of Net Income totaled $379,000 and $(2,000),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(Unaudited) Pro Forma Financial Information</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consolidated results of operations for the fiscal years ending May 2, 2021, and May 3, 2020, have been prepared as if this acquisition had occurred on April 29, 2019.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May 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May 3,</w:t>
            </w:r>
          </w:p>
        </w:tc>
      </w:tr>
      <w:tr>
        <w:trPr>
          <w:trHeight w:val="234"/>
        </w:trPr>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(dollars in thousands, except per share data)</w:t>
            </w:r>
          </w:p>
        </w:tc>
        <w:tc>
          <w:tcPr>
            <w:tcW w:w="3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300,995</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256,960</w:t>
            </w:r>
          </w:p>
        </w:tc>
      </w:tr>
      <w:tr>
        <w:trPr>
          <w:trHeight w:val="230"/>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12,138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(7,820)</w:t>
            </w:r>
          </w:p>
        </w:tc>
      </w:tr>
      <w:tr>
        <w:trPr>
          <w:trHeight w:val="229"/>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2,430</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(11,283)</w:t>
            </w:r>
          </w:p>
        </w:tc>
      </w:tr>
      <w:tr>
        <w:trPr>
          <w:trHeight w:val="229"/>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(17,509)</w:t>
            </w:r>
          </w:p>
        </w:tc>
      </w:tr>
      <w:tr>
        <w:trPr>
          <w:trHeight w:val="230"/>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4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2,430</w:t>
            </w:r>
          </w:p>
        </w:tc>
        <w:tc>
          <w:tcPr>
            <w:tcW w:w="48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(28,792)</w:t>
            </w:r>
          </w:p>
        </w:tc>
      </w:tr>
      <w:tr>
        <w:trPr>
          <w:trHeight w:val="229"/>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 per share-basic</w:t>
            </w:r>
          </w:p>
        </w:tc>
        <w:tc>
          <w:tcPr>
            <w:tcW w:w="6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0.20</w:t>
            </w:r>
          </w:p>
        </w:tc>
        <w:tc>
          <w:tcPr>
            <w:tcW w:w="4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r>
      <w:tr>
        <w:trPr>
          <w:trHeight w:val="230"/>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 per share-diluted</w:t>
            </w:r>
          </w:p>
        </w:tc>
        <w:tc>
          <w:tcPr>
            <w:tcW w:w="64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0.20</w:t>
            </w:r>
          </w:p>
        </w:tc>
        <w:tc>
          <w:tcPr>
            <w:tcW w:w="48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(0.91)</w:t>
            </w:r>
          </w:p>
        </w:tc>
      </w:tr>
      <w:tr>
        <w:trPr>
          <w:trHeight w:val="230"/>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 per share-basic</w:t>
            </w:r>
          </w:p>
        </w:tc>
        <w:tc>
          <w:tcPr>
            <w:tcW w:w="6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from discontinued operation per share-diluted</w:t>
            </w:r>
          </w:p>
        </w:tc>
        <w:tc>
          <w:tcPr>
            <w:tcW w:w="64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6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0.20</w:t>
            </w:r>
          </w:p>
        </w:tc>
        <w:tc>
          <w:tcPr>
            <w:tcW w:w="48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9"/>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64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0.20</w:t>
            </w:r>
          </w:p>
        </w:tc>
        <w:tc>
          <w:tcPr>
            <w:tcW w:w="48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information is presented for informational purposes only and is not necessarily indicative of the results of operations that would have been achieved had the acquisition been consummated as of that time, nor is it intended to be a projection of future results.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Method of Accounting</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equity method of accounting, we reported our previous 50% proportionate share of net income (loss) of CIH as a separate line titled “income (loss) from investment in consolidated joint venture” in the accompanying Consolidated Statements of Net (Loss) Income. Our 50% proportionate share of the net income (loss) of the unconsolidated joint venture was $31,000 and $(125,000) during fiscal 2021 and 2020, respectively.</w:t>
      </w:r>
    </w:p>
    <w:p>
      <w:pPr>
        <w:spacing w:after="0" w:line="185"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HOME ACCESSORIES SEGMENT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Effective June 22, 2018, we entered into an Equity Purchase Agreement (the “Equity Agreement”) in which we acquired an 80% ownership interest in eLuxury, LLC (eLuxury) a company that offers bedding accessories and home goods directly to consumers. eLuxury’s primary products include a line of mattress pads manufactured at eLuxury’s facility located in Evansville, Indiana. eLuxury also offers handmade platform beds, cotton bed sheets, as well as other bedding items sourced from other suppliers. Its products are available on eLuxury’s own branded website, </w:t>
      </w:r>
      <w:r>
        <w:rPr>
          <w:rFonts w:ascii="Times New Roman" w:cs="Times New Roman" w:eastAsia="Times New Roman" w:hAnsi="Times New Roman"/>
          <w:sz w:val="18"/>
          <w:szCs w:val="18"/>
          <w:u w:val="single" w:color="auto"/>
          <w:color w:val="auto"/>
        </w:rPr>
        <w:t>eLuxury.com</w:t>
      </w:r>
      <w:r>
        <w:rPr>
          <w:rFonts w:ascii="Times New Roman" w:cs="Times New Roman" w:eastAsia="Times New Roman" w:hAnsi="Times New Roman"/>
          <w:sz w:val="18"/>
          <w:szCs w:val="18"/>
          <w:color w:val="auto"/>
        </w:rPr>
        <w:t>, Amazon, and other leading online retailers for specialty home goods.</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31, 2020, we sold our entire ownership interest in eLuxury to eLuxury’s noncontrolling interest holder in consideration of an accelerated settlement of certain financial obligations due and payable by eLuxury to us and the entry into supply and royalty arrangements designed to preserve an additional sales channel for our core products. Also, this sale was expected to increase our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1" w:name="page62"/>
    <w:bookmarkEnd w:id="61"/>
    <w:p>
      <w:pPr>
        <w:jc w:val="both"/>
        <w:spacing w:after="0" w:line="282" w:lineRule="auto"/>
        <w:rPr>
          <w:sz w:val="20"/>
          <w:szCs w:val="20"/>
          <w:color w:val="auto"/>
        </w:rPr>
      </w:pPr>
      <w:r>
        <w:rPr>
          <w:rFonts w:ascii="Times New Roman" w:cs="Times New Roman" w:eastAsia="Times New Roman" w:hAnsi="Times New Roman"/>
          <w:sz w:val="18"/>
          <w:szCs w:val="18"/>
          <w:color w:val="auto"/>
        </w:rPr>
        <w:t>liquidity and allow us to focus on our core businesses of upholstery and mattress fabrics and was part of our comprehensive response to the challenging business conditions arising from the COVID-19 global pandemic.</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sale of our entire ownership interest in eLuxury, (i) we received $509,500 at closing as an accelerated repayment of principal amounts previously loaned to eLuxury, together with outstanding interest, under a loan agreement between us and eLuxury; (ii) we forgave $300,000 of borrowings payable by eLuxury to us under this loan agreement; (iii) we entered into an amended and restated credit and security agreement with eLuxury and the buyer (former noncontrolling interest holder) (together, the “Borrowers”), pursuant to which the Borrowers agreed to repay an additional $1 million previously loaned to eLuxury within thirty days of the closing of the sale transaction (and which amount was secured by the assets of both Borrowers); and (iv) eLuxury agreed to pay $613,000 within sixty days of the sale transaction in satisfaction of certain trade accounts payable due from eLuxury to us.</w:t>
      </w: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remaining $1 million we previously loaned to eLuxury and the outstanding trade accounts payable balance of $613,000 due from eLuxury to us was paid in full in accordance with the terms of the sale agreement outlined above.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 Financial Statement Presentation and Disclosures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Presentation</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sale of our entire ownership interest in eLuxury, our home accessories segment was eliminated. Consequently, we determined that the results from operations and assets and liabilities associated with our home accessories segment were to be excluded from our continuing operations and presented as a discontinued operation in our consolidated financial statements. As a result, we classified the results from operations of our home accessories segment separately in captions titled “Discontinued Operations” within our fiscal 2020 Consolidated Statements of Net Loss.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 as of Disposal Date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assets and liabilities that were sold on March 31, 2020:</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460" w:type="dxa"/>
            <w:vAlign w:val="bottom"/>
            <w:tcBorders>
              <w:bottom w:val="single" w:sz="8" w:color="auto"/>
            </w:tcBorders>
          </w:tcPr>
          <w:p>
            <w:pPr>
              <w:spacing w:after="0"/>
              <w:rPr>
                <w:sz w:val="20"/>
                <w:szCs w:val="20"/>
                <w:color w:val="auto"/>
              </w:rPr>
            </w:pPr>
          </w:p>
        </w:tc>
        <w:tc>
          <w:tcPr>
            <w:tcW w:w="4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assets:</w:t>
            </w:r>
          </w:p>
        </w:tc>
        <w:tc>
          <w:tcPr>
            <w:tcW w:w="3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160" w:type="dxa"/>
            <w:vAlign w:val="bottom"/>
            <w:gridSpan w:val="3"/>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285</w:t>
            </w:r>
          </w:p>
        </w:tc>
        <w:tc>
          <w:tcPr>
            <w:tcW w:w="0" w:type="dxa"/>
            <w:vAlign w:val="bottom"/>
          </w:tcPr>
          <w:p>
            <w:pPr>
              <w:spacing w:after="0"/>
              <w:rPr>
                <w:sz w:val="1"/>
                <w:szCs w:val="1"/>
                <w:color w:val="auto"/>
              </w:rPr>
            </w:pPr>
          </w:p>
        </w:tc>
      </w:tr>
      <w:tr>
        <w:trPr>
          <w:trHeight w:val="230"/>
        </w:trPr>
        <w:tc>
          <w:tcPr>
            <w:tcW w:w="5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3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588</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34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3,344</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other current assets</w:t>
            </w:r>
          </w:p>
        </w:tc>
        <w:tc>
          <w:tcPr>
            <w:tcW w:w="346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170</w:t>
            </w: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current assets held for sale - discontinued operation</w:t>
            </w:r>
          </w:p>
        </w:tc>
        <w:tc>
          <w:tcPr>
            <w:tcW w:w="34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4,387</w:t>
            </w:r>
          </w:p>
        </w:tc>
        <w:tc>
          <w:tcPr>
            <w:tcW w:w="0" w:type="dxa"/>
            <w:vAlign w:val="bottom"/>
          </w:tcPr>
          <w:p>
            <w:pPr>
              <w:spacing w:after="0"/>
              <w:rPr>
                <w:sz w:val="1"/>
                <w:szCs w:val="1"/>
                <w:color w:val="auto"/>
              </w:rPr>
            </w:pPr>
          </w:p>
        </w:tc>
      </w:tr>
      <w:tr>
        <w:trPr>
          <w:trHeight w:val="223"/>
        </w:trPr>
        <w:tc>
          <w:tcPr>
            <w:tcW w:w="5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1,694</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goodwill</w:t>
            </w:r>
          </w:p>
        </w:tc>
        <w:tc>
          <w:tcPr>
            <w:tcW w:w="34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5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intangible asset</w:t>
            </w:r>
          </w:p>
        </w:tc>
        <w:tc>
          <w:tcPr>
            <w:tcW w:w="3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right of use assets</w:t>
            </w:r>
          </w:p>
        </w:tc>
        <w:tc>
          <w:tcPr>
            <w:tcW w:w="34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918</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noncurrent assets held for sale - discontinued operation</w:t>
            </w:r>
          </w:p>
        </w:tc>
        <w:tc>
          <w:tcPr>
            <w:tcW w:w="346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2,612</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assets</w:t>
            </w:r>
          </w:p>
        </w:tc>
        <w:tc>
          <w:tcPr>
            <w:tcW w:w="34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6,999</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NET ASSETS</w:t>
            </w:r>
          </w:p>
        </w:tc>
        <w:tc>
          <w:tcPr>
            <w:tcW w:w="3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3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liabilities:</w:t>
            </w:r>
          </w:p>
        </w:tc>
        <w:tc>
          <w:tcPr>
            <w:tcW w:w="34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 trade</w:t>
            </w:r>
          </w:p>
        </w:tc>
        <w:tc>
          <w:tcPr>
            <w:tcW w:w="416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1,394</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operating lease liability - current</w:t>
            </w:r>
          </w:p>
        </w:tc>
        <w:tc>
          <w:tcPr>
            <w:tcW w:w="34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195</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accrued expenses</w:t>
            </w:r>
          </w:p>
        </w:tc>
        <w:tc>
          <w:tcPr>
            <w:tcW w:w="346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351</w:t>
            </w: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current liabilities held for sale - discontinued operation</w:t>
            </w:r>
          </w:p>
        </w:tc>
        <w:tc>
          <w:tcPr>
            <w:tcW w:w="34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1,940</w:t>
            </w:r>
          </w:p>
        </w:tc>
        <w:tc>
          <w:tcPr>
            <w:tcW w:w="0" w:type="dxa"/>
            <w:vAlign w:val="bottom"/>
          </w:tcPr>
          <w:p>
            <w:pPr>
              <w:spacing w:after="0"/>
              <w:rPr>
                <w:sz w:val="1"/>
                <w:szCs w:val="1"/>
                <w:color w:val="auto"/>
              </w:rPr>
            </w:pPr>
          </w:p>
        </w:tc>
      </w:tr>
      <w:tr>
        <w:trPr>
          <w:trHeight w:val="223"/>
        </w:trPr>
        <w:tc>
          <w:tcPr>
            <w:tcW w:w="5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loan payable - Culp Inc.</w:t>
            </w:r>
          </w:p>
        </w:tc>
        <w:tc>
          <w:tcPr>
            <w:tcW w:w="3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1,500</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subordinated loan payable - noncontrolling interest</w:t>
            </w:r>
          </w:p>
        </w:tc>
        <w:tc>
          <w:tcPr>
            <w:tcW w:w="34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925</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operating lease liability - long-term</w:t>
            </w:r>
          </w:p>
        </w:tc>
        <w:tc>
          <w:tcPr>
            <w:tcW w:w="346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743</w:t>
            </w: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noncurrent liabilities held for sale - discontinued operation</w:t>
            </w:r>
          </w:p>
        </w:tc>
        <w:tc>
          <w:tcPr>
            <w:tcW w:w="34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3,168</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346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5,108</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net assets of discontinued operation</w:t>
            </w:r>
          </w:p>
        </w:tc>
        <w:tc>
          <w:tcPr>
            <w:tcW w:w="34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1,891</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460" w:type="dxa"/>
            <w:vAlign w:val="bottom"/>
            <w:vMerge w:val="restart"/>
          </w:tcPr>
          <w:p>
            <w:pPr>
              <w:jc w:val="right"/>
              <w:ind w:right="3090"/>
              <w:spacing w:after="0"/>
              <w:rPr>
                <w:sz w:val="20"/>
                <w:szCs w:val="20"/>
                <w:color w:val="auto"/>
              </w:rPr>
            </w:pPr>
            <w:r>
              <w:rPr>
                <w:rFonts w:ascii="Times New Roman" w:cs="Times New Roman" w:eastAsia="Times New Roman" w:hAnsi="Times New Roman"/>
                <w:sz w:val="18"/>
                <w:szCs w:val="18"/>
                <w:color w:val="auto"/>
              </w:rPr>
              <w:t>59</w:t>
            </w: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44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the major classes of financial statement line items constituting loss before income taxes from discontinued operation that are disclosed in the notes to the financial statements to loss from discontinued operation that are presented in the fiscal 2020 Consolidated Statements of Net Loss: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400" w:type="dxa"/>
            <w:vAlign w:val="bottom"/>
          </w:tcPr>
          <w:p>
            <w:pPr>
              <w:spacing w:after="0"/>
              <w:rPr>
                <w:sz w:val="20"/>
                <w:szCs w:val="20"/>
                <w:color w:val="auto"/>
              </w:rPr>
            </w:pPr>
          </w:p>
        </w:tc>
        <w:tc>
          <w:tcPr>
            <w:tcW w:w="15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8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13,763</w:t>
            </w:r>
          </w:p>
        </w:tc>
      </w:tr>
      <w:tr>
        <w:trPr>
          <w:trHeight w:val="229"/>
        </w:trPr>
        <w:tc>
          <w:tcPr>
            <w:tcW w:w="93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(10,953)</w:t>
            </w:r>
          </w:p>
        </w:tc>
      </w:tr>
      <w:tr>
        <w:trPr>
          <w:trHeight w:val="223"/>
        </w:trPr>
        <w:tc>
          <w:tcPr>
            <w:tcW w:w="9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2,810</w:t>
            </w:r>
          </w:p>
        </w:tc>
      </w:tr>
      <w:tr>
        <w:trPr>
          <w:trHeight w:val="230"/>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r>
      <w:tr>
        <w:trPr>
          <w:trHeight w:val="229"/>
        </w:trPr>
        <w:tc>
          <w:tcPr>
            <w:tcW w:w="9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impairments (1)</w:t>
            </w:r>
          </w:p>
        </w:tc>
        <w:tc>
          <w:tcPr>
            <w:tcW w:w="4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(20,202)</w:t>
            </w:r>
          </w:p>
        </w:tc>
      </w:tr>
      <w:tr>
        <w:trPr>
          <w:trHeight w:val="230"/>
        </w:trPr>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reversal of contingent consideration - earn-out obligation (2)</w:t>
            </w:r>
          </w:p>
        </w:tc>
        <w:tc>
          <w:tcPr>
            <w:tcW w:w="40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5,856</w:t>
            </w:r>
          </w:p>
        </w:tc>
      </w:tr>
      <w:tr>
        <w:trPr>
          <w:trHeight w:val="229"/>
        </w:trPr>
        <w:tc>
          <w:tcPr>
            <w:tcW w:w="9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(3)</w:t>
            </w:r>
          </w:p>
        </w:tc>
        <w:tc>
          <w:tcPr>
            <w:tcW w:w="4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93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r>
      <w:tr>
        <w:trPr>
          <w:trHeight w:val="205"/>
        </w:trPr>
        <w:tc>
          <w:tcPr>
            <w:tcW w:w="9300" w:type="dxa"/>
            <w:vAlign w:val="bottom"/>
            <w:gridSpan w:val="2"/>
            <w:shd w:val="clear" w:color="auto" w:fill="CFF0FC"/>
          </w:tcPr>
          <w:p>
            <w:pPr>
              <w:ind w:left="260"/>
              <w:spacing w:after="0" w:line="205" w:lineRule="exact"/>
              <w:rPr>
                <w:sz w:val="20"/>
                <w:szCs w:val="20"/>
                <w:color w:val="auto"/>
              </w:rPr>
            </w:pPr>
            <w:r>
              <w:rPr>
                <w:rFonts w:ascii="Times New Roman" w:cs="Times New Roman" w:eastAsia="Times New Roman" w:hAnsi="Times New Roman"/>
                <w:sz w:val="18"/>
                <w:szCs w:val="18"/>
                <w:color w:val="auto"/>
              </w:rPr>
              <w:t>loss from discontinued operation related to major classes</w:t>
            </w:r>
          </w:p>
        </w:tc>
        <w:tc>
          <w:tcPr>
            <w:tcW w:w="4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r>
      <w:tr>
        <w:trPr>
          <w:trHeight w:val="234"/>
        </w:trPr>
        <w:tc>
          <w:tcPr>
            <w:tcW w:w="930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of loss before income taxes</w:t>
            </w:r>
          </w:p>
        </w:tc>
        <w:tc>
          <w:tcPr>
            <w:tcW w:w="40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(15,686)</w:t>
            </w:r>
          </w:p>
        </w:tc>
      </w:tr>
      <w:tr>
        <w:trPr>
          <w:trHeight w:val="230"/>
        </w:trPr>
        <w:tc>
          <w:tcPr>
            <w:tcW w:w="93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loss on disposal of discontinued operation (4)</w:t>
            </w:r>
          </w:p>
        </w:tc>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w:t>
            </w:r>
          </w:p>
        </w:tc>
      </w:tr>
      <w:tr>
        <w:trPr>
          <w:trHeight w:val="223"/>
        </w:trPr>
        <w:tc>
          <w:tcPr>
            <w:tcW w:w="9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before income taxes from discontinued operation</w:t>
            </w:r>
          </w:p>
        </w:tc>
        <w:tc>
          <w:tcPr>
            <w:tcW w:w="4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(17,577)</w:t>
            </w:r>
          </w:p>
        </w:tc>
      </w:tr>
      <w:tr>
        <w:trPr>
          <w:trHeight w:val="229"/>
        </w:trPr>
        <w:tc>
          <w:tcPr>
            <w:tcW w:w="93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9300" w:type="dxa"/>
            <w:vAlign w:val="bottom"/>
            <w:tcBorders>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 from discontinued operation</w:t>
            </w:r>
          </w:p>
        </w:tc>
        <w:tc>
          <w:tcPr>
            <w:tcW w:w="400" w:type="dxa"/>
            <w:vAlign w:val="bottom"/>
            <w:tcBorders>
              <w:bottom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(17,509)</w:t>
            </w:r>
          </w:p>
        </w:tc>
      </w:tr>
      <w:tr>
        <w:trPr>
          <w:trHeight w:val="20"/>
        </w:trPr>
        <w:tc>
          <w:tcPr>
            <w:tcW w:w="8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500" w:hanging="492"/>
        <w:spacing w:after="0" w:line="266"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2020, we recorded asset impairment charges totaling $20.2 million, of which $13.6 million and $6.6 million pertained to the goodwill and tradename, respectively. See Notes 8, 9, and 15 of the notes to the consolidated financial statements for further details of our assessments that resulted in the impairment of the goodwill and tradename associated with this discontinued operation.</w:t>
      </w:r>
    </w:p>
    <w:p>
      <w:pPr>
        <w:spacing w:after="0" w:line="13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separate section below titled “Contingent Consideration” for further details.</w:t>
      </w:r>
    </w:p>
    <w:p>
      <w:pPr>
        <w:spacing w:after="0" w:line="184"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is directly attributable to our discontinued operation as it pertains to loans payable assumed by the buyer, (the noncontrolling interest) or required to be paid to Culp Inc. based on the terms of the sale agreement.</w:t>
      </w:r>
    </w:p>
    <w:p>
      <w:pPr>
        <w:spacing w:after="0" w:line="12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separate section below titled “Consolidation and Deconsolidation” for further details.</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summary of net loss from continuing operations, net loss from discontinued operation, and net loss attributable Culp Inc. common shareholders and the noncontrolling interest for fiscal year 2020:</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408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4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(11,158)</w:t>
            </w:r>
          </w:p>
        </w:tc>
        <w:tc>
          <w:tcPr>
            <w:tcW w:w="0" w:type="dxa"/>
            <w:vAlign w:val="bottom"/>
          </w:tcPr>
          <w:p>
            <w:pPr>
              <w:spacing w:after="0"/>
              <w:rPr>
                <w:sz w:val="1"/>
                <w:szCs w:val="1"/>
                <w:color w:val="auto"/>
              </w:rPr>
            </w:pPr>
          </w:p>
        </w:tc>
      </w:tr>
      <w:tr>
        <w:trPr>
          <w:trHeight w:val="211"/>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continuing operations attributable to</w:t>
            </w:r>
          </w:p>
        </w:tc>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408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49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loss from continuing operations attributable</w:t>
            </w:r>
          </w:p>
        </w:tc>
        <w:tc>
          <w:tcPr>
            <w:tcW w:w="4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 Culp Inc. common shareholders</w:t>
            </w:r>
          </w:p>
        </w:tc>
        <w:tc>
          <w:tcPr>
            <w:tcW w:w="4720" w:type="dxa"/>
            <w:vAlign w:val="bottom"/>
            <w:gridSpan w:val="3"/>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(11,158)</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from discontinued operation</w:t>
            </w:r>
          </w:p>
        </w:tc>
        <w:tc>
          <w:tcPr>
            <w:tcW w:w="4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vMerge w:val="continue"/>
          </w:tcPr>
          <w:p>
            <w:pPr>
              <w:spacing w:after="0"/>
              <w:rPr>
                <w:sz w:val="21"/>
                <w:szCs w:val="21"/>
                <w:color w:val="auto"/>
              </w:rPr>
            </w:pPr>
          </w:p>
        </w:tc>
        <w:tc>
          <w:tcPr>
            <w:tcW w:w="4720" w:type="dxa"/>
            <w:vAlign w:val="bottom"/>
            <w:gridSpan w:val="3"/>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(17,509)</w:t>
            </w:r>
          </w:p>
        </w:tc>
        <w:tc>
          <w:tcPr>
            <w:tcW w:w="0" w:type="dxa"/>
            <w:vAlign w:val="bottom"/>
          </w:tcPr>
          <w:p>
            <w:pPr>
              <w:spacing w:after="0"/>
              <w:rPr>
                <w:sz w:val="1"/>
                <w:szCs w:val="1"/>
                <w:color w:val="auto"/>
              </w:rPr>
            </w:pPr>
          </w:p>
        </w:tc>
      </w:tr>
      <w:tr>
        <w:trPr>
          <w:trHeight w:val="211"/>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from discontinued operation attributable to</w:t>
            </w:r>
          </w:p>
        </w:tc>
        <w:tc>
          <w:tcPr>
            <w:tcW w:w="4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4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4,674</w:t>
            </w:r>
          </w:p>
        </w:tc>
        <w:tc>
          <w:tcPr>
            <w:tcW w:w="0" w:type="dxa"/>
            <w:vAlign w:val="bottom"/>
          </w:tcPr>
          <w:p>
            <w:pPr>
              <w:spacing w:after="0"/>
              <w:rPr>
                <w:sz w:val="1"/>
                <w:szCs w:val="1"/>
                <w:color w:val="auto"/>
              </w:rPr>
            </w:pPr>
          </w:p>
        </w:tc>
      </w:tr>
      <w:tr>
        <w:trPr>
          <w:trHeight w:val="205"/>
        </w:trPr>
        <w:tc>
          <w:tcPr>
            <w:tcW w:w="4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loss from discontinued operation attributable to Culp Inc.</w:t>
            </w:r>
          </w:p>
        </w:tc>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shareholders</w:t>
            </w:r>
          </w:p>
        </w:tc>
        <w:tc>
          <w:tcPr>
            <w:tcW w:w="4720" w:type="dxa"/>
            <w:vAlign w:val="bottom"/>
            <w:gridSpan w:val="3"/>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(12,835)</w:t>
            </w:r>
          </w:p>
        </w:tc>
        <w:tc>
          <w:tcPr>
            <w:tcW w:w="0" w:type="dxa"/>
            <w:vAlign w:val="bottom"/>
          </w:tcPr>
          <w:p>
            <w:pPr>
              <w:spacing w:after="0"/>
              <w:rPr>
                <w:sz w:val="1"/>
                <w:szCs w:val="1"/>
                <w:color w:val="auto"/>
              </w:rPr>
            </w:pPr>
          </w:p>
        </w:tc>
      </w:tr>
      <w:tr>
        <w:trPr>
          <w:trHeight w:val="223"/>
        </w:trPr>
        <w:tc>
          <w:tcPr>
            <w:tcW w:w="4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40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(28,667)</w:t>
            </w:r>
          </w:p>
        </w:tc>
        <w:tc>
          <w:tcPr>
            <w:tcW w:w="0" w:type="dxa"/>
            <w:vAlign w:val="bottom"/>
          </w:tcPr>
          <w:p>
            <w:pPr>
              <w:spacing w:after="0"/>
              <w:rPr>
                <w:sz w:val="1"/>
                <w:szCs w:val="1"/>
                <w:color w:val="auto"/>
              </w:rPr>
            </w:pPr>
          </w:p>
        </w:tc>
      </w:tr>
      <w:tr>
        <w:trPr>
          <w:trHeight w:val="256"/>
        </w:trPr>
        <w:tc>
          <w:tcPr>
            <w:tcW w:w="4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from noncontrolling interest</w:t>
            </w:r>
          </w:p>
        </w:tc>
        <w:tc>
          <w:tcPr>
            <w:tcW w:w="408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4,674</w:t>
            </w:r>
          </w:p>
        </w:tc>
        <w:tc>
          <w:tcPr>
            <w:tcW w:w="0" w:type="dxa"/>
            <w:vAlign w:val="bottom"/>
          </w:tcPr>
          <w:p>
            <w:pPr>
              <w:spacing w:after="0"/>
              <w:rPr>
                <w:sz w:val="1"/>
                <w:szCs w:val="1"/>
                <w:color w:val="auto"/>
              </w:rPr>
            </w:pPr>
          </w:p>
        </w:tc>
      </w:tr>
      <w:tr>
        <w:trPr>
          <w:trHeight w:val="205"/>
        </w:trPr>
        <w:tc>
          <w:tcPr>
            <w:tcW w:w="49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loss attributable to Culp Inc.</w:t>
            </w:r>
          </w:p>
        </w:tc>
        <w:tc>
          <w:tcPr>
            <w:tcW w:w="4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shareholders</w:t>
            </w:r>
          </w:p>
        </w:tc>
        <w:tc>
          <w:tcPr>
            <w:tcW w:w="4720" w:type="dxa"/>
            <w:vAlign w:val="bottom"/>
            <w:gridSpan w:val="3"/>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(23,993)</w:t>
            </w: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tcBorders>
          </w:tcPr>
          <w:p>
            <w:pPr>
              <w:spacing w:after="0" w:line="20" w:lineRule="exact"/>
              <w:rPr>
                <w:sz w:val="1"/>
                <w:szCs w:val="1"/>
                <w:color w:val="auto"/>
              </w:rPr>
            </w:pPr>
          </w:p>
        </w:tc>
        <w:tc>
          <w:tcPr>
            <w:tcW w:w="4080" w:type="dxa"/>
            <w:vAlign w:val="bottom"/>
            <w:tcBorders>
              <w:top w:val="single" w:sz="8" w:color="CFF0FC"/>
              <w:bottom w:val="single" w:sz="8" w:color="CFF0FC"/>
            </w:tcBorders>
            <w:vMerge w:val="restart"/>
          </w:tcPr>
          <w:p>
            <w:pPr>
              <w:jc w:val="right"/>
              <w:ind w:right="3230"/>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96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Cash Flow Disclosures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discontinued operation had net cash used in operating activities totaling $(2.3) million during fiscal 2020. Our discontinued operation had net cash used in investing activities totaling $(134,000) during fiscal 2020. Our discontinued operation had net cash provided by financing activities, all of which were loan proceeds and capital contributions from Culp Inc. and the noncontrolling interest holder of eLuxury totaling $2.4 million during fiscal 2020.</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incurred a $1.9 million loss on disposal of discontinued operation that was reported within loss before income taxes from discontinued operation in the fiscal 2020 Consolidated Statement of Net Loss. In addition, we reported a loss on disposal of discontinued operation of $1.6 million in the fiscal 2020 Consolidated Statement of Cash Flows, as the buyer (former noncontrolling interest holder) retained the cash held with eLuxury totaling $285,000.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Equity Agreement related to the acquisition of our ownership interest in eLuxury contained a contingent consideration arrangement that required us to pay the seller, who was also the owner of the noncontrolling interest, an earn-out payment based on a multiple of adjusted EBITDA, as defined in the Equity Agreement, for the twelve-month period ending August 31, 2021, less $12.0 million. We recorded a contingent liability at the acquisition date for this earn-out obligation at its fair value totaling $5.6 million based on the Black Scholes pricing model.</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were required to assess the fair value of this earn-out obligation each quarterly reporting period. Based on management’s assessment as of the end of our third quarter of fiscal 2020, we determined it was necessary to adjust forecasted EBITDA as it related to this earn-out obligation. This determination was based on the future outlook of our former home accessories segment and its slower than expected business improvement, as well as updated assumptions on economic conditions in the e-commerce space, combined with the upcoming timeframe for determining the amount associated with this contingent consideration arrangement. As a result of these factors, we recorded a reversal of $6.1 million for the full amount of our earn-out obligation at the end of our third quarter of fiscal 2020. In connection with the sale agreement of our entire ownership interest in eLuxury, this contingent consideration arrangement was nullified on March 31, 2020. Since the earn-out obligation was solely based on the financial performance of our home accessories segment and the contingent consideration arrangement was nullified as a result of the disposal, the reversal of this earn-out obligation is directly attributable to our discontinued operation.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and Deconsolidation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Consolidation</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disposal of eLuxury, we included all the accounts of eLuxury in our consolidated financial statements and eliminated all significant intercompany balances and transactions during the first nine months of fiscal 2020. Net loss attributable to the noncontrolling interest in eLuxury was excluded from net loss attributable to Culp Inc. common shareholders during the first nine months of fiscal 2020.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Substantive Profit-Sharing Provisions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Equity Agreement related to the acquisition of our ownership interest in eLuxury contained substantive profit-sharing provisions which explicitly stated the ownership interests as of the acquisition date of June 22, 2018, and the allocation of net income or loss between us, as the controlling interest holder, and the noncontrolling interest holder. The Equity Agreement stated that as of the acquisition date, we acquired an 80% ownership interest in eLuxury, with the seller retaining a 20% noncontrolling interest. Additionally, eLuxury’s net income or loss, future capital contributions and equity distributions were allocated at a percentage of 70% to or from us and 30% to or from the noncontrolling interest holder. Also, the Equity Agreement included certain loss limitations pursuant to which net losses allocated pursuant to the Equity Agreement would not exceed the maximum amount of net loss that could be allocated without causing any owners to have a capital account deficit as defined in the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our controlling interest and the noncontrolling interest was recorded based on the terms of the substantive profit-sharing provisions of the Equity Agreement. As a result, eLuxury’s total net asset balance of $1.9 million as of March 31, 2020 (the disposal date), represented the carrying value of our interest (the controlling interest holder) in eLuxury.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Deconsolidation</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parent company must deconsolidate a subsidiary as of the date the parent ceases to have a controlling interest in that subsidiary and recognize a gain or loss in net income at that time. As a result, we deconsolidated eLuxury from our consolidated financial statements on March 31, 2020, and recognized a loss on disposal of discontinued operation totaling $1.9 million. The $1.9 million loss on disposal of discontinued operation represented the entire carrying amount of eLuxury’s assets less liabilities as of the disposal date of March 31, 2020. Based on the terms of the sale agreement, we did not receive any consideration for eLuxury’s net assets associated with the sale of our entire ownership interest in eLuxury, and we did not retain a noncontrolling interest in eLuxury. Additionally,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4" w:name="page65"/>
    <w:bookmarkEnd w:id="64"/>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terms of the substantive profit-sharing provisions stated in the Equity Agreement, the noncontrolling interest holder did not have a carrying amount for its interest in eLuxury.</w:t>
      </w:r>
    </w:p>
    <w:p>
      <w:pPr>
        <w:spacing w:after="0" w:line="131" w:lineRule="exact"/>
        <w:rPr>
          <w:sz w:val="20"/>
          <w:szCs w:val="20"/>
          <w:color w:val="auto"/>
        </w:rPr>
      </w:pPr>
    </w:p>
    <w:p>
      <w:pPr>
        <w:ind w:right="2540"/>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Continuing Obligations, Financial Commitments, and Continuing Relationships with the Discontinued Operation </w:t>
      </w:r>
      <w:r>
        <w:rPr>
          <w:rFonts w:ascii="Times New Roman" w:cs="Times New Roman" w:eastAsia="Times New Roman" w:hAnsi="Times New Roman"/>
          <w:sz w:val="18"/>
          <w:szCs w:val="18"/>
          <w:color w:val="auto"/>
        </w:rPr>
        <w:t>Supply Agreement</w:t>
      </w: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sale of our entire ownership interest in eLuxury, we entered into a supply agreement with eLuxury to preserve an additional sales channel for our core products – upholstery and mattress fabrics. The supply agreement requires eLuxury to purchase all its requirements at fair market prices for mattress and upholstery fabrics products of the type we were supplying to eLuxury at the time of the sale transaction, as well as certain home accessories and soft goods products, subject to our ability to provide competitive pricing and delivery terms for such products. There are no guarantees or provisions under the supply agreement that require eLuxury to purchase a minimum amount of our products.</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12, 2022, we entered into an agreement with eLuxury that extended the term of the supply agreement from its original expiration date of March 31, 2022, to March 31, 2027.</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2022 and 2021, shipments to eLuxury pursuant to the supply agreement were $103,000 and $331,000, respectively. During the three-month period after the disposal date of March 31, 2020, and through our fiscal year end date of May 3, 2020, shipments to eLuxury pursuant to the supply agreement totaled $7,000.</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our continuing involvement with eLuxury, we reported net sales and the related cost of sales associated with our inventory shipments to eLuxury, which required us to report these transactions in continuing operations for all periods presented in our Consolidated Statements of Net (Loss) Income. During fiscal 2020, we reported both net sales and cost of sales totaling $968,000 that were previously eliminated in consolidation and occurred prior to the March 31, 2020, disposal date.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Royalty Agreement</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in connection with the sale of our entire ownership interest in eLuxury, we entered into a royalty agreement with eLuxury that required eLuxury to pay us a royalty fee based on a percentage of sales, as defined in the royalty agreement. On January 12, 2022, we entered into an agreement with eLuxury that terminated this royalty agreement and required eLuxury to pay us a termination fee of $150,000.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years 2022, 2021, and 2020, royalty payments received pursuant to the royalty agreement were immaterial.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Guarantee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2, 2021, we had an agreement that guaranteed 70% of any unpaid lease payments associated with eLuxury’s facility located in Evansville, Indiana. The lease agreement expires during September 2024 and requires monthly payments of $18,865. In connection with the termination of the royalty agreement noted above, we were fully released from our guarantee associated with this lease.</w:t>
      </w:r>
    </w:p>
    <w:p>
      <w:pPr>
        <w:spacing w:after="0" w:line="185"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accounts receivable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May 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i w:val="1"/>
                <w:iCs w:val="1"/>
                <w:color w:val="auto"/>
              </w:rPr>
              <w:t>May 2,</w:t>
            </w:r>
          </w:p>
        </w:tc>
        <w:tc>
          <w:tcPr>
            <w:tcW w:w="0" w:type="dxa"/>
            <w:vAlign w:val="bottom"/>
          </w:tcPr>
          <w:p>
            <w:pPr>
              <w:spacing w:after="0"/>
              <w:rPr>
                <w:sz w:val="1"/>
                <w:szCs w:val="1"/>
                <w:color w:val="auto"/>
              </w:rPr>
            </w:pPr>
          </w:p>
        </w:tc>
      </w:tr>
      <w:tr>
        <w:trPr>
          <w:trHeight w:val="236"/>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i w:val="1"/>
                <w:iCs w:val="1"/>
                <w:color w:val="auto"/>
                <w:w w:val="99"/>
              </w:rPr>
              <w:t>2022</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i w:val="1"/>
                <w:iCs w:val="1"/>
                <w:color w:val="auto"/>
              </w:rPr>
              <w:t>2021</w:t>
            </w: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customers</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22,613</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38,455</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cash discounts</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reserve for returns and allowances and discounts</w:t>
            </w:r>
          </w:p>
        </w:tc>
        <w:tc>
          <w:tcPr>
            <w:tcW w:w="10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22,226</w:t>
            </w:r>
          </w:p>
        </w:tc>
        <w:tc>
          <w:tcPr>
            <w:tcW w:w="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37,726</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 summary of the activity in the allowance for doubtful accounts follows:</w:t>
            </w: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2022</w:t>
            </w: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i w:val="1"/>
                <w:iCs w:val="1"/>
                <w:color w:val="auto"/>
              </w:rPr>
              <w:t>2021</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2020</w:t>
            </w: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2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bad debts</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40" w:type="dxa"/>
            <w:vAlign w:val="bottom"/>
            <w:gridSpan w:val="4"/>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8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5" w:name="page66"/>
    <w:bookmarkEnd w:id="65"/>
    <w:p>
      <w:pPr>
        <w:ind w:right="20"/>
        <w:spacing w:after="0" w:line="261" w:lineRule="auto"/>
        <w:rPr>
          <w:sz w:val="20"/>
          <w:szCs w:val="20"/>
          <w:color w:val="auto"/>
        </w:rPr>
      </w:pPr>
      <w:r>
        <w:rPr>
          <w:rFonts w:ascii="Times New Roman" w:cs="Times New Roman" w:eastAsia="Times New Roman" w:hAnsi="Times New Roman"/>
          <w:sz w:val="18"/>
          <w:szCs w:val="18"/>
          <w:color w:val="auto"/>
        </w:rPr>
        <w:t>As of May 1, 2022, and May 2, 2021, we assessed the credit risk of our customers within our accounts receivable portfolio. Our risk assessment includes the respective customer’s (i) financial position; (ii) past payment history; (iii) management’s general ability; and (iv) historical loss experience; as well as</w:t>
      </w:r>
    </w:p>
    <w:p>
      <w:pPr>
        <w:ind w:firstLine="8"/>
        <w:spacing w:after="0" w:line="260" w:lineRule="auto"/>
        <w:tabs>
          <w:tab w:leader="none" w:pos="2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ongoing economic conditions. After our risk assessment was completed, we assigned credit grades to our customers, which in turn were used to determine our allowance for doubtful accounts totaling $292,000 and $591,000 as of May 1, 2022, and May 2, 2021,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in the allowance for returns and allowances and discounts follow: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2022</w:t>
            </w:r>
          </w:p>
        </w:tc>
        <w:tc>
          <w:tcPr>
            <w:tcW w:w="5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2021</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2020</w:t>
            </w:r>
          </w:p>
        </w:tc>
      </w:tr>
      <w:tr>
        <w:trPr>
          <w:trHeight w:val="223"/>
        </w:trPr>
        <w:tc>
          <w:tcPr>
            <w:tcW w:w="65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returns and allowances and discounts</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(1,386)</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credits issued and discounts taken</w:t>
            </w:r>
          </w:p>
        </w:tc>
        <w:tc>
          <w:tcPr>
            <w:tcW w:w="1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1,429</w:t>
            </w:r>
          </w:p>
        </w:tc>
        <w:tc>
          <w:tcPr>
            <w:tcW w:w="1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1,611</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1,745</w:t>
            </w: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Event</w:t>
      </w: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25, 2022, a customer and its affiliates associated with our mattress fabrics segment announced that they filed voluntary petitions for reorganization under Chapter 11 of the U.S. Bankruptcy Code. Subject to court approval, our customer and its affiliates entered into an asset purchase agreement for the sale of substantially all of its assets. The proposed buyer under the asset purchase agreement has also provided a commitment for debtor-in-possession financing to allow our customer and its affiliates to conduct normal business operations pending the anticipated closing of the sale. A credit loss associated with accounts receivable outstanding as of May 1, 2022, for this customer and its affiliates was not recorded as we received payment in full regarding these invoices and, based on information available to us at this time, we do not believe there is a risk of loss on these accounts. In addition, based on the information available to us at this time, we currently do not expect to record a material credit loss associated with accounts receivable for this customer and its affiliates for outstanding invoices after May 1, 2022 relating to products sold prior to the bankruptcy filing.</w:t>
      </w:r>
    </w:p>
    <w:p>
      <w:pPr>
        <w:spacing w:after="0" w:line="201"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Nature of Performance Obligations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Continuing Operations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continuing operations are classified into two business segments: mattress fabrics and upholstery fabrics. The mattress fabrics segment manufactures, sources, and sells fabrics and mattress covers primarily to bedding manufacturers. The upholstery fabrics segment develops, manufactures, sources, and sells fabrics primarily to residential and commercial furniture manufacturers. In addition, the upholstery fabrics segment includes Read, which provides window treatments and sourcing of upholstery fabrics and other products, as well as measuring and installation services of Read’s products, to customers in the hospitality and commercial industries. Read also supplies soft goods such as decorative top sheets, coverlets, duvet covers, bed skirts, bolsters, and pillows.</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primary performance obligations include the sale of mattress fabrics and upholstery fabrics, as well as the performance of customized fabrication and installation services of Read’s products associated with window treatments.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 – Home Accessories Segment</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disclosed in Note 3 of the notes to the consolidated financial statements, we sold our entire ownership interest in eLuxury on March 31, 2020, and consequently our home accessories segment was eliminated at such time. Additionally, net sales associated with our home accessories segment were excluded from our continuing operations and presented within discontinued operation in our Consolidated Statement of Net Loss for fiscal 2020.</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home accessories segment was our finished products business that manufactured, sourced, and sold bedding accessories and home goods directly to consumers and businesses through global e-commerce, business-to-business, and other sales channels.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Prior to its disposal, our former home accessories segment reported net sales totaling $13.8 million during fiscal 2020. Revenue associated with the sales of home accessories products was recognized at the point-in-time when control was transferred to the customer.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Significant Judgments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 of the consolidated financial statements for disclosure of our accounting policies regarding our significant judgements associated with revenue recognition, determining our transaction prices, and revenue measurement.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auto"/>
        </w:rPr>
        <w:t>Contract Assets &amp; Liabilities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contracts, primarily those for customized fabrication and installation services associated with Read, require upfront customer deposits that result in a contract liability which is recorded on the Consolidated Balance Sheets as deferred revenue. If upfront deposits or prepayments are not required, customers may be granted credit terms which generally range from 15-60 days. Our terms are customary within the industries in which we operate and are not considered financing arrangements. There were no contract assets recognized as of May 1, 2022, or May 2, 2021.</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of deferred revenue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20" w:type="dxa"/>
            <w:vAlign w:val="bottom"/>
          </w:tcPr>
          <w:p>
            <w:pPr>
              <w:spacing w:after="0"/>
              <w:rPr>
                <w:sz w:val="20"/>
                <w:szCs w:val="20"/>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Fiscal 2022</w:t>
            </w:r>
          </w:p>
        </w:tc>
        <w:tc>
          <w:tcPr>
            <w:tcW w:w="220" w:type="dxa"/>
            <w:vAlign w:val="bottom"/>
          </w:tcPr>
          <w:p>
            <w:pPr>
              <w:spacing w:after="0"/>
              <w:rPr>
                <w:sz w:val="20"/>
                <w:szCs w:val="20"/>
                <w:color w:val="auto"/>
              </w:rPr>
            </w:pPr>
          </w:p>
        </w:tc>
        <w:tc>
          <w:tcPr>
            <w:tcW w:w="1460" w:type="dxa"/>
            <w:vAlign w:val="bottom"/>
          </w:tcPr>
          <w:p>
            <w:pPr>
              <w:jc w:val="right"/>
              <w:ind w:right="390"/>
              <w:spacing w:after="0"/>
              <w:rPr>
                <w:sz w:val="20"/>
                <w:szCs w:val="20"/>
                <w:color w:val="auto"/>
              </w:rPr>
            </w:pPr>
            <w:r>
              <w:rPr>
                <w:rFonts w:ascii="Times New Roman" w:cs="Times New Roman" w:eastAsia="Times New Roman" w:hAnsi="Times New Roman"/>
                <w:sz w:val="18"/>
                <w:szCs w:val="18"/>
                <w:i w:val="1"/>
                <w:iCs w:val="1"/>
                <w:color w:val="auto"/>
              </w:rPr>
              <w:t>Fiscal 2021</w:t>
            </w: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540</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502</w:t>
            </w:r>
          </w:p>
        </w:tc>
      </w:tr>
      <w:tr>
        <w:trPr>
          <w:trHeight w:val="229"/>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recognized on contract liabilities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w:t>
            </w:r>
          </w:p>
        </w:tc>
      </w:tr>
      <w:tr>
        <w:trPr>
          <w:trHeight w:val="229"/>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received for services not yet rendered</w:t>
            </w: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3,414</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2,497</w:t>
            </w:r>
          </w:p>
        </w:tc>
      </w:tr>
      <w:tr>
        <w:trPr>
          <w:trHeight w:val="223"/>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520</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540</w:t>
            </w: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disaggregated revenue related to continuing operations by segment, timing of revenue recognition, and product sales versus services rendered for fiscal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Mattress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Upholstery</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Fabrics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Fabrics</w:t>
            </w:r>
          </w:p>
        </w:tc>
        <w:tc>
          <w:tcPr>
            <w:tcW w:w="280" w:type="dxa"/>
            <w:vAlign w:val="bottom"/>
          </w:tcPr>
          <w:p>
            <w:pPr>
              <w:spacing w:after="0"/>
              <w:rPr>
                <w:sz w:val="20"/>
                <w:szCs w:val="20"/>
                <w:color w:val="auto"/>
              </w:rPr>
            </w:pPr>
          </w:p>
        </w:tc>
        <w:tc>
          <w:tcPr>
            <w:tcW w:w="11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65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Products transferred at a point in time</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152,159</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133,622</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285,781</w:t>
            </w:r>
          </w:p>
        </w:tc>
      </w:tr>
      <w:tr>
        <w:trPr>
          <w:trHeight w:val="229"/>
        </w:trPr>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9,058</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9,058</w:t>
            </w:r>
          </w:p>
        </w:tc>
      </w:tr>
      <w:tr>
        <w:trPr>
          <w:trHeight w:val="223"/>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152,159</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142,680</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294,839</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disaggregated revenue related to continuing operations by segment, timing of revenue recognition, and product sales versus services rendered for fiscal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Mattress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Upholstery</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Fabrics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Fabrics</w:t>
            </w:r>
          </w:p>
        </w:tc>
        <w:tc>
          <w:tcPr>
            <w:tcW w:w="280" w:type="dxa"/>
            <w:vAlign w:val="bottom"/>
          </w:tcPr>
          <w:p>
            <w:pPr>
              <w:spacing w:after="0"/>
              <w:rPr>
                <w:sz w:val="20"/>
                <w:szCs w:val="20"/>
                <w:color w:val="auto"/>
              </w:rPr>
            </w:pPr>
          </w:p>
        </w:tc>
        <w:tc>
          <w:tcPr>
            <w:tcW w:w="11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65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Products transferred at a point in time</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157,671</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133,501</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291,172</w:t>
            </w:r>
          </w:p>
        </w:tc>
      </w:tr>
      <w:tr>
        <w:trPr>
          <w:trHeight w:val="230"/>
        </w:trPr>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8,548</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8,548</w:t>
            </w:r>
          </w:p>
        </w:tc>
      </w:tr>
      <w:tr>
        <w:trPr>
          <w:trHeight w:val="223"/>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157,671</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142,049</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299,720</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disaggregated revenue related to continuing operations by segment, timing of revenue recognition, and product sales versus services rendered for fiscal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Mattress</w:t>
            </w:r>
          </w:p>
        </w:tc>
        <w:tc>
          <w:tcPr>
            <w:tcW w:w="140" w:type="dxa"/>
            <w:vAlign w:val="bottom"/>
          </w:tcPr>
          <w:p>
            <w:pPr>
              <w:spacing w:after="0"/>
              <w:rPr>
                <w:sz w:val="18"/>
                <w:szCs w:val="18"/>
                <w:color w:val="auto"/>
              </w:rPr>
            </w:pPr>
          </w:p>
        </w:tc>
        <w:tc>
          <w:tcPr>
            <w:tcW w:w="114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Upholstery</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38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Fabrics</w:t>
            </w:r>
          </w:p>
        </w:tc>
        <w:tc>
          <w:tcPr>
            <w:tcW w:w="14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Fabrics</w:t>
            </w: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4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Products transferred at a point in time</w:t>
            </w:r>
          </w:p>
        </w:tc>
        <w:tc>
          <w:tcPr>
            <w:tcW w:w="2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131,412</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4"/>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114,154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245,566</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23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8"/>
                <w:szCs w:val="18"/>
                <w:color w:val="auto"/>
              </w:rPr>
              <w:t>10,600</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10,600</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3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131,412</w:t>
            </w: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4"/>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124,754</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256,166</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38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20" w:type="dxa"/>
            <w:vAlign w:val="bottom"/>
            <w:vMerge w:val="continue"/>
          </w:tcPr>
          <w:p>
            <w:pPr>
              <w:spacing w:after="0"/>
              <w:rPr>
                <w:sz w:val="24"/>
                <w:szCs w:val="24"/>
                <w:color w:val="auto"/>
              </w:rPr>
            </w:pPr>
          </w:p>
        </w:tc>
        <w:tc>
          <w:tcPr>
            <w:tcW w:w="3820" w:type="dxa"/>
            <w:vAlign w:val="bottom"/>
            <w:vMerge w:val="continue"/>
          </w:tcPr>
          <w:p>
            <w:pPr>
              <w:spacing w:after="0"/>
              <w:rPr>
                <w:sz w:val="24"/>
                <w:szCs w:val="24"/>
                <w:color w:val="auto"/>
              </w:rPr>
            </w:pP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inventories follows:</w:t>
            </w: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May 1,</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8"/>
                <w:szCs w:val="18"/>
                <w:i w:val="1"/>
                <w:iCs w:val="1"/>
                <w:color w:val="auto"/>
                <w:w w:val="99"/>
              </w:rPr>
              <w:t>May 2,</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2022</w:t>
            </w: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i w:val="1"/>
                <w:iCs w:val="1"/>
                <w:color w:val="auto"/>
              </w:rPr>
              <w:t>2021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13,477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7,742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4,237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48,843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45,019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66,557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55,917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38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7" w:name="page68"/>
    <w:bookmarkEnd w:id="67"/>
    <w:p>
      <w:pPr>
        <w:ind w:left="500" w:hanging="492"/>
        <w:spacing w:after="0"/>
        <w:tabs>
          <w:tab w:leader="none" w:pos="5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property, plant, and equipment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depreciable lives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May 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i w:val="1"/>
                <w:iCs w:val="1"/>
                <w:color w:val="auto"/>
              </w:rPr>
              <w:t>May 2,</w:t>
            </w:r>
          </w:p>
        </w:tc>
      </w:tr>
      <w:tr>
        <w:trPr>
          <w:trHeight w:val="23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i w:val="1"/>
                <w:iCs w:val="1"/>
                <w:color w:val="auto"/>
              </w:rPr>
              <w:t>(in years)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2021</w:t>
            </w:r>
          </w:p>
        </w:tc>
      </w:tr>
      <w:tr>
        <w:trPr>
          <w:trHeight w:val="223"/>
        </w:trPr>
        <w:tc>
          <w:tcPr>
            <w:tcW w:w="6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1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947</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937</w:t>
            </w:r>
          </w:p>
        </w:tc>
      </w:tr>
      <w:tr>
        <w:trPr>
          <w:trHeight w:val="230"/>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31,628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31,205</w:t>
            </w:r>
          </w:p>
        </w:tc>
      </w:tr>
      <w:tr>
        <w:trPr>
          <w:trHeight w:val="229"/>
        </w:trPr>
        <w:tc>
          <w:tcPr>
            <w:tcW w:w="6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3,474</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2,884</w:t>
            </w:r>
          </w:p>
        </w:tc>
      </w:tr>
      <w:tr>
        <w:trPr>
          <w:trHeight w:val="229"/>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67,827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65,258</w:t>
            </w:r>
          </w:p>
        </w:tc>
      </w:tr>
      <w:tr>
        <w:trPr>
          <w:trHeight w:val="230"/>
        </w:trPr>
        <w:tc>
          <w:tcPr>
            <w:tcW w:w="6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data processing equipment and software</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8,706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8,261</w:t>
            </w:r>
          </w:p>
        </w:tc>
      </w:tr>
      <w:tr>
        <w:trPr>
          <w:trHeight w:val="229"/>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1,313</w:t>
            </w:r>
          </w:p>
        </w:tc>
      </w:tr>
      <w:tr>
        <w:trPr>
          <w:trHeight w:val="229"/>
        </w:trPr>
        <w:tc>
          <w:tcPr>
            <w:tcW w:w="6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projects in progress</w:t>
            </w: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3,077</w:t>
            </w:r>
          </w:p>
        </w:tc>
      </w:tr>
      <w:tr>
        <w:trPr>
          <w:trHeight w:val="223"/>
        </w:trPr>
        <w:tc>
          <w:tcPr>
            <w:tcW w:w="6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114,838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112,935</w:t>
            </w:r>
          </w:p>
        </w:tc>
      </w:tr>
      <w:tr>
        <w:trPr>
          <w:trHeight w:val="229"/>
        </w:trPr>
        <w:tc>
          <w:tcPr>
            <w:tcW w:w="6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(73,136)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(68,932)</w:t>
            </w:r>
          </w:p>
        </w:tc>
      </w:tr>
      <w:tr>
        <w:trPr>
          <w:trHeight w:val="223"/>
        </w:trPr>
        <w:tc>
          <w:tcPr>
            <w:tcW w:w="6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41,702</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44,003</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500" w:hanging="492"/>
        <w:spacing w:after="0"/>
        <w:tabs>
          <w:tab w:leader="none" w:pos="5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Shorter of life of lease or useful life.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7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summary of intangible assets follows:</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74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1,</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May 2,</w:t>
            </w:r>
          </w:p>
        </w:tc>
        <w:tc>
          <w:tcPr>
            <w:tcW w:w="0" w:type="dxa"/>
            <w:vAlign w:val="bottom"/>
          </w:tcPr>
          <w:p>
            <w:pPr>
              <w:spacing w:after="0"/>
              <w:rPr>
                <w:sz w:val="1"/>
                <w:szCs w:val="1"/>
                <w:color w:val="auto"/>
              </w:rPr>
            </w:pPr>
          </w:p>
        </w:tc>
      </w:tr>
      <w:tr>
        <w:trPr>
          <w:trHeight w:val="234"/>
        </w:trPr>
        <w:tc>
          <w:tcPr>
            <w:tcW w:w="7480" w:type="dxa"/>
            <w:vAlign w:val="bottom"/>
            <w:gridSpan w:val="3"/>
            <w:vMerge w:val="continue"/>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732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Tradenames</w:t>
            </w:r>
          </w:p>
        </w:tc>
        <w:tc>
          <w:tcPr>
            <w:tcW w:w="1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540</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29"/>
        </w:trPr>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104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1,937</w:t>
            </w:r>
          </w:p>
        </w:tc>
        <w:tc>
          <w:tcPr>
            <w:tcW w:w="0" w:type="dxa"/>
            <w:vAlign w:val="bottom"/>
          </w:tcPr>
          <w:p>
            <w:pPr>
              <w:spacing w:after="0"/>
              <w:rPr>
                <w:sz w:val="1"/>
                <w:szCs w:val="1"/>
                <w:color w:val="auto"/>
              </w:rPr>
            </w:pPr>
          </w:p>
        </w:tc>
      </w:tr>
      <w:tr>
        <w:trPr>
          <w:trHeight w:val="230"/>
        </w:trPr>
        <w:tc>
          <w:tcPr>
            <w:tcW w:w="74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Non-compete agreement, net</w:t>
            </w:r>
          </w:p>
        </w:tc>
        <w:tc>
          <w:tcPr>
            <w:tcW w:w="10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2,628</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3,004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Tradename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1"/>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change in the carrying amount of our tradename follows: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73"/>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60" w:type="dxa"/>
            <w:vAlign w:val="bottom"/>
          </w:tcPr>
          <w:p>
            <w:pPr>
              <w:spacing w:after="0"/>
              <w:rPr>
                <w:sz w:val="24"/>
                <w:szCs w:val="24"/>
                <w:color w:val="auto"/>
              </w:rPr>
            </w:pPr>
          </w:p>
        </w:tc>
        <w:tc>
          <w:tcPr>
            <w:tcW w:w="1120" w:type="dxa"/>
            <w:vAlign w:val="bottom"/>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2022</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2021</w:t>
            </w:r>
          </w:p>
        </w:tc>
        <w:tc>
          <w:tcPr>
            <w:tcW w:w="380" w:type="dxa"/>
            <w:vAlign w:val="bottom"/>
          </w:tcPr>
          <w:p>
            <w:pPr>
              <w:spacing w:after="0"/>
              <w:rPr>
                <w:sz w:val="24"/>
                <w:szCs w:val="24"/>
                <w:color w:val="auto"/>
              </w:rPr>
            </w:pP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2020</w:t>
            </w:r>
          </w:p>
        </w:tc>
      </w:tr>
      <w:tr>
        <w:trPr>
          <w:trHeight w:val="223"/>
        </w:trPr>
        <w:tc>
          <w:tcPr>
            <w:tcW w:w="6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540</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540</w:t>
            </w:r>
          </w:p>
        </w:tc>
        <w:tc>
          <w:tcPr>
            <w:tcW w:w="38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7,232</w:t>
            </w:r>
          </w:p>
        </w:tc>
      </w:tr>
      <w:tr>
        <w:trPr>
          <w:trHeight w:val="230"/>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impairment - continuing operations</w:t>
            </w:r>
          </w:p>
        </w:tc>
        <w:tc>
          <w:tcPr>
            <w:tcW w:w="26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6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impairment - discontinued operation (note 3)</w:t>
            </w: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(6,549)</w:t>
            </w:r>
          </w:p>
        </w:tc>
      </w:tr>
      <w:tr>
        <w:trPr>
          <w:trHeight w:val="223"/>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540</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540</w:t>
            </w:r>
          </w:p>
        </w:tc>
        <w:tc>
          <w:tcPr>
            <w:tcW w:w="38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540</w:t>
            </w:r>
          </w:p>
        </w:tc>
      </w:tr>
      <w:tr>
        <w:trPr>
          <w:trHeight w:val="20"/>
        </w:trPr>
        <w:tc>
          <w:tcPr>
            <w:tcW w:w="6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tradename as of May 1, 2022, and May 2, 2021, pertained to Read, a separate reporting unit within the upholstery fabrics segment. This tradename was determined to have an indefinite useful life at the time of acquisition, and therefore is not being amortized. However, we are required to assess this tradename annually or between annual tests if we believe indicators of impairment exist. Based on our assessments as of May 1, 2022, and May 2, 2021, no indicators of impairment existed, and therefore we did not record any asset impairment charges associated with our tradename during fiscal 2022 or fiscal 2021.</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Continuing Operations (Fiscal 2020)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28, 2019, the tradename associated with our continuing operations totaled $683,000 and was associated with Read.</w:t>
      </w: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ASC Topic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we are required to assess our tradenames for impairment annually or between annual tests if we believe indicators of impairment exist. Accordingly, we performed an annual assessment of Read’s tradename as of May 3, 2020. First, we performed a qualitative assessment in which we concluded that it was more likely than not that the fair value of Read’s tradename was less than its carrying amount. This conclusion was based on impairment indicators that existed, such as our unfavorable financial performance and the significant decline in the price per share of our common stock and market capitalization stemming from the COVID-19 global pandemic. Since we determined it was more likely than not that the fair value of Read’s tradename was less than its carrying amount, we performed a quantitative impairment test. Our quantitative impairment test involved determining the fair value of Read’s tradename utilizing the relief from royalty method and comparing the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8" w:name="page69"/>
    <w:bookmarkEnd w:id="68"/>
    <w:p>
      <w:pPr>
        <w:jc w:val="both"/>
        <w:spacing w:after="0" w:line="282" w:lineRule="auto"/>
        <w:rPr>
          <w:sz w:val="20"/>
          <w:szCs w:val="20"/>
          <w:color w:val="auto"/>
        </w:rPr>
      </w:pPr>
      <w:r>
        <w:rPr>
          <w:rFonts w:ascii="Times New Roman" w:cs="Times New Roman" w:eastAsia="Times New Roman" w:hAnsi="Times New Roman"/>
          <w:sz w:val="18"/>
          <w:szCs w:val="18"/>
          <w:color w:val="auto"/>
        </w:rPr>
        <w:t>respective fair value of Read’s tradename with its carrying amount. Consequently, based on our quantitative impairment test, we recorded an asset impairment charge totaling $143,000 in the fiscal 2020 Consolidated Statement of Net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Discontinued Operation – Home Accessories Segment (Fiscal 2020)</w:t>
      </w:r>
    </w:p>
    <w:p>
      <w:pPr>
        <w:spacing w:after="0" w:line="2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April 28, 2019, the tradename associated with our discontinued operation totaled $6.6 million. During the fiscal 2020 year, we recorded asset impairment charges totaling $6.6 million, of which $2.4 million and $4.2 million were recorded in the third and fourth quarters,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Quarter of Fiscal 2020</w:t>
      </w:r>
    </w:p>
    <w:p>
      <w:pPr>
        <w:spacing w:after="0" w:line="2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February 2, 2020 (the end of our third quarter), we believed indicators of impairment existed that pertained to the future outlook of our former home accessories segment and its slower than expected business improvement, as well as economic conditions that existed within the e-commerce bedding space. Since we determined it was more-likely-than-not that the fair value of the tradename associated with our former home accessories segment was less than its carrying amount, we performed a quantitative impairment test. Our quantitative impairment test involved determining the fair value of the tradename associated with our former home accessories segment utilizing a relief from royalty method and comparing the respective fair value with its carrying amount. Consequently, based on our quantitative impairment test, we recorded an asset impairment charge totaling $2.4 million that is presented within the discontinued operation section of our fiscal 2020 Consolidated Statement of Net Loss.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Fourth Quarter of Fiscal 2020</w:t>
      </w: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fourth quarter of fiscal 2020, management made a strategic decision to sell our entire ownership interest in eLuxury to focus on our core products of mattress and upholstery fabrics, which we believed would increase our liquidity and assist with our comprehensive response to the COVID-19 global pandemic. As a result, we recorded an additional asset impairment charge of $4.2 million based on the expected selling price of our entire ownership in eLuxury in comparison to its carrying amount. As disclosed in Note 3 of the notes to the consolidated financial statements, effective March 31, 2020, we sold our entire ownership interest in eLuxury to its noncontrolling interest holder, resulting in the elimination of the home accessories segment at such time. Based on the terms of the sale agreement, we did not receive any consideration for eLuxury’s net assets associated with the sale of our entire ownership interest in eLuxury. The $4.2 million asset impairment charge recorded during the fourth quarter is presented within the discontinued operation section of our fiscal 2020 Consolidated Statement of Net Loss.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Customer Relationships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05"/>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change in the carrying amount of our customer relationships follows:</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72"/>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2022</w:t>
            </w:r>
          </w:p>
        </w:tc>
        <w:tc>
          <w:tcPr>
            <w:tcW w:w="140" w:type="dxa"/>
            <w:vAlign w:val="bottom"/>
            <w:tcBorders>
              <w:bottom w:val="single" w:sz="8" w:color="CFF0FC"/>
            </w:tcBorders>
          </w:tcPr>
          <w:p>
            <w:pPr>
              <w:spacing w:after="0"/>
              <w:rPr>
                <w:sz w:val="24"/>
                <w:szCs w:val="24"/>
                <w:color w:val="auto"/>
              </w:rPr>
            </w:pPr>
          </w:p>
        </w:tc>
        <w:tc>
          <w:tcPr>
            <w:tcW w:w="14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2021</w:t>
            </w:r>
          </w:p>
        </w:tc>
        <w:tc>
          <w:tcPr>
            <w:tcW w:w="140" w:type="dxa"/>
            <w:vAlign w:val="bottom"/>
            <w:tcBorders>
              <w:bottom w:val="single" w:sz="8" w:color="CFF0FC"/>
            </w:tcBorders>
          </w:tcPr>
          <w:p>
            <w:pPr>
              <w:spacing w:after="0"/>
              <w:rPr>
                <w:sz w:val="24"/>
                <w:szCs w:val="24"/>
                <w:color w:val="auto"/>
              </w:rPr>
            </w:pPr>
          </w:p>
        </w:tc>
        <w:tc>
          <w:tcPr>
            <w:tcW w:w="14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2020</w:t>
            </w:r>
          </w:p>
        </w:tc>
      </w:tr>
      <w:tr>
        <w:trPr>
          <w:trHeight w:val="22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1,937</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2,238</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2,538</w:t>
            </w:r>
          </w:p>
        </w:tc>
      </w:tr>
      <w:tr>
        <w:trPr>
          <w:trHeight w:val="230"/>
        </w:trPr>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3"/>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1,636</w:t>
            </w:r>
          </w:p>
        </w:tc>
        <w:tc>
          <w:tcPr>
            <w:tcW w:w="1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1,937</w:t>
            </w:r>
          </w:p>
        </w:tc>
        <w:tc>
          <w:tcPr>
            <w:tcW w:w="1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2,238</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customer relationships are amortized on a straight-line basis over useful lives ranging from nine to seventeen years.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gross carrying amount of our customer relationships was $3.1 million as of May 1, 2022, and May 2, 2021. Accumulated amortization for these customer relationships was $1.5 million and $1.2 million as of May 1, 2022, and May 2, 2021, respectively.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remaining amortization expense for the next five fiscal years and thereafter follows: FY 2023 - $301,000; FY 2024 - $301,000; FY 2025 - $301,000; FY 2026 - $301,000; FY 2027 - $278,000; and thereafter - $154,000.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amortization period for our customer relationships is 5.7 years as of May 1,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Non-Compete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 in the carrying amount of our non-compete agreement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96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2022</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2021</w:t>
            </w:r>
          </w:p>
        </w:tc>
        <w:tc>
          <w:tcPr>
            <w:tcW w:w="14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2020</w:t>
            </w:r>
          </w:p>
        </w:tc>
        <w:tc>
          <w:tcPr>
            <w:tcW w:w="0" w:type="dxa"/>
            <w:vAlign w:val="bottom"/>
          </w:tcPr>
          <w:p>
            <w:pPr>
              <w:spacing w:after="0"/>
              <w:rPr>
                <w:sz w:val="1"/>
                <w:szCs w:val="1"/>
                <w:color w:val="auto"/>
              </w:rPr>
            </w:pPr>
          </w:p>
        </w:tc>
      </w:tr>
      <w:tr>
        <w:trPr>
          <w:trHeight w:val="223"/>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527</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602</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29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9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527</w:t>
            </w:r>
          </w:p>
        </w:tc>
        <w:tc>
          <w:tcPr>
            <w:tcW w:w="1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96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56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ind w:right="20"/>
        <w:spacing w:after="0" w:line="282" w:lineRule="auto"/>
        <w:rPr>
          <w:sz w:val="20"/>
          <w:szCs w:val="20"/>
          <w:color w:val="auto"/>
        </w:rPr>
      </w:pPr>
      <w:r>
        <w:rPr>
          <w:rFonts w:ascii="Times New Roman" w:cs="Times New Roman" w:eastAsia="Times New Roman" w:hAnsi="Times New Roman"/>
          <w:sz w:val="18"/>
          <w:szCs w:val="18"/>
          <w:color w:val="auto"/>
        </w:rPr>
        <w:t>Our non-compete agreement is associated with a prior acquisition by our mattress fabrics segment and is amortized on a straight-line basis over the fifteen-year life of the agreement.</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gross carrying amount of this non-compete agreement was $2.0 million as of May 1, 2022, and May 2, 2021. Accumulated amortization for this non-compete agreement was $1.6 million and $1.5 million as of May 1, 2022, and May 2, 2021, respectively.</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remaining amortization expense for the next five years and thereafter follows: FY 2023 - $76,000; FY 2024 - $76,000; FY 2025 - $76,000; FY 2026 - $76,000; FY 2027 - $75,000, and thereafter - $73,000.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amortization period for the non-compete agreement is 6.0 years as of May 1, 2022.</w:t>
      </w:r>
    </w:p>
    <w:p>
      <w:pPr>
        <w:spacing w:after="0" w:line="194"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 in the carrying amount of goodwill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2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i w:val="1"/>
                <w:iCs w:val="1"/>
                <w:color w:val="auto"/>
              </w:rPr>
              <w:t>2020</w:t>
            </w:r>
          </w:p>
        </w:tc>
      </w:tr>
      <w:tr>
        <w:trPr>
          <w:trHeight w:val="223"/>
        </w:trPr>
        <w:tc>
          <w:tcPr>
            <w:tcW w:w="9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27,222</w:t>
            </w:r>
          </w:p>
        </w:tc>
      </w:tr>
      <w:tr>
        <w:trPr>
          <w:trHeight w:val="229"/>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loss on impairment - continuing operations</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(13,569)</w:t>
            </w:r>
          </w:p>
        </w:tc>
      </w:tr>
      <w:tr>
        <w:trPr>
          <w:trHeight w:val="230"/>
        </w:trPr>
        <w:tc>
          <w:tcPr>
            <w:tcW w:w="9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impairment - discontinued operation (note 3)</w:t>
            </w:r>
          </w:p>
        </w:tc>
        <w:tc>
          <w:tcPr>
            <w:tcW w:w="2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(13,653)</w:t>
            </w:r>
          </w:p>
        </w:tc>
      </w:tr>
      <w:tr>
        <w:trPr>
          <w:trHeight w:val="223"/>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asset impairments incurred during fiscal 2020 described below, we did not report goodwill in the accompanying Consolidated Balance Sheets as of May 1, 2022, and May 2, 2021.</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Continuing Operations (Fiscal 2020)</w:t>
      </w: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28, 2019, goodwill associated with our continuing operations totaled $13.6 million, of which $11.5 million was associated with our mattress fabrics reporting unit and $2.1 million was associated with Read, a separate reporting unit within the upholstery fabrics segment.</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accordance with ASC Topic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we are required to assess goodwill for impairment annually or between annual tests if we believe indicators of impairment exist. Accordingly, we performed our annual assessment of goodwill as of May 3, 2020. First, we performed a qualitative assessment in which we concluded that it was more likely than not that the fair value of both our mattress fabrics and Read reporting units were less than their carrying amounts, including goodwill. This conclusion was based on impairment indicators that existed, such as our unfavorable financial performance and the significant decline in the price per share of our common stock and market capitalization stemming from the COVID-19 global pandemic. Since we determined it was more likely than not that the fair value for both our mattress fabrics and Read reporting units were less than their carrying amounts, we conducted a quantitative goodwill impairment test. Our quantitative goodwill impairment test involved determining the fair value of each of our mattress fabrics and Read reporting units utilizing a discounted cash flows method and comparing the respective fair value of our mattress fabrics and Read reporting units with their respective carrying amounts, including goodwill. Consequently, based on our quantitative goodwill impairment test, we recorded an asset impairment charge totaling $13.6 million in asset impairments in the fiscal 2020 Consolidated Statement of Net Loss.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Discontinued Operation – Home Accessories Segment (Fiscal 2020)</w:t>
      </w: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28, 2019, goodwill associated with our discontinued operation totaled $13.6 million. During fiscal 2020, we recorded asset impairment charges totaling $13.6 million, of which $11.2 million and $2.4 million were recorded in the third and fourth quarters,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Quarter of Fiscal 2020</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February 2, 2020 (the end of our third quarter), we believed indicators of impairment existed that pertained to the future outlook of our former home accessories segment and its slower than expected business improvement, as well as economic conditions that existed within the e-commerce bedding space. Since we determined it was more likely than not that the fair value of our former home accessories reporting unit was less than its carrying amount, we performed a quantitative goodwill impairment test. Our quantitative goodwill impairment test involved determining the fair value of our former home accessories segment utilizing a discounted cash flows method and comparing the respective fair value of our former home accessories reporting unit with its respective carrying amount, including goodwill. Consequently, based on our quantitative goodwill impairment test, we recorded an asset impairment charge totaling $11.2 million that is presented within the discontinued operation section of our fiscal 2020 Consolidated Statement of Net Loss.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color w:val="auto"/>
        </w:rPr>
        <w:t>Fourth Quarter of Fiscal 2020</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fourth quarter of fiscal 2020, management made a strategic decision to sell our entire ownership interest in eLuxury to focus on our core products of mattress and upholstery fabrics, which we believed would increase our liquidity and assist with our comprehensive response to the COVID-19 global pandemic. As a result, we recorded an additional asset impairment charge of $2.4 million based on the expected selling price of our entire ownership in eLuxury in comparison to its carrying amount, including goodwill. As disclosed in Note 3 of the consolidated financial statements, effective March 31, 2020, we sold our entire ownership interest in eLuxury to its noncontrolling interest holder, resulting in the elimination of the home accessories segment at such time. Based on the terms of the sale agreement, we did not receive any consideration for eLuxury’s net assets that were associated with the sale of our entire ownership interest in eLuxury. The $2.4 million asset impairment charge recorded during the fourth quarter is presented within the discontinued operation section of our fiscal 2020 Consolidated Statement of Net Loss.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7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4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May 1,</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i w:val="1"/>
                <w:iCs w:val="1"/>
                <w:color w:val="auto"/>
              </w:rPr>
              <w:t>May 2,</w:t>
            </w:r>
          </w:p>
        </w:tc>
        <w:tc>
          <w:tcPr>
            <w:tcW w:w="0" w:type="dxa"/>
            <w:vAlign w:val="bottom"/>
          </w:tcPr>
          <w:p>
            <w:pPr>
              <w:spacing w:after="0"/>
              <w:rPr>
                <w:sz w:val="1"/>
                <w:szCs w:val="1"/>
                <w:color w:val="auto"/>
              </w:rPr>
            </w:pPr>
          </w:p>
        </w:tc>
      </w:tr>
      <w:tr>
        <w:trPr>
          <w:trHeight w:val="236"/>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i w:val="1"/>
                <w:iCs w:val="1"/>
                <w:color w:val="auto"/>
              </w:rPr>
              <w:t>2022</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Times New Roman" w:cs="Times New Roman" w:eastAsia="Times New Roman" w:hAnsi="Times New Roman"/>
                <w:sz w:val="18"/>
                <w:szCs w:val="18"/>
                <w:i w:val="1"/>
                <w:iCs w:val="1"/>
                <w:color w:val="auto"/>
              </w:rPr>
              <w:t>2021</w:t>
            </w:r>
          </w:p>
        </w:tc>
        <w:tc>
          <w:tcPr>
            <w:tcW w:w="0" w:type="dxa"/>
            <w:vAlign w:val="bottom"/>
          </w:tcPr>
          <w:p>
            <w:pPr>
              <w:spacing w:after="0"/>
              <w:rPr>
                <w:sz w:val="1"/>
                <w:szCs w:val="1"/>
                <w:color w:val="auto"/>
              </w:rPr>
            </w:pPr>
          </w:p>
        </w:tc>
      </w:tr>
      <w:tr>
        <w:trPr>
          <w:trHeight w:val="223"/>
        </w:trPr>
        <w:tc>
          <w:tcPr>
            <w:tcW w:w="756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1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4,248</w:t>
            </w: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9,816</w:t>
            </w:r>
          </w:p>
        </w:tc>
        <w:tc>
          <w:tcPr>
            <w:tcW w:w="0" w:type="dxa"/>
            <w:vAlign w:val="bottom"/>
          </w:tcPr>
          <w:p>
            <w:pPr>
              <w:spacing w:after="0"/>
              <w:rPr>
                <w:sz w:val="1"/>
                <w:szCs w:val="1"/>
                <w:color w:val="auto"/>
              </w:rPr>
            </w:pPr>
          </w:p>
        </w:tc>
      </w:tr>
      <w:tr>
        <w:trPr>
          <w:trHeight w:val="230"/>
        </w:trPr>
        <w:tc>
          <w:tcPr>
            <w:tcW w:w="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7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3,584</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5,023</w:t>
            </w:r>
          </w:p>
        </w:tc>
        <w:tc>
          <w:tcPr>
            <w:tcW w:w="0" w:type="dxa"/>
            <w:vAlign w:val="bottom"/>
          </w:tcPr>
          <w:p>
            <w:pPr>
              <w:spacing w:after="0"/>
              <w:rPr>
                <w:sz w:val="1"/>
                <w:szCs w:val="1"/>
                <w:color w:val="auto"/>
              </w:rPr>
            </w:pPr>
          </w:p>
        </w:tc>
      </w:tr>
      <w:tr>
        <w:trPr>
          <w:trHeight w:val="223"/>
        </w:trPr>
        <w:tc>
          <w:tcPr>
            <w:tcW w:w="440" w:type="dxa"/>
            <w:vAlign w:val="bottom"/>
            <w:tcBorders>
              <w:bottom w:val="single" w:sz="8" w:color="CFF0FC"/>
            </w:tcBorders>
            <w:shd w:val="clear" w:color="auto" w:fill="CFF0FC"/>
          </w:tcPr>
          <w:p>
            <w:pPr>
              <w:spacing w:after="0"/>
              <w:rPr>
                <w:sz w:val="19"/>
                <w:szCs w:val="19"/>
                <w:color w:val="auto"/>
              </w:rPr>
            </w:pPr>
          </w:p>
        </w:tc>
        <w:tc>
          <w:tcPr>
            <w:tcW w:w="7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7,832</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14,839</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7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LINES OF CREDIT</w:t>
            </w: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440" w:type="dxa"/>
            <w:vAlign w:val="bottom"/>
            <w:vMerge w:val="continue"/>
          </w:tcPr>
          <w:p>
            <w:pPr>
              <w:spacing w:after="0"/>
              <w:rPr>
                <w:sz w:val="24"/>
                <w:szCs w:val="24"/>
                <w:color w:val="auto"/>
              </w:rPr>
            </w:pPr>
          </w:p>
        </w:tc>
        <w:tc>
          <w:tcPr>
            <w:tcW w:w="728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Revolving Credit Agreement – United States</w:t>
            </w: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Overall</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1, 2022, our Credit Agreement (the “Existing Credit Agreement”) with Wells Fargo Bank, N.A. (“Wells Fargo”) provided a revolving loan commitment of $30 million, was set to expire on August 15, 2022, and allowed us to issue letters of credit not to exceed $1 million.</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Interest was charged under the Existing Credit Agreement at a rate (applicable interest rate of 2.40% and 1.71% as of May 1, 2022, and May 2, 2021, respectively) as a variable spread over LIBOR based on our ratio of debt to EBITDA. Outstanding borrowings were secured by a pledge of 65% of the common stock of Culp International Holdings, Ltd. (a subsidiary located in the Cayman Islands).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$275,000 of outstanding letters of credit provided by the Existing Credit Agreement as of May 1, 2022, and May 2, 2021. As of May 1, 2022, we had $725,000 remaining for the issuance of additional letters of credit.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borrowings outstanding under the Existing Credit Agreement as of May 1, 2022, or May 2,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Subsequent Event</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June 24, 2022, we entered into an Amended and Restated Credit Agreement (the “Amended Agreement”) with Wells Fargo. The Amended Agreement amends, restates, supersedes, and serves as a replacement for the Existing Credit Agreement. The Amended Agreement provides a revolving credit facility of up to $40 million, is secured by a lien on the company’s assets, and expires in June 2025. The proceeds of borrowings under the Amended Agreement are to be used for working capital and other general corporate purposes.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available borrowings under the Amended Agreement are based on a borrowing base calculation using certain accounts receivable and inventory of the company, subject to certain sub-limits as defined in the Amended Agreement, to be calculated on a monthly basis. Similar to the Existing Credit Agreement, the Amended Agreement contains a sub-facility that allows the company to issue letters of credit in an aggregate amount not to exceed $1 million.</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Borrowings under the Amended Agreement bear interest at a rate calculated using a margin (the “Applicable Margin”) over the Federal Reserve Bank of New York’s secured overnight funding rate (SOFR). The Applicable Margin is set initially at 1.35% and may vary under the terms of the Amended Agreement from 1.35% to 2.50%, depending on the ratio of the company’s consolidated debt to consolidated EBITDA, as defined in the Amended Agreement, determined on a quarterly basis. The Amended Agreement contains customary affirmative and negative covenants and requires compliance by the company with certain financial covenants, including minimum tangible net worth of $100 million plus 50% of annual net income, and a minimum ratio of consolidated EBITDA to consolidated net interest expense of 3.0 to 1.0 as defined in the Amended Agreement. The EBITDA to interest expense covenant does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71" w:name="page72"/>
    <w:bookmarkEnd w:id="71"/>
    <w:p>
      <w:pPr>
        <w:jc w:val="both"/>
        <w:spacing w:after="0" w:line="266" w:lineRule="auto"/>
        <w:rPr>
          <w:sz w:val="20"/>
          <w:szCs w:val="20"/>
          <w:color w:val="auto"/>
        </w:rPr>
      </w:pPr>
      <w:r>
        <w:rPr>
          <w:rFonts w:ascii="Times New Roman" w:cs="Times New Roman" w:eastAsia="Times New Roman" w:hAnsi="Times New Roman"/>
          <w:sz w:val="18"/>
          <w:szCs w:val="18"/>
          <w:color w:val="auto"/>
        </w:rPr>
        <w:t>not apply during the first three quarters of the company’s fiscal 2023, but during that period, the company must maintain minimum “access to liquidity” of $15 million, which is defined as unencumbered liquid assets plus available and unused credit under the revolving credit facility as calculated using the borrowing base, all as defined in the Amended Agreement.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Agreements – China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Denominated in Chinese Yuan Renminbi (RMB)</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unsecured credit agreement denominated in RMB with a bank located in China that provides for a line of credit of up to 40 million RMB ($6.1 million USD as of May 1, 2022). This agreement has an interest rate determined by the Chinese government at the time of borrowing and was renewed during the third quarter of fiscal 2022 to extend the expiration date to November 15,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borrowings outstanding under this agreement as of May 1, 2022, or May 2, 2021,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Denominated in United States Dollar (USD)</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an unsecured credit agreement denominated in USD with another bank located in China that provides for a line of credit of up to $2 million USD and expires on August 30, 2022. The interest rate regarding this agreement is determined by the Chinese government at the time of borrowing.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borrowings outstanding under this agreement as of May 1, 2022, or May 2, 2021,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Overall</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loan agreements require, among other things, that we maintain compliance with certain financial covenants. As of May 1, 2022, we were in compliance with our financial covenants.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paid during fiscal years 2022, 2021, and 2020 was $10,000, $60,000, and $124,000,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92"/>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Income Tax Expense and Effective Income Tax Rate</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2"/>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income tax expense was allocated as follows:</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73"/>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2022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2021</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2020</w:t>
            </w:r>
          </w:p>
        </w:tc>
      </w:tr>
      <w:tr>
        <w:trPr>
          <w:trHeight w:val="223"/>
        </w:trPr>
        <w:tc>
          <w:tcPr>
            <w:tcW w:w="652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from continuing operations</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2,886</w:t>
            </w:r>
          </w:p>
        </w:tc>
        <w:tc>
          <w:tcPr>
            <w:tcW w:w="1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7,693</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3,354</w:t>
            </w:r>
          </w:p>
        </w:tc>
      </w:tr>
      <w:tr>
        <w:trPr>
          <w:trHeight w:val="229"/>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discontinued operation</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6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2,886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7,693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3,286</w:t>
            </w:r>
          </w:p>
        </w:tc>
      </w:tr>
      <w:tr>
        <w:trPr>
          <w:trHeight w:val="20"/>
        </w:trPr>
        <w:tc>
          <w:tcPr>
            <w:tcW w:w="3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attributable to (loss) income from continuing operations consists of:</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72"/>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470"/>
              <w:spacing w:after="0"/>
              <w:rPr>
                <w:sz w:val="20"/>
                <w:szCs w:val="20"/>
                <w:color w:val="auto"/>
              </w:rPr>
            </w:pPr>
            <w:r>
              <w:rPr>
                <w:rFonts w:ascii="Times New Roman" w:cs="Times New Roman" w:eastAsia="Times New Roman" w:hAnsi="Times New Roman"/>
                <w:sz w:val="18"/>
                <w:szCs w:val="18"/>
                <w:i w:val="1"/>
                <w:iCs w:val="1"/>
                <w:color w:val="auto"/>
              </w:rPr>
              <w:t>2022</w:t>
            </w:r>
          </w:p>
        </w:tc>
        <w:tc>
          <w:tcPr>
            <w:tcW w:w="140" w:type="dxa"/>
            <w:vAlign w:val="bottom"/>
          </w:tcPr>
          <w:p>
            <w:pPr>
              <w:spacing w:after="0"/>
              <w:rPr>
                <w:sz w:val="24"/>
                <w:szCs w:val="24"/>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i w:val="1"/>
                <w:iCs w:val="1"/>
                <w:color w:val="auto"/>
              </w:rPr>
              <w:t>2021</w:t>
            </w:r>
          </w:p>
        </w:tc>
        <w:tc>
          <w:tcPr>
            <w:tcW w:w="360" w:type="dxa"/>
            <w:vAlign w:val="bottom"/>
          </w:tcPr>
          <w:p>
            <w:pPr>
              <w:spacing w:after="0"/>
              <w:rPr>
                <w:sz w:val="24"/>
                <w:szCs w:val="24"/>
                <w:color w:val="auto"/>
              </w:rPr>
            </w:pP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2020</w:t>
            </w:r>
          </w:p>
        </w:tc>
      </w:tr>
      <w:tr>
        <w:trPr>
          <w:trHeight w:val="223"/>
        </w:trPr>
        <w:tc>
          <w:tcPr>
            <w:tcW w:w="6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r>
      <w:tr>
        <w:trPr>
          <w:trHeight w:val="230"/>
        </w:trPr>
        <w:tc>
          <w:tcPr>
            <w:tcW w:w="6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federal</w:t>
            </w:r>
          </w:p>
        </w:tc>
        <w:tc>
          <w:tcPr>
            <w:tcW w:w="4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6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foreign</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2,156</w:t>
            </w:r>
          </w:p>
        </w:tc>
        <w:tc>
          <w:tcPr>
            <w:tcW w:w="1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4,151</w:t>
            </w:r>
          </w:p>
        </w:tc>
        <w:tc>
          <w:tcPr>
            <w:tcW w:w="36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4,248</w:t>
            </w:r>
          </w:p>
        </w:tc>
      </w:tr>
      <w:tr>
        <w:trPr>
          <w:trHeight w:val="229"/>
        </w:trPr>
        <w:tc>
          <w:tcPr>
            <w:tcW w:w="65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uncertain income tax positions</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60" w:type="dxa"/>
            <w:vAlign w:val="bottom"/>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725</w:t>
            </w:r>
          </w:p>
        </w:tc>
      </w:tr>
      <w:tr>
        <w:trPr>
          <w:trHeight w:val="223"/>
        </w:trPr>
        <w:tc>
          <w:tcPr>
            <w:tcW w:w="620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2,195</w:t>
            </w:r>
          </w:p>
        </w:tc>
        <w:tc>
          <w:tcPr>
            <w:tcW w:w="14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3,933</w:t>
            </w:r>
          </w:p>
        </w:tc>
        <w:tc>
          <w:tcPr>
            <w:tcW w:w="36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4,980</w:t>
            </w:r>
          </w:p>
        </w:tc>
      </w:tr>
      <w:tr>
        <w:trPr>
          <w:trHeight w:val="223"/>
        </w:trPr>
        <w:tc>
          <w:tcPr>
            <w:tcW w:w="6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r>
      <w:tr>
        <w:trPr>
          <w:trHeight w:val="229"/>
        </w:trPr>
        <w:tc>
          <w:tcPr>
            <w:tcW w:w="6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1,121</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30"/>
        </w:trPr>
        <w:tc>
          <w:tcPr>
            <w:tcW w:w="65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6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2017 Tax Cuts and Jobs Act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36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undistributed earnings – foreign subsidiaries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3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6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U.S. Federal &amp; State carryforwards and credits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451</w:t>
            </w:r>
          </w:p>
        </w:tc>
        <w:tc>
          <w:tcPr>
            <w:tcW w:w="36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974</w:t>
            </w:r>
          </w:p>
        </w:tc>
      </w:tr>
      <w:tr>
        <w:trPr>
          <w:trHeight w:val="229"/>
        </w:trPr>
        <w:tc>
          <w:tcPr>
            <w:tcW w:w="65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uncertain income tax positions</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380</w:t>
            </w:r>
          </w:p>
        </w:tc>
        <w:tc>
          <w:tcPr>
            <w:tcW w:w="3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30"/>
        </w:trPr>
        <w:tc>
          <w:tcPr>
            <w:tcW w:w="6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foreign</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9"/>
        </w:trPr>
        <w:tc>
          <w:tcPr>
            <w:tcW w:w="65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8,526</w:t>
            </w:r>
          </w:p>
        </w:tc>
        <w:tc>
          <w:tcPr>
            <w:tcW w:w="360" w:type="dxa"/>
            <w:vAlign w:val="bottom"/>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119</w:t>
            </w:r>
          </w:p>
        </w:tc>
      </w:tr>
      <w:tr>
        <w:trPr>
          <w:trHeight w:val="223"/>
        </w:trPr>
        <w:tc>
          <w:tcPr>
            <w:tcW w:w="620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691</w:t>
            </w:r>
          </w:p>
        </w:tc>
        <w:tc>
          <w:tcPr>
            <w:tcW w:w="14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3,760</w:t>
            </w:r>
          </w:p>
        </w:tc>
        <w:tc>
          <w:tcPr>
            <w:tcW w:w="36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w:t>
            </w:r>
          </w:p>
        </w:tc>
      </w:tr>
      <w:tr>
        <w:trPr>
          <w:trHeight w:val="223"/>
        </w:trPr>
        <w:tc>
          <w:tcPr>
            <w:tcW w:w="6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2,886</w:t>
            </w:r>
          </w:p>
        </w:tc>
        <w:tc>
          <w:tcPr>
            <w:tcW w:w="14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7,693</w:t>
            </w:r>
          </w:p>
        </w:tc>
        <w:tc>
          <w:tcPr>
            <w:tcW w:w="36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3,354</w:t>
            </w:r>
          </w:p>
        </w:tc>
      </w:tr>
      <w:tr>
        <w:trPr>
          <w:trHeight w:val="20"/>
        </w:trPr>
        <w:tc>
          <w:tcPr>
            <w:tcW w:w="6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297"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(Loss) income before income taxes from continuing operations related to our foreign and U.S. operations consists of:</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2022</w:t>
            </w:r>
          </w:p>
        </w:tc>
        <w:tc>
          <w:tcPr>
            <w:tcW w:w="14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2021</w:t>
            </w:r>
          </w:p>
        </w:tc>
        <w:tc>
          <w:tcPr>
            <w:tcW w:w="14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2020</w:t>
            </w:r>
          </w:p>
        </w:tc>
      </w:tr>
      <w:tr>
        <w:trPr>
          <w:trHeight w:val="22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29"/>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6,998</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10,007</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8,316</w:t>
            </w:r>
          </w:p>
        </w:tc>
      </w:tr>
      <w:tr>
        <w:trPr>
          <w:trHeight w:val="230"/>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1,302</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4,764</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w:t>
            </w:r>
          </w:p>
        </w:tc>
      </w:tr>
      <w:tr>
        <w:trPr>
          <w:trHeight w:val="229"/>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Haiti</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817</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Cayman Islands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Foreign</w:t>
            </w: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7,320</w:t>
            </w:r>
          </w:p>
        </w:tc>
        <w:tc>
          <w:tcPr>
            <w:tcW w:w="140" w:type="dxa"/>
            <w:vAlign w:val="bottom"/>
          </w:tcPr>
          <w:p>
            <w:pPr>
              <w:spacing w:after="0"/>
              <w:rPr>
                <w:sz w:val="19"/>
                <w:szCs w:val="19"/>
                <w:color w:val="auto"/>
              </w:rPr>
            </w:pPr>
          </w:p>
        </w:tc>
        <w:tc>
          <w:tcPr>
            <w:tcW w:w="14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15,583</w:t>
            </w:r>
          </w:p>
        </w:tc>
        <w:tc>
          <w:tcPr>
            <w:tcW w:w="140" w:type="dxa"/>
            <w:vAlign w:val="bottom"/>
          </w:tcPr>
          <w:p>
            <w:pPr>
              <w:spacing w:after="0"/>
              <w:rPr>
                <w:sz w:val="19"/>
                <w:szCs w:val="19"/>
                <w:color w:val="auto"/>
              </w:rPr>
            </w:pPr>
          </w:p>
        </w:tc>
        <w:tc>
          <w:tcPr>
            <w:tcW w:w="14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6,919</w:t>
            </w:r>
          </w:p>
        </w:tc>
      </w:tr>
      <w:tr>
        <w:trPr>
          <w:trHeight w:val="22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1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(14,598)</w:t>
            </w:r>
          </w:p>
        </w:tc>
      </w:tr>
      <w:tr>
        <w:trPr>
          <w:trHeight w:val="223"/>
        </w:trPr>
        <w:tc>
          <w:tcPr>
            <w:tcW w:w="6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10,880</w:t>
            </w:r>
          </w:p>
        </w:tc>
        <w:tc>
          <w:tcPr>
            <w:tcW w:w="14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(7,679)</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schedule summarizes the principal differences between the income tax expense from continuing operations at the federal income tax rate and the effective income tax rate from continuing operations reflected in the consolidated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28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5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i w:val="1"/>
                <w:iCs w:val="1"/>
                <w:color w:val="auto"/>
              </w:rPr>
              <w:t>2022</w:t>
            </w:r>
          </w:p>
        </w:tc>
        <w:tc>
          <w:tcPr>
            <w:tcW w:w="160" w:type="dxa"/>
            <w:vAlign w:val="bottom"/>
            <w:tcBorders>
              <w:bottom w:val="single" w:sz="8" w:color="CFF0FC"/>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i w:val="1"/>
                <w:iCs w:val="1"/>
                <w:color w:val="auto"/>
              </w:rPr>
              <w:t>2021</w:t>
            </w:r>
          </w:p>
        </w:tc>
        <w:tc>
          <w:tcPr>
            <w:tcW w:w="160" w:type="dxa"/>
            <w:vAlign w:val="bottom"/>
            <w:tcBorders>
              <w:bottom w:val="single" w:sz="8" w:color="CFF0FC"/>
            </w:tcBorders>
          </w:tcPr>
          <w:p>
            <w:pPr>
              <w:spacing w:after="0"/>
              <w:rPr>
                <w:sz w:val="20"/>
                <w:szCs w:val="20"/>
                <w:color w:val="auto"/>
              </w:rPr>
            </w:pPr>
          </w:p>
        </w:tc>
        <w:tc>
          <w:tcPr>
            <w:tcW w:w="15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i w:val="1"/>
                <w:iCs w:val="1"/>
                <w:color w:val="auto"/>
              </w:rPr>
              <w:t>2020</w:t>
            </w:r>
          </w:p>
        </w:tc>
      </w:tr>
      <w:tr>
        <w:trPr>
          <w:trHeight w:val="223"/>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income tax rate</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(56.3)</w:t>
            </w:r>
          </w:p>
        </w:tc>
        <w:tc>
          <w:tcPr>
            <w:tcW w:w="160" w:type="dxa"/>
            <w:vAlign w:val="bottom"/>
          </w:tcPr>
          <w:p>
            <w:pPr>
              <w:spacing w:after="0"/>
              <w:rPr>
                <w:sz w:val="19"/>
                <w:szCs w:val="19"/>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78.4</w:t>
            </w:r>
          </w:p>
        </w:tc>
        <w:tc>
          <w:tcPr>
            <w:tcW w:w="160" w:type="dxa"/>
            <w:vAlign w:val="bottom"/>
          </w:tcPr>
          <w:p>
            <w:pPr>
              <w:spacing w:after="0"/>
              <w:rPr>
                <w:sz w:val="19"/>
                <w:szCs w:val="19"/>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effects of the 2017 Tax Cuts and Jobs Act</w:t>
            </w:r>
          </w:p>
        </w:tc>
        <w:tc>
          <w:tcPr>
            <w:tcW w:w="16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(33.8)</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intangible low taxed income tax (GILTI)</w:t>
            </w: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(540.9)</w:t>
            </w:r>
          </w:p>
        </w:tc>
        <w:tc>
          <w:tcPr>
            <w:tcW w:w="160" w:type="dxa"/>
            <w:vAlign w:val="bottom"/>
          </w:tcPr>
          <w:p>
            <w:pPr>
              <w:spacing w:after="0"/>
              <w:rPr>
                <w:sz w:val="19"/>
                <w:szCs w:val="19"/>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(19.0)</w:t>
            </w:r>
          </w:p>
        </w:tc>
      </w:tr>
      <w:tr>
        <w:trPr>
          <w:trHeight w:val="230"/>
        </w:trPr>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15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(206.2)</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effects of Chinese foreign exchange gains and losses</w:t>
            </w: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19"/>
                <w:szCs w:val="19"/>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withholding taxes associated with foreign tax jurisdictions</w:t>
            </w:r>
          </w:p>
        </w:tc>
        <w:tc>
          <w:tcPr>
            <w:tcW w:w="15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(172.8)</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uncertain income tax positions</w:t>
            </w:r>
          </w:p>
        </w:tc>
        <w:tc>
          <w:tcPr>
            <w:tcW w:w="1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105.4</w:t>
            </w:r>
          </w:p>
        </w:tc>
        <w:tc>
          <w:tcPr>
            <w:tcW w:w="160" w:type="dxa"/>
            <w:vAlign w:val="bottom"/>
          </w:tcPr>
          <w:p>
            <w:pPr>
              <w:spacing w:after="0"/>
              <w:rPr>
                <w:sz w:val="19"/>
                <w:szCs w:val="19"/>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9"/>
                <w:szCs w:val="19"/>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state income taxes</w:t>
            </w:r>
          </w:p>
        </w:tc>
        <w:tc>
          <w:tcPr>
            <w:tcW w:w="15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9"/>
                <w:szCs w:val="19"/>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9"/>
                <w:szCs w:val="19"/>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bargain purchase</w:t>
            </w:r>
          </w:p>
        </w:tc>
        <w:tc>
          <w:tcPr>
            <w:tcW w:w="16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effects of impairment of nondeductible goodwill</w:t>
            </w: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(2)</w:t>
            </w:r>
          </w:p>
        </w:tc>
        <w:tc>
          <w:tcPr>
            <w:tcW w:w="15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(35.8)</w:t>
            </w:r>
          </w:p>
        </w:tc>
        <w:tc>
          <w:tcPr>
            <w:tcW w:w="160" w:type="dxa"/>
            <w:vAlign w:val="bottom"/>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effective income tax rate (1)</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16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6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0"/>
        </w:trPr>
        <w:tc>
          <w:tcPr>
            <w:tcW w:w="6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500" w:hanging="492"/>
        <w:spacing w:after="0" w:line="255"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effective income tax rates for all fiscal years presented were negatively affected by the mix of consolidated (loss) income before income taxes from continuing operations, as significant pre-tax losses have been incurred by our U.S. operations and almost all our taxable income was earned by our foreign operations located in China and Canada, which have higher income tax rates than the U.S. As a result, income tax expense incurred stems from taxable income from our foreign jurisdictions that exceeds our consolidated (loss) income before income taxes from continuing operations. Accordingly, the extent of the fluctuations in our consolidated effective income tax rates is dependent on the extent income tax expense incurred from our foreign operations compares with our consolidated (loss) income before income taxes from continuing operations that has been significantly lowered by our U.S. operations.</w:t>
      </w:r>
    </w:p>
    <w:p>
      <w:pPr>
        <w:spacing w:after="0" w:line="148"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 all periods presented represents miscellaneous adjustments that pertain to U.S. permanent differences such as meals and entertainment and income tax provision to return adjustments.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color w:val="auto"/>
        </w:rPr>
        <w:t>Deferred Income Taxes - Overall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liabilities consist of the following:</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40" w:type="dxa"/>
            <w:vAlign w:val="bottom"/>
          </w:tcPr>
          <w:p>
            <w:pPr>
              <w:spacing w:after="0"/>
              <w:rPr>
                <w:sz w:val="20"/>
                <w:szCs w:val="20"/>
                <w:color w:val="auto"/>
              </w:rPr>
            </w:pPr>
          </w:p>
        </w:tc>
        <w:tc>
          <w:tcPr>
            <w:tcW w:w="1340" w:type="dxa"/>
            <w:vAlign w:val="bottom"/>
          </w:tcPr>
          <w:p>
            <w:pPr>
              <w:jc w:val="right"/>
              <w:ind w:right="630"/>
              <w:spacing w:after="0"/>
              <w:rPr>
                <w:sz w:val="20"/>
                <w:szCs w:val="20"/>
                <w:color w:val="auto"/>
              </w:rPr>
            </w:pPr>
            <w:r>
              <w:rPr>
                <w:rFonts w:ascii="Times New Roman" w:cs="Times New Roman" w:eastAsia="Times New Roman" w:hAnsi="Times New Roman"/>
                <w:sz w:val="18"/>
                <w:szCs w:val="18"/>
                <w:i w:val="1"/>
                <w:iCs w:val="1"/>
                <w:color w:val="auto"/>
              </w:rPr>
              <w:t>2022</w:t>
            </w:r>
          </w:p>
        </w:tc>
        <w:tc>
          <w:tcPr>
            <w:tcW w:w="160" w:type="dxa"/>
            <w:vAlign w:val="bottom"/>
          </w:tcPr>
          <w:p>
            <w:pPr>
              <w:spacing w:after="0"/>
              <w:rPr>
                <w:sz w:val="20"/>
                <w:szCs w:val="20"/>
                <w:color w:val="auto"/>
              </w:rPr>
            </w:pPr>
          </w:p>
        </w:tc>
        <w:tc>
          <w:tcPr>
            <w:tcW w:w="1680" w:type="dxa"/>
            <w:vAlign w:val="bottom"/>
          </w:tcPr>
          <w:p>
            <w:pPr>
              <w:jc w:val="right"/>
              <w:ind w:right="630"/>
              <w:spacing w:after="0"/>
              <w:rPr>
                <w:sz w:val="20"/>
                <w:szCs w:val="20"/>
                <w:color w:val="auto"/>
              </w:rPr>
            </w:pPr>
            <w:r>
              <w:rPr>
                <w:rFonts w:ascii="Times New Roman" w:cs="Times New Roman" w:eastAsia="Times New Roman" w:hAnsi="Times New Roman"/>
                <w:sz w:val="18"/>
                <w:szCs w:val="18"/>
                <w:i w:val="1"/>
                <w:iCs w:val="1"/>
                <w:color w:val="auto"/>
              </w:rPr>
              <w:t>2021</w:t>
            </w: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r>
      <w:tr>
        <w:trPr>
          <w:trHeight w:val="230"/>
        </w:trPr>
        <w:tc>
          <w:tcPr>
            <w:tcW w:w="7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362</w:t>
            </w:r>
          </w:p>
        </w:tc>
      </w:tr>
      <w:tr>
        <w:trPr>
          <w:trHeight w:val="229"/>
        </w:trPr>
        <w:tc>
          <w:tcPr>
            <w:tcW w:w="77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2,020</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2,019</w:t>
            </w:r>
          </w:p>
        </w:tc>
      </w:tr>
      <w:tr>
        <w:trPr>
          <w:trHeight w:val="229"/>
        </w:trPr>
        <w:tc>
          <w:tcPr>
            <w:tcW w:w="7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compensation</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2,437</w:t>
            </w: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3,284</w:t>
            </w:r>
          </w:p>
        </w:tc>
      </w:tr>
      <w:tr>
        <w:trPr>
          <w:trHeight w:val="230"/>
        </w:trPr>
        <w:tc>
          <w:tcPr>
            <w:tcW w:w="77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liabilities and other</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7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536</w:t>
            </w: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690</w:t>
            </w:r>
          </w:p>
        </w:tc>
      </w:tr>
      <w:tr>
        <w:trPr>
          <w:trHeight w:val="229"/>
        </w:trPr>
        <w:tc>
          <w:tcPr>
            <w:tcW w:w="77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property, plant, and equipment (1)</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202</w:t>
            </w:r>
          </w:p>
        </w:tc>
      </w:tr>
      <w:tr>
        <w:trPr>
          <w:trHeight w:val="230"/>
        </w:trPr>
        <w:tc>
          <w:tcPr>
            <w:tcW w:w="7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1,297</w:t>
            </w: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836</w:t>
            </w:r>
          </w:p>
        </w:tc>
      </w:tr>
      <w:tr>
        <w:trPr>
          <w:trHeight w:val="229"/>
        </w:trPr>
        <w:tc>
          <w:tcPr>
            <w:tcW w:w="77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income tax credits - U.S.</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783</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783</w:t>
            </w:r>
          </w:p>
        </w:tc>
      </w:tr>
      <w:tr>
        <w:trPr>
          <w:trHeight w:val="230"/>
        </w:trPr>
        <w:tc>
          <w:tcPr>
            <w:tcW w:w="7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loss carryforwards – U.S.</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8,373</w:t>
            </w:r>
          </w:p>
        </w:tc>
        <w:tc>
          <w:tcPr>
            <w:tcW w:w="16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7,533</w:t>
            </w:r>
          </w:p>
        </w:tc>
      </w:tr>
      <w:tr>
        <w:trPr>
          <w:trHeight w:val="229"/>
        </w:trPr>
        <w:tc>
          <w:tcPr>
            <w:tcW w:w="77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valuation allowance - U.S.</w:t>
            </w: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(11,857)</w:t>
            </w:r>
          </w:p>
        </w:tc>
        <w:tc>
          <w:tcPr>
            <w:tcW w:w="160" w:type="dxa"/>
            <w:vAlign w:val="bottom"/>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(11,674)</w:t>
            </w:r>
          </w:p>
        </w:tc>
      </w:tr>
      <w:tr>
        <w:trPr>
          <w:trHeight w:val="223"/>
        </w:trPr>
        <w:tc>
          <w:tcPr>
            <w:tcW w:w="7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4,043</w:t>
            </w:r>
          </w:p>
        </w:tc>
        <w:tc>
          <w:tcPr>
            <w:tcW w:w="160" w:type="dxa"/>
            <w:vAlign w:val="bottom"/>
          </w:tcPr>
          <w:p>
            <w:pPr>
              <w:spacing w:after="0"/>
              <w:rPr>
                <w:sz w:val="19"/>
                <w:szCs w:val="19"/>
                <w:color w:val="auto"/>
              </w:rPr>
            </w:pPr>
          </w:p>
        </w:tc>
        <w:tc>
          <w:tcPr>
            <w:tcW w:w="1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4,058</w:t>
            </w:r>
          </w:p>
        </w:tc>
      </w:tr>
      <w:tr>
        <w:trPr>
          <w:trHeight w:val="236"/>
        </w:trPr>
        <w:tc>
          <w:tcPr>
            <w:tcW w:w="772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r>
      <w:tr>
        <w:trPr>
          <w:trHeight w:val="229"/>
        </w:trPr>
        <w:tc>
          <w:tcPr>
            <w:tcW w:w="7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undistributed earnings on foreign subsidiaries</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w:t>
            </w:r>
          </w:p>
        </w:tc>
      </w:tr>
      <w:tr>
        <w:trPr>
          <w:trHeight w:val="229"/>
        </w:trPr>
        <w:tc>
          <w:tcPr>
            <w:tcW w:w="77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unrecognized tax benefits – U.S.</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30"/>
        </w:trPr>
        <w:tc>
          <w:tcPr>
            <w:tcW w:w="7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property, plant and equipment (2)</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r>
      <w:tr>
        <w:trPr>
          <w:trHeight w:val="229"/>
        </w:trPr>
        <w:tc>
          <w:tcPr>
            <w:tcW w:w="77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right of use assets</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30"/>
        </w:trPr>
        <w:tc>
          <w:tcPr>
            <w:tcW w:w="772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3"/>
        </w:trPr>
        <w:tc>
          <w:tcPr>
            <w:tcW w:w="77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160" w:type="dxa"/>
            <w:vAlign w:val="bottom"/>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(8,843)</w:t>
            </w:r>
          </w:p>
        </w:tc>
      </w:tr>
      <w:tr>
        <w:trPr>
          <w:trHeight w:val="223"/>
        </w:trPr>
        <w:tc>
          <w:tcPr>
            <w:tcW w:w="7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deferred liabilities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(5,476)</w:t>
            </w:r>
          </w:p>
        </w:tc>
        <w:tc>
          <w:tcPr>
            <w:tcW w:w="16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(4,785)</w:t>
            </w: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Pertains to the company’s operations located in China.</w:t>
      </w:r>
    </w:p>
    <w:p>
      <w:pPr>
        <w:spacing w:after="0" w:line="19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Pertains to the company’s operations located in the U.S. and Canada.</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May 1, 2022, our U.S. federal net operating loss carryforwards totaled $23.7 million, with related future income tax benefits of $5.0 million. In accordance with the 2017 Tax Cuts and Jobs Act (“TCJA”), U.S. federal net operating loss carryforwards generated in fiscal 2019 and after do not expire. As of May 1, 2022, all our unused U.S. federal net operating loss carryforwards were generated during fiscal 2019 and after, and therefore, do not expire in accordance with the TCJA. As of May 1, 2022, our U.S. state net operating loss carryforwards totaled $28.0 million, with related future income tax benefits of $1.0 million. Our U.S. state net operating loss carryforwards totaling $28.0 million have expiration dates ranging from fiscal years 2023 through 2043. Our U.S. foreign income tax credits of $783,000 have expiration dates ranging from fiscal years 2026 through 2028, which represent 10 years from when the associated earnings and profits from our foreign subsidiaries were repatriated to the U.S.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GILTI</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Fiscal 2020</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the TJCA, GILTI became effective during fiscal 2019. Our policy to account for GILTI is to expense this tax in the period incurred. As a result, we recorded an income tax charge of $1.9 million during fiscal 2020.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Fiscal 2021</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July 20, 2020, the U.S. Treasury Department finalized and enacted previously proposed regulations regarding the GILTI tax provisions of the TCJA. With the enactment of these final regulations, we became eligible for an exclusion from GILTI if we meet the provisions for the GILTI High-Tax exception included in these final regulations on a jurisdiction-by-jurisdiction basis. To meet the provisions of the GILTI High-Tax exception, the tested foreign entity’s effective income tax rate related to current year’s earnings must be higher than 90% of the U.S. federal income tax rate of 21% (i.e.,18.9%). In addition, the enactment of the new regulations and the provisions for the GILTI High-Tax exception were retroactive to the original enactment of the GILTI tax provision, which included our fiscal 2019 and 2020 fiscal years.</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Since we met the requirements for the GILTI High-Tax exception for our fiscal 2019 and 2020 fiscal years, we recorded a non-cash income tax benefit of $3.6 million resulting from the re-establishment of certain U.S. federal net operating loss carryforwards.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$3.6 million income tax benefit was recorded as a discrete event in which its full income tax effects were recorded during the first quarter of fiscal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Fiscal 2022</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did not meet the GILTI High-Tax exception for the 2021 tax year regarding our foreign operations located in China. This was due primarily to significant income tax deductible foreign exchange losses that significantly lowered income tax expense associated with current year’s earnings. As a result, the current effective income tax rate was lower than the required 18.9% current effective income tax rate to meet the GILTI High-Tax exception. Consequently, we incurred a non-cash income tax charge of $1.8 million, which was fully offset by a $1.8 million non-cash income tax benefit due to a corresponding reversal of our full valuation allowance associated with our U.S. net deferred income tax assets.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expect to meet the GILTI High-Tax exception for the 2022 tax year regarding our operations located in Canada and Haiti. With regards to Canada, we placed several significant capital projects into service during fiscal 2022, and therefore, are eligible for a significant amount of deductible accelerated depreciation. As a result, our current year’s income tax expense is much lower than prior fiscal years, and therefore, our current effective income tax rate is expected to be lower than the required 18.9% current effective income tax rate to meet the GILTI High-Tax exception. For our operations located in Haiti, taxable income or losses are not subject to income tax, as we are in an economic zone that permits a 0% income tax rate for the first fifteen years of operations, for which we have ten years remaining. Since our operations located in Haiti are not subject to income tax, our projected current effective income tax rate of 0% will be lower than the required 18.9% current effective income tax rate to meet the GILTI High-Tax exception. Although, our operations located in Canada and Haiti did not meet the GILTI High-Tax exception, we did not incur any GILTI tax for the 2022 tax year, as the losses subject to GILTI tax from our Haitian operations exceeded the income subject to GILTI tax from our Canadian operation.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 Taxes – Valuation Allowance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Assessment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the realizability of our deferred income taxes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the U.S. tax law change relating to the GILTI tax provisions of the TCJA, we assessed the need for an additional valuation allowance against our U.S. net deferred income taxes as of the end of the first quarter of fiscal 2021. GILTI represented a significant source of our U.S. taxable income during fiscal 2019 and 2020 that offset our U.S. pre-tax losses during such years, and which offset was reversed because of the retroactivity of the new GILTI regulations. Consequently, due to the retroactivity of the new regulations, we experienced a recent history of cumulative U.S. taxable losses during the last two fiscal years, and we expected at the time of this assessment that our history of U.S. pre-tax losses would continue into fiscal 2021. As a result of the significant weight of this negative evidence, we believed it was more-likely-than-not that our U.S. deferred income tax assets would not be fully realizable. Accordingly, we recorded a non-cash income tax charge of $7.0 million to provide for a full valuation allowance against our U.S. net deferred income tax assets. This $7.0 million income tax charge was recorded as a discrete event in which its full income tax effects were recorded during the first quarter of fiscal 2021.</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May 1, 2022, we evaluated the realizability of our U.S. net deferred income tax assets to determine if a full valuation allowance was still required. Based on our assessment, we determined we still have a recent history of significant cumulative U.S. taxable losses, in that we experienced U.S. taxable losses during each of the last three fiscal years. In addition, we are currently expecting U.S. taxable losses to continue into fiscal 2023. As a result of the significant weight of this negative evidence, we believe it is more-likely-than-not that our U.S deferred income tax assets would not be fully realizable, and therefore we provided for a full valuation allowance against our U.S. net deferred income tax assets.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our assessments as of May 1, 2022, and May 2, 2021, valuation allowances against our U.S. net deferred income tax assets pertain to the following: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May 1,</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i w:val="1"/>
                <w:iCs w:val="1"/>
                <w:color w:val="auto"/>
              </w:rPr>
              <w:t>May 2,</w:t>
            </w:r>
          </w:p>
        </w:tc>
        <w:tc>
          <w:tcPr>
            <w:tcW w:w="0" w:type="dxa"/>
            <w:vAlign w:val="bottom"/>
          </w:tcPr>
          <w:p>
            <w:pPr>
              <w:spacing w:after="0"/>
              <w:rPr>
                <w:sz w:val="1"/>
                <w:szCs w:val="1"/>
                <w:color w:val="auto"/>
              </w:rPr>
            </w:pPr>
          </w:p>
        </w:tc>
      </w:tr>
      <w:tr>
        <w:trPr>
          <w:trHeight w:val="236"/>
        </w:trPr>
        <w:tc>
          <w:tcPr>
            <w:tcW w:w="4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41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2022</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Times New Roman" w:cs="Times New Roman" w:eastAsia="Times New Roman" w:hAnsi="Times New Roman"/>
                <w:sz w:val="18"/>
                <w:szCs w:val="18"/>
                <w:i w:val="1"/>
                <w:iCs w:val="1"/>
                <w:color w:val="auto"/>
              </w:rPr>
              <w:t>2021</w:t>
            </w:r>
          </w:p>
        </w:tc>
        <w:tc>
          <w:tcPr>
            <w:tcW w:w="0" w:type="dxa"/>
            <w:vAlign w:val="bottom"/>
          </w:tcPr>
          <w:p>
            <w:pPr>
              <w:spacing w:after="0"/>
              <w:rPr>
                <w:sz w:val="1"/>
                <w:szCs w:val="1"/>
                <w:color w:val="auto"/>
              </w:rPr>
            </w:pPr>
          </w:p>
        </w:tc>
      </w:tr>
      <w:tr>
        <w:trPr>
          <w:trHeight w:val="223"/>
        </w:trPr>
        <w:tc>
          <w:tcPr>
            <w:tcW w:w="46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and state net deferred income tax assets</w:t>
            </w:r>
          </w:p>
        </w:tc>
        <w:tc>
          <w:tcPr>
            <w:tcW w:w="29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9,527</w:t>
            </w: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9,344</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U.S. capital loss carryforward</w:t>
            </w:r>
          </w:p>
        </w:tc>
        <w:tc>
          <w:tcPr>
            <w:tcW w:w="29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2,330</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2,330</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FF0FC"/>
            </w:tcBorders>
            <w:shd w:val="clear" w:color="auto" w:fill="CFF0FC"/>
          </w:tcPr>
          <w:p>
            <w:pPr>
              <w:spacing w:after="0"/>
              <w:rPr>
                <w:sz w:val="19"/>
                <w:szCs w:val="19"/>
                <w:color w:val="auto"/>
              </w:rPr>
            </w:pPr>
          </w:p>
        </w:tc>
        <w:tc>
          <w:tcPr>
            <w:tcW w:w="29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6"/>
              </w:rPr>
              <w:t>11,857</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11,674</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920" w:type="dxa"/>
            <w:vAlign w:val="bottom"/>
            <w:vMerge w:val="restart"/>
          </w:tcPr>
          <w:p>
            <w:pPr>
              <w:jc w:val="right"/>
              <w:ind w:right="175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64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A summary of the change in the valuation allowances against our U.S. net deferred income tax assets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i w:val="1"/>
                <w:iCs w:val="1"/>
                <w:color w:val="auto"/>
              </w:rPr>
              <w:t>2022</w:t>
            </w:r>
          </w:p>
        </w:tc>
        <w:tc>
          <w:tcPr>
            <w:tcW w:w="360" w:type="dxa"/>
            <w:vAlign w:val="bottom"/>
            <w:tcBorders>
              <w:bottom w:val="single" w:sz="8" w:color="CFF0FC"/>
            </w:tcBorders>
          </w:tcPr>
          <w:p>
            <w:pPr>
              <w:spacing w:after="0"/>
              <w:rPr>
                <w:sz w:val="20"/>
                <w:szCs w:val="20"/>
                <w:color w:val="auto"/>
              </w:rPr>
            </w:pPr>
          </w:p>
        </w:tc>
        <w:tc>
          <w:tcPr>
            <w:tcW w:w="13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i w:val="1"/>
                <w:iCs w:val="1"/>
                <w:color w:val="auto"/>
              </w:rPr>
              <w:t>2021</w:t>
            </w:r>
          </w:p>
        </w:tc>
        <w:tc>
          <w:tcPr>
            <w:tcW w:w="300" w:type="dxa"/>
            <w:vAlign w:val="bottom"/>
            <w:tcBorders>
              <w:bottom w:val="single" w:sz="8" w:color="CFF0FC"/>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2020</w:t>
            </w:r>
          </w:p>
        </w:tc>
      </w:tr>
      <w:tr>
        <w:trPr>
          <w:trHeight w:val="22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11,674</w:t>
            </w:r>
          </w:p>
        </w:tc>
        <w:tc>
          <w:tcPr>
            <w:tcW w:w="3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3,148</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748</w:t>
            </w: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change in judgement of beginning of year U.S. valuation allowance (1)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6,964</w:t>
            </w:r>
          </w:p>
        </w:tc>
        <w:tc>
          <w:tcPr>
            <w:tcW w:w="3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 associated with current year earnings</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1,640</w:t>
            </w:r>
          </w:p>
        </w:tc>
        <w:tc>
          <w:tcPr>
            <w:tcW w:w="3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1,004</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establishment of valuation allowance (2)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2,281</w:t>
            </w:r>
          </w:p>
        </w:tc>
      </w:tr>
      <w:tr>
        <w:trPr>
          <w:trHeight w:val="22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estimate during current year (3)</w:t>
            </w:r>
          </w:p>
        </w:tc>
        <w:tc>
          <w:tcPr>
            <w:tcW w:w="3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360" w:type="dxa"/>
            <w:vAlign w:val="bottom"/>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558</w:t>
            </w:r>
          </w:p>
        </w:tc>
        <w:tc>
          <w:tcPr>
            <w:tcW w:w="300" w:type="dxa"/>
            <w:vAlign w:val="bottom"/>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119</w:t>
            </w: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11,857</w:t>
            </w:r>
          </w:p>
        </w:tc>
        <w:tc>
          <w:tcPr>
            <w:tcW w:w="360" w:type="dxa"/>
            <w:vAlign w:val="bottom"/>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11,674</w:t>
            </w:r>
          </w:p>
        </w:tc>
        <w:tc>
          <w:tcPr>
            <w:tcW w:w="300" w:type="dxa"/>
            <w:vAlign w:val="bottom"/>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3,148</w:t>
            </w:r>
          </w:p>
        </w:tc>
      </w:tr>
      <w:tr>
        <w:trPr>
          <w:trHeight w:val="20"/>
        </w:trPr>
        <w:tc>
          <w:tcPr>
            <w:tcW w:w="6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left="500" w:hanging="492"/>
        <w:spacing w:after="0" w:line="267"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 to the above Assessment within the section titled </w:t>
      </w:r>
      <w:r>
        <w:rPr>
          <w:rFonts w:ascii="Times New Roman" w:cs="Times New Roman" w:eastAsia="Times New Roman" w:hAnsi="Times New Roman"/>
          <w:sz w:val="18"/>
          <w:szCs w:val="18"/>
          <w:i w:val="1"/>
          <w:iCs w:val="1"/>
          <w:color w:val="auto"/>
        </w:rPr>
        <w:t>Deferred Income Taxes – Valuation Allowance</w:t>
      </w:r>
      <w:r>
        <w:rPr>
          <w:rFonts w:ascii="Times New Roman" w:cs="Times New Roman" w:eastAsia="Times New Roman" w:hAnsi="Times New Roman"/>
          <w:sz w:val="18"/>
          <w:szCs w:val="18"/>
          <w:color w:val="auto"/>
        </w:rPr>
        <w:t xml:space="preserve"> for further details regarding our assessment and conclusions reached for providing a full valuation allowance against our U.S net deferred income tax assets during the first quarter of fiscal 2021.</w:t>
      </w:r>
    </w:p>
    <w:p>
      <w:pPr>
        <w:spacing w:after="0" w:line="175"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sale of a discontinued operation that was treated as a partnership for income tax purposes, we generated a capital loss carryforward totaling $10.9 million with a related future income tax benefit of $2.3 million. Since capital losses can only be offset by capital gains, we established a full valuation allowance on this capital loss carryforward, as we do not have capital assets that would generate capital gains that would utilize this carryforward.</w:t>
      </w:r>
    </w:p>
    <w:p>
      <w:pPr>
        <w:spacing w:after="0" w:line="139"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represents changes in our U.S. net deferred income tax asset balances during the current year that pertain to (i) income tax provision to return adjustments, (ii) changes in estimates of our U.S. effective income tax rate that pertain to U.S. state income tax rates and apportionment percentages, (iii) recognition of uncertain income tax position due to expiration of statute of limitations, and (iv) other immaterial items.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 Taxes – Undistributed Earnings from Foreign Subsidiaries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assess (i) whether the undistributed earnings from our foreign subsidiaries will be reinvested indefinitely or eventually distributed to our U.S. parent company, and (ii) if we are required to record a deferred income tax liability for undistributed earnings from foreign subsidiaries that will not be reinvested indefinitely. As of May 1, 2022, we assessed the liquidity requirements of our U.S. parent company and determined that our undistributed earnings and profits from our foreign subsidiaries would not be reinvested indefinitely and would be eventually distributed to our U.S. parent company. The conclusion reached from this assessment has been consistent with prior years.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TCJA, a U.S. corporation is allowed a 100% dividend received deduction for earnings and profits received from a 10% owned foreign corporation. Therefore, a deferred income tax liability will be required for unremitted withholding taxes associated with earnings and profits generated by our foreign subsidiaries that will ultimately be repatriated to the U.S. parent company. As a result, we recorded a deferred income tax liability of $3.6 million and $3.5 million as of May 1, 2022, and May 2, 2021, respectively.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Uncertainty in Income Taxes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unrecognized income tax benefit for an uncertain income tax position can be recognized in the first interim period if the more-likely-than-not recognition threshold is met by the end of the reporting period, or is effectively settled through examination, or negotiation, or litigation, or if the statute of limitations for the relevant taxing authority to examine and challenge the tax position has expired. If it is determined that any of the above conditions occur regarding our uncertain income tax positions, an adjustment to our unrecognized income tax benefit will be recorded at that time.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change in the company’s unrecognized income tax benefit: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20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2022</w:t>
            </w:r>
          </w:p>
        </w:tc>
        <w:tc>
          <w:tcPr>
            <w:tcW w:w="14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2021</w:t>
            </w:r>
          </w:p>
        </w:tc>
        <w:tc>
          <w:tcPr>
            <w:tcW w:w="14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2020</w:t>
            </w: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1,444</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1,269</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increases from prior period tax positions</w:t>
            </w:r>
          </w:p>
        </w:tc>
        <w:tc>
          <w:tcPr>
            <w:tcW w:w="2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decreases from prior period tax positions</w:t>
            </w:r>
          </w:p>
        </w:tc>
        <w:tc>
          <w:tcPr>
            <w:tcW w:w="2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lapse of applicable statute of limitations</w:t>
            </w:r>
          </w:p>
        </w:tc>
        <w:tc>
          <w:tcPr>
            <w:tcW w:w="2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4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increases from current period tax positions</w:t>
            </w:r>
          </w:p>
        </w:tc>
        <w:tc>
          <w:tcPr>
            <w:tcW w:w="2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decreases from current period tax positions</w:t>
            </w:r>
          </w:p>
        </w:tc>
        <w:tc>
          <w:tcPr>
            <w:tcW w:w="2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1,444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20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32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6" w:name="page77"/>
    <w:bookmarkEnd w:id="76"/>
    <w:p>
      <w:pPr>
        <w:jc w:val="both"/>
        <w:spacing w:after="0" w:line="266" w:lineRule="auto"/>
        <w:rPr>
          <w:sz w:val="20"/>
          <w:szCs w:val="20"/>
          <w:color w:val="auto"/>
        </w:rPr>
      </w:pPr>
      <w:r>
        <w:rPr>
          <w:rFonts w:ascii="Times New Roman" w:cs="Times New Roman" w:eastAsia="Times New Roman" w:hAnsi="Times New Roman"/>
          <w:sz w:val="18"/>
          <w:szCs w:val="18"/>
          <w:color w:val="auto"/>
        </w:rPr>
        <w:t>As of May 1, 2022, we had $1.1 million of total gross unrecognized tax benefits, of which the entire $1.1 million would favorably affect the income tax rate in future periods. As of May 2, 2021, we had $1.4 million of total gross unrecognized tax benefits, of which $1.1 million would favorably affect the income tax rate in future periods.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May 1, 2022, we had $1.1 million of total gross unrecognized tax benefits, of which the entire $1.1 million was classified as income taxes payable-long-term in the accompanying Consolidated Balance Sheets. As of May 2, 2021, we had $1.4 million of total gross unrecognized tax benefits, of which $1.1 million and $380,000 were classified as income taxes payable-long-term and noncurrent deferred income taxes, respectively, in the accompanying Consolidated Balance Sheets.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elected to classify interest and penalties as part of income tax expense. As of May 1, 2022, and May 2, 2021, the gross amount of interest and penalties due to unrecognized tax benefits was $125,000 and $165,000, respectively.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gross unrecognized income tax benefit of $1.1 million as of May 1, 2022, relates to income tax positions for which significant change is currently not expected within the next year. This amount primarily relates to double taxation under applicable income tax treaties with foreign tax jurisdictions. United States federal and state income tax returns filed by us remain subject to examination for income tax years 2019 and subsequent. Canadian federal income tax returns filed by us remain subject to examination for income tax years 2018 and subsequent. Canadian provincial (Quebec) income tax returns filed by us remain subject to examination for income tax years 2018 and subsequent. Income tax returns associated with our operations located in China are subject to examination for income tax year 2017 and subsequent.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Paid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income taxes paid (refunded) by jurisdiction:</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2022</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2021</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2020</w:t>
            </w:r>
          </w:p>
        </w:tc>
      </w:tr>
      <w:tr>
        <w:trPr>
          <w:trHeight w:val="205"/>
        </w:trPr>
        <w:tc>
          <w:tcPr>
            <w:tcW w:w="65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United States Federal - Alternative Minimum Tax</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34"/>
        </w:trPr>
        <w:tc>
          <w:tcPr>
            <w:tcW w:w="65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(AMT) credit refunds (1)</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Federal - Transition Tax</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China - Income Taxes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2,036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2,076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2,559</w:t>
            </w:r>
          </w:p>
        </w:tc>
      </w:tr>
      <w:tr>
        <w:trPr>
          <w:trHeight w:val="211"/>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China - Withholding Taxes Associated with Earnings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Profits Distribution to U.S. Parent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838</w:t>
            </w: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Canada - Income Taxes</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1,408</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1,598</w:t>
            </w:r>
          </w:p>
        </w:tc>
      </w:tr>
      <w:tr>
        <w:trPr>
          <w:trHeight w:val="223"/>
        </w:trPr>
        <w:tc>
          <w:tcPr>
            <w:tcW w:w="6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3,100</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2,998</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4,995</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left="500" w:hanging="492"/>
        <w:spacing w:after="0" w:line="266"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provisions of the TCJA, we elected to treat our prior AMT credit carryforward balance of $1.5 million as refundable. We received refunds totaling $1.5 million in two separate installments totaling $746,000 and $764,000 during the first and second quarters of fiscal 2021, respectively.</w:t>
      </w:r>
    </w:p>
    <w:p>
      <w:pPr>
        <w:spacing w:after="0" w:line="185" w:lineRule="exact"/>
        <w:rPr>
          <w:sz w:val="20"/>
          <w:szCs w:val="20"/>
          <w:color w:val="auto"/>
        </w:rPr>
      </w:pPr>
    </w:p>
    <w:p>
      <w:pPr>
        <w:ind w:left="500" w:hanging="492"/>
        <w:spacing w:after="0"/>
        <w:tabs>
          <w:tab w:leader="none" w:pos="5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 of use assets and lease liabilities associated with our operating leases as of May 1, 2022, and May 2, 2021, are as follows: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0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May 1,</w:t>
            </w:r>
          </w:p>
        </w:tc>
        <w:tc>
          <w:tcPr>
            <w:tcW w:w="440" w:type="dxa"/>
            <w:vAlign w:val="bottom"/>
          </w:tcPr>
          <w:p>
            <w:pPr>
              <w:spacing w:after="0"/>
              <w:rPr>
                <w:sz w:val="18"/>
                <w:szCs w:val="18"/>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May 2,</w:t>
            </w:r>
          </w:p>
        </w:tc>
      </w:tr>
      <w:tr>
        <w:trPr>
          <w:trHeight w:val="234"/>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99"/>
              </w:rPr>
              <w:t>2022</w:t>
            </w: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2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15,577</w:t>
            </w: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11,730</w:t>
            </w: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 current</w:t>
            </w:r>
          </w:p>
        </w:tc>
        <w:tc>
          <w:tcPr>
            <w:tcW w:w="2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3,219</w:t>
            </w:r>
          </w:p>
        </w:tc>
        <w:tc>
          <w:tcPr>
            <w:tcW w:w="44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2,736</w:t>
            </w:r>
          </w:p>
        </w:tc>
      </w:tr>
      <w:tr>
        <w:trPr>
          <w:trHeight w:val="230"/>
        </w:trPr>
        <w:tc>
          <w:tcPr>
            <w:tcW w:w="45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 noncurrent</w:t>
            </w:r>
          </w:p>
        </w:tc>
        <w:tc>
          <w:tcPr>
            <w:tcW w:w="2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7,062</w:t>
            </w:r>
          </w:p>
        </w:tc>
        <w:tc>
          <w:tcPr>
            <w:tcW w:w="4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6,821</w:t>
            </w:r>
          </w:p>
        </w:tc>
      </w:tr>
      <w:tr>
        <w:trPr>
          <w:trHeight w:val="655"/>
        </w:trPr>
        <w:tc>
          <w:tcPr>
            <w:tcW w:w="4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Supplemental Cash Flow Information</w:t>
            </w:r>
          </w:p>
        </w:tc>
        <w:tc>
          <w:tcPr>
            <w:tcW w:w="2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73"/>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payments</w:t>
            </w:r>
          </w:p>
        </w:tc>
        <w:tc>
          <w:tcPr>
            <w:tcW w:w="23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2,954</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4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2,524</w:t>
            </w:r>
          </w:p>
        </w:tc>
      </w:tr>
      <w:tr>
        <w:trPr>
          <w:trHeight w:val="230"/>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Right of use assets exchanged for lease liabilities</w:t>
            </w:r>
          </w:p>
        </w:tc>
        <w:tc>
          <w:tcPr>
            <w:tcW w:w="2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3,762</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344</w:t>
            </w:r>
          </w:p>
        </w:tc>
      </w:tr>
      <w:tr>
        <w:trPr>
          <w:trHeight w:val="668"/>
        </w:trPr>
        <w:tc>
          <w:tcPr>
            <w:tcW w:w="4540" w:type="dxa"/>
            <w:vAlign w:val="bottom"/>
          </w:tcPr>
          <w:p>
            <w:pPr>
              <w:spacing w:after="0"/>
              <w:rPr>
                <w:sz w:val="24"/>
                <w:szCs w:val="24"/>
                <w:color w:val="auto"/>
              </w:rPr>
            </w:pPr>
          </w:p>
        </w:tc>
        <w:tc>
          <w:tcPr>
            <w:tcW w:w="232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74</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7" w:name="page78"/>
    <w:bookmarkEnd w:id="77"/>
    <w:p>
      <w:pPr>
        <w:jc w:val="both"/>
        <w:spacing w:after="0" w:line="261" w:lineRule="auto"/>
        <w:rPr>
          <w:sz w:val="20"/>
          <w:szCs w:val="20"/>
          <w:color w:val="auto"/>
        </w:rPr>
      </w:pPr>
      <w:r>
        <w:rPr>
          <w:rFonts w:ascii="Times New Roman" w:cs="Times New Roman" w:eastAsia="Times New Roman" w:hAnsi="Times New Roman"/>
          <w:sz w:val="18"/>
          <w:szCs w:val="18"/>
          <w:color w:val="auto"/>
        </w:rPr>
        <w:t>Operating lease costs associated with continuing operations were $3.9 million, $2.9 million, and $2.6 million during fiscal 2022, 2021, and 2020, respectively. During fiscal 2020, operating lease costs totaling $204,000 were associated with our former home accessories segment and were presented within loss from discontinued operations in the fiscal 2020 Consolidated Statement of Net Loss. Short-term lease costs were $68,000, $55,000, and $148,000 during fiscal 2022, 2021, and 2020, respectively. Variable lease expense was immaterial for fiscal 2022, 2021, and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As of May 1, 2022, the weighted average remaining lease term and discount rate for our operating leases follows: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29"/>
        </w:trPr>
        <w:tc>
          <w:tcPr>
            <w:tcW w:w="9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9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lease term</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3.29 years</w:t>
            </w:r>
          </w:p>
        </w:tc>
      </w:tr>
      <w:tr>
        <w:trPr>
          <w:trHeight w:val="234"/>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441"/>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As of May 2, 2021, the weighted average remaining lease term and discount rate for our operating leases follows: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43"/>
        </w:trPr>
        <w:tc>
          <w:tcPr>
            <w:tcW w:w="9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30"/>
        </w:trPr>
        <w:tc>
          <w:tcPr>
            <w:tcW w:w="9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lease term</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4.36 years</w:t>
            </w:r>
          </w:p>
        </w:tc>
      </w:tr>
      <w:tr>
        <w:trPr>
          <w:trHeight w:val="234"/>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427"/>
        </w:trPr>
        <w:tc>
          <w:tcPr>
            <w:tcW w:w="9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Information</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1"/>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Maturity of our operating lease liabilities for the next five fiscal years and thereafter follows: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73"/>
        </w:trPr>
        <w:tc>
          <w:tcPr>
            <w:tcW w:w="9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2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Amount</w:t>
            </w:r>
          </w:p>
        </w:tc>
      </w:tr>
      <w:tr>
        <w:trPr>
          <w:trHeight w:val="223"/>
        </w:trPr>
        <w:tc>
          <w:tcPr>
            <w:tcW w:w="9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3,367</w:t>
            </w:r>
          </w:p>
        </w:tc>
      </w:tr>
      <w:tr>
        <w:trPr>
          <w:trHeight w:val="229"/>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2,986</w:t>
            </w:r>
          </w:p>
        </w:tc>
      </w:tr>
      <w:tr>
        <w:trPr>
          <w:trHeight w:val="230"/>
        </w:trPr>
        <w:tc>
          <w:tcPr>
            <w:tcW w:w="9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1,945</w:t>
            </w:r>
          </w:p>
        </w:tc>
      </w:tr>
      <w:tr>
        <w:trPr>
          <w:trHeight w:val="229"/>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493</w:t>
            </w:r>
          </w:p>
        </w:tc>
      </w:tr>
      <w:tr>
        <w:trPr>
          <w:trHeight w:val="229"/>
        </w:trPr>
        <w:tc>
          <w:tcPr>
            <w:tcW w:w="9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457</w:t>
            </w:r>
          </w:p>
        </w:tc>
      </w:tr>
      <w:tr>
        <w:trPr>
          <w:trHeight w:val="230"/>
        </w:trPr>
        <w:tc>
          <w:tcPr>
            <w:tcW w:w="9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1,409</w:t>
            </w:r>
          </w:p>
        </w:tc>
      </w:tr>
      <w:tr>
        <w:trPr>
          <w:trHeight w:val="223"/>
        </w:trPr>
        <w:tc>
          <w:tcPr>
            <w:tcW w:w="9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10,657</w:t>
            </w:r>
          </w:p>
        </w:tc>
      </w:tr>
      <w:tr>
        <w:trPr>
          <w:trHeight w:val="230"/>
        </w:trPr>
        <w:tc>
          <w:tcPr>
            <w:tcW w:w="9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23"/>
        </w:trPr>
        <w:tc>
          <w:tcPr>
            <w:tcW w:w="9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10,281</w:t>
            </w:r>
          </w:p>
        </w:tc>
      </w:tr>
      <w:tr>
        <w:trPr>
          <w:trHeight w:val="20"/>
        </w:trPr>
        <w:tc>
          <w:tcPr>
            <w:tcW w:w="9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Lease – Mattress Fabrics Segment</w:t>
      </w:r>
    </w:p>
    <w:p>
      <w:pPr>
        <w:spacing w:after="0" w:line="20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an agreement to lease a facility totaling 65,886 square feet from a partnership owned by an immediate family member of an officer of the company. The current non-cancelable lease term for this facility ends September 30, 2023. Rents paid to the entity owned by an immediate family member of an officer totaled $148,000, $151,000, and $157,000 in fiscal 2022, 2021, and 2020,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involved in legal proceedings and claims which have arisen in the ordinary course of business. Management has determined that these actions, when ultimately concluded and settled, will not have a material adverse effect upon the financial position, results of operations, or cash flows of the company.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Payable – Capital Expenditures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1, 2022, and May 2, 2021, we had total amounts due regarding capital expenditures totaling $473,000 and $348,000, respectively, which pertained to outstanding vendor invoices, none of which were financed.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Purchase Commitments - Capital Expenditures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1, 2022, we had open purchase commitments to acquire equipment for our U.S. and Canadian mattress fabrics operations totaling $580,000.</w:t>
      </w:r>
    </w:p>
    <w:p>
      <w:pPr>
        <w:spacing w:after="0" w:line="181" w:lineRule="exact"/>
        <w:rPr>
          <w:sz w:val="20"/>
          <w:szCs w:val="20"/>
          <w:color w:val="auto"/>
        </w:rPr>
      </w:pPr>
    </w:p>
    <w:p>
      <w:pPr>
        <w:ind w:left="500" w:hanging="492"/>
        <w:spacing w:after="0"/>
        <w:tabs>
          <w:tab w:leader="none" w:pos="5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 Description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16, 2015, our shareholders approved an equity incentive plan titled the Culp, Inc. 2015 Equity Incentive Plan (the “2015 Plan”). The 2015 Plan authorizes the grant of stock options intended to qualify as incentive stock options, nonqualified stock options, stock appreciation rights, restricted stock, restricted stock units, performance-based units, and other equity and cash related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8" w:name="page79"/>
    <w:bookmarkEnd w:id="78"/>
    <w:p>
      <w:pPr>
        <w:ind w:right="20"/>
        <w:spacing w:after="0" w:line="282" w:lineRule="auto"/>
        <w:rPr>
          <w:sz w:val="20"/>
          <w:szCs w:val="20"/>
          <w:color w:val="auto"/>
        </w:rPr>
      </w:pPr>
      <w:r>
        <w:rPr>
          <w:rFonts w:ascii="Times New Roman" w:cs="Times New Roman" w:eastAsia="Times New Roman" w:hAnsi="Times New Roman"/>
          <w:sz w:val="18"/>
          <w:szCs w:val="18"/>
          <w:color w:val="auto"/>
        </w:rPr>
        <w:t>awards as determined by our Compensation Committee. An aggregate of 1,200,000 shares of common stock were authorized for issuance under the 2015 Plan, with certain sub-limits that would apply with respect to specific types of awards that may be issued as defined in the 2015 Plan.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1, 2022, there were 577,349 shares available for future equity-based grants under the company’s 2015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Time-Based Restricted Stock Awards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time-based restricted stock unit activity during fiscal years 2022, 2021, and 2020:</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2022</w:t>
            </w:r>
          </w:p>
        </w:tc>
        <w:tc>
          <w:tcPr>
            <w:tcW w:w="140" w:type="dxa"/>
            <w:vAlign w:val="bottom"/>
          </w:tcPr>
          <w:p>
            <w:pPr>
              <w:spacing w:after="0"/>
              <w:rPr>
                <w:sz w:val="19"/>
                <w:szCs w:val="19"/>
                <w:color w:val="auto"/>
              </w:rPr>
            </w:pPr>
          </w:p>
        </w:tc>
        <w:tc>
          <w:tcPr>
            <w:tcW w:w="1440" w:type="dxa"/>
            <w:vAlign w:val="bottom"/>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2021</w:t>
            </w:r>
          </w:p>
        </w:tc>
        <w:tc>
          <w:tcPr>
            <w:tcW w:w="140" w:type="dxa"/>
            <w:vAlign w:val="bottom"/>
          </w:tcPr>
          <w:p>
            <w:pPr>
              <w:spacing w:after="0"/>
              <w:rPr>
                <w:sz w:val="19"/>
                <w:szCs w:val="19"/>
                <w:color w:val="auto"/>
              </w:rPr>
            </w:pPr>
          </w:p>
        </w:tc>
        <w:tc>
          <w:tcPr>
            <w:tcW w:w="1440" w:type="dxa"/>
            <w:vAlign w:val="bottom"/>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2020</w:t>
            </w:r>
          </w:p>
        </w:tc>
      </w:tr>
      <w:tr>
        <w:trPr>
          <w:trHeight w:val="236"/>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i w:val="1"/>
                <w:iCs w:val="1"/>
                <w:color w:val="auto"/>
              </w:rPr>
              <w:t>Shares</w:t>
            </w:r>
          </w:p>
        </w:tc>
        <w:tc>
          <w:tcPr>
            <w:tcW w:w="1580" w:type="dxa"/>
            <w:vAlign w:val="bottom"/>
            <w:gridSpan w:val="2"/>
          </w:tcPr>
          <w:p>
            <w:pPr>
              <w:ind w:left="420"/>
              <w:spacing w:after="0"/>
              <w:rPr>
                <w:sz w:val="20"/>
                <w:szCs w:val="20"/>
                <w:color w:val="auto"/>
              </w:rPr>
            </w:pPr>
            <w:r>
              <w:rPr>
                <w:rFonts w:ascii="Times New Roman" w:cs="Times New Roman" w:eastAsia="Times New Roman" w:hAnsi="Times New Roman"/>
                <w:sz w:val="18"/>
                <w:szCs w:val="18"/>
                <w:i w:val="1"/>
                <w:iCs w:val="1"/>
                <w:color w:val="auto"/>
              </w:rPr>
              <w:t>Shares</w:t>
            </w: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i w:val="1"/>
                <w:iCs w:val="1"/>
                <w:color w:val="auto"/>
              </w:rPr>
              <w:t>Shares</w:t>
            </w:r>
          </w:p>
        </w:tc>
      </w:tr>
      <w:tr>
        <w:trPr>
          <w:trHeight w:val="223"/>
        </w:trPr>
        <w:tc>
          <w:tcPr>
            <w:tcW w:w="65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174,295</w:t>
            </w: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44,399</w:t>
            </w: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37,991</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129,896</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34,399</w:t>
            </w:r>
          </w:p>
        </w:tc>
      </w:tr>
      <w:tr>
        <w:trPr>
          <w:trHeight w:val="230"/>
        </w:trPr>
        <w:tc>
          <w:tcPr>
            <w:tcW w:w="6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210,284</w:t>
            </w:r>
          </w:p>
        </w:tc>
        <w:tc>
          <w:tcPr>
            <w:tcW w:w="14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174,295</w:t>
            </w:r>
          </w:p>
        </w:tc>
        <w:tc>
          <w:tcPr>
            <w:tcW w:w="14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44,399</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related to our grants of time-based restricted stock unit awards associated with certain senior executives and key members of management during fiscal years 2022, 2021, and 2020:</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center"/>
              <w:ind w:right="210"/>
              <w:spacing w:after="0"/>
              <w:rPr>
                <w:sz w:val="20"/>
                <w:szCs w:val="20"/>
                <w:color w:val="auto"/>
              </w:rPr>
            </w:pPr>
            <w:r>
              <w:rPr>
                <w:rFonts w:ascii="Times New Roman" w:cs="Times New Roman" w:eastAsia="Times New Roman" w:hAnsi="Times New Roman"/>
                <w:sz w:val="18"/>
                <w:szCs w:val="18"/>
                <w:i w:val="1"/>
                <w:iCs w:val="1"/>
                <w:color w:val="auto"/>
              </w:rPr>
              <w:t>(1)</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6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i w:val="1"/>
                <w:iCs w:val="1"/>
                <w:color w:val="auto"/>
                <w:w w:val="98"/>
              </w:rPr>
              <w:t>Restricted</w:t>
            </w:r>
          </w:p>
        </w:tc>
        <w:tc>
          <w:tcPr>
            <w:tcW w:w="180" w:type="dxa"/>
            <w:vAlign w:val="bottom"/>
          </w:tcPr>
          <w:p>
            <w:pPr>
              <w:spacing w:after="0"/>
              <w:rPr>
                <w:sz w:val="19"/>
                <w:szCs w:val="19"/>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i w:val="1"/>
                <w:iCs w:val="1"/>
                <w:color w:val="auto"/>
                <w:w w:val="97"/>
              </w:rPr>
              <w:t>Price</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i w:val="1"/>
                <w:iCs w:val="1"/>
                <w:color w:val="auto"/>
              </w:rPr>
              <w:t>Vesting</w:t>
            </w:r>
          </w:p>
        </w:tc>
      </w:tr>
      <w:tr>
        <w:trPr>
          <w:trHeight w:val="23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Date of Grant</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i w:val="1"/>
                <w:iCs w:val="1"/>
                <w:color w:val="auto"/>
                <w:w w:val="99"/>
              </w:rPr>
              <w:t>Stock Awarded</w:t>
            </w:r>
          </w:p>
        </w:tc>
        <w:tc>
          <w:tcPr>
            <w:tcW w:w="18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i w:val="1"/>
                <w:iCs w:val="1"/>
                <w:color w:val="auto"/>
                <w:w w:val="96"/>
              </w:rPr>
              <w:t>Per Share</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i w:val="1"/>
                <w:iCs w:val="1"/>
                <w:color w:val="auto"/>
              </w:rPr>
              <w:t>Period</w:t>
            </w:r>
          </w:p>
        </w:tc>
      </w:tr>
      <w:tr>
        <w:trPr>
          <w:trHeight w:val="223"/>
        </w:trPr>
        <w:tc>
          <w:tcPr>
            <w:tcW w:w="65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22, 2021</w:t>
            </w:r>
          </w:p>
        </w:tc>
        <w:tc>
          <w:tcPr>
            <w:tcW w:w="1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37,991</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14.75</w:t>
            </w:r>
          </w:p>
        </w:tc>
        <w:tc>
          <w:tcPr>
            <w:tcW w:w="1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29"/>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6, 2020</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129,896</w:t>
            </w:r>
          </w:p>
        </w:tc>
        <w:tc>
          <w:tcPr>
            <w:tcW w:w="16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11.01</w:t>
            </w:r>
          </w:p>
        </w:tc>
        <w:tc>
          <w:tcPr>
            <w:tcW w:w="160" w:type="dxa"/>
            <w:vAlign w:val="bottom"/>
          </w:tcPr>
          <w:p>
            <w:pPr>
              <w:spacing w:after="0"/>
              <w:rPr>
                <w:sz w:val="19"/>
                <w:szCs w:val="19"/>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30"/>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18, 2019</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34,399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18.49</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7"/>
              </w:rPr>
              <w:t>3 years</w:t>
            </w:r>
          </w:p>
        </w:tc>
      </w:tr>
    </w:tbl>
    <w:p>
      <w:pPr>
        <w:spacing w:after="0" w:line="225" w:lineRule="exact"/>
        <w:rPr>
          <w:sz w:val="20"/>
          <w:szCs w:val="20"/>
          <w:color w:val="auto"/>
        </w:rPr>
      </w:pPr>
    </w:p>
    <w:p>
      <w:pPr>
        <w:ind w:left="500" w:hanging="492"/>
        <w:spacing w:after="0"/>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 share represents closing price of our common stock on the date the respective award was granted.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Overall</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recorded compensation expense of $893,000, $614,000, and $220,000 within selling, general, and administrative expense for time-based restricted stock units in fiscal 2022, 2021, and 2020, respectively.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1, 2022, the remaining unrecognized compensation cost related to our time-based restricted stock units was $1.1 million, which is expected to be recognized over a weighted average vesting period of 1.6 years. As of May 1, 2022, our time-based restricted stock unit awards that were expected to vest had a fair value totaling $1.4 million.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Executives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grant performance-based restricted stock units to senior executives which could earn up to a certain number of shares of common stock if certain performance targets are met over a three-fiscal year performance period as defined in the related restricted stock unit award agreements. The number of shares of common stock that are earned based on the performance targets that have been achieved may be adjusted based on a market-based total shareholder return component as defined in the related restricted stock unit award agreements.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performance-based restricted stock units granted to senior executives were measured based on their fair market value on the date of grant. The fair market value per share was determined using the Monte Carlo simulation model for the market-based total shareholder return component and the closing price of our common stock for the performance-based component.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9" w:name="page80"/>
    <w:bookmarkEnd w:id="79"/>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assumptions used to determine the fair market value of the market-based total shareholder return component using the Monte Carlo simulation model on our outstanding performance-based restricted stock units granted to senior executives on July 22, 2021, and July 18, 2019: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580" w:type="dxa"/>
            <w:vAlign w:val="bottom"/>
          </w:tcPr>
          <w:p>
            <w:pPr>
              <w:jc w:val="right"/>
              <w:ind w:right="670"/>
              <w:spacing w:after="0"/>
              <w:rPr>
                <w:sz w:val="20"/>
                <w:szCs w:val="20"/>
                <w:color w:val="auto"/>
              </w:rPr>
            </w:pPr>
            <w:r>
              <w:rPr>
                <w:rFonts w:ascii="Times New Roman" w:cs="Times New Roman" w:eastAsia="Times New Roman" w:hAnsi="Times New Roman"/>
                <w:sz w:val="18"/>
                <w:szCs w:val="18"/>
                <w:i w:val="1"/>
                <w:iCs w:val="1"/>
                <w:color w:val="auto"/>
              </w:rPr>
              <w:t>July 22,</w:t>
            </w:r>
          </w:p>
        </w:tc>
        <w:tc>
          <w:tcPr>
            <w:tcW w:w="360" w:type="dxa"/>
            <w:vAlign w:val="bottom"/>
          </w:tcPr>
          <w:p>
            <w:pPr>
              <w:spacing w:after="0"/>
              <w:rPr>
                <w:sz w:val="19"/>
                <w:szCs w:val="19"/>
                <w:color w:val="auto"/>
              </w:rPr>
            </w:pPr>
          </w:p>
        </w:tc>
        <w:tc>
          <w:tcPr>
            <w:tcW w:w="1460" w:type="dxa"/>
            <w:vAlign w:val="bottom"/>
          </w:tcPr>
          <w:p>
            <w:pPr>
              <w:jc w:val="right"/>
              <w:ind w:right="590"/>
              <w:spacing w:after="0"/>
              <w:rPr>
                <w:sz w:val="20"/>
                <w:szCs w:val="20"/>
                <w:color w:val="auto"/>
              </w:rPr>
            </w:pPr>
            <w:r>
              <w:rPr>
                <w:rFonts w:ascii="Times New Roman" w:cs="Times New Roman" w:eastAsia="Times New Roman" w:hAnsi="Times New Roman"/>
                <w:sz w:val="18"/>
                <w:szCs w:val="18"/>
                <w:i w:val="1"/>
                <w:iCs w:val="1"/>
                <w:color w:val="auto"/>
              </w:rPr>
              <w:t>July 18,</w:t>
            </w:r>
          </w:p>
        </w:tc>
      </w:tr>
      <w:tr>
        <w:trPr>
          <w:trHeight w:val="236"/>
        </w:trPr>
        <w:tc>
          <w:tcPr>
            <w:tcW w:w="54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i w:val="1"/>
                <w:iCs w:val="1"/>
                <w:color w:val="auto"/>
              </w:rPr>
              <w:t>2021</w:t>
            </w:r>
          </w:p>
        </w:tc>
        <w:tc>
          <w:tcPr>
            <w:tcW w:w="3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i w:val="1"/>
                <w:iCs w:val="1"/>
                <w:color w:val="auto"/>
              </w:rPr>
              <w:t>2019</w:t>
            </w: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Closing price of our common stock</w:t>
            </w:r>
          </w:p>
        </w:tc>
        <w:tc>
          <w:tcPr>
            <w:tcW w:w="2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14.75</w:t>
            </w:r>
          </w:p>
        </w:tc>
        <w:tc>
          <w:tcPr>
            <w:tcW w:w="3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18.49</w:t>
            </w: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of our common stock</w:t>
            </w:r>
          </w:p>
        </w:tc>
        <w:tc>
          <w:tcPr>
            <w:tcW w:w="2400" w:type="dxa"/>
            <w:vAlign w:val="bottom"/>
          </w:tcPr>
          <w:p>
            <w:pPr>
              <w:spacing w:after="0"/>
              <w:rPr>
                <w:sz w:val="19"/>
                <w:szCs w:val="19"/>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54.2%</w:t>
            </w: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of peer companies (1)</w:t>
            </w:r>
          </w:p>
        </w:tc>
        <w:tc>
          <w:tcPr>
            <w:tcW w:w="240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45.7% - 101.5%</w:t>
            </w:r>
          </w:p>
        </w:tc>
        <w:tc>
          <w:tcPr>
            <w:tcW w:w="36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29.9% - 82.3%</w:t>
            </w:r>
          </w:p>
        </w:tc>
      </w:tr>
      <w:tr>
        <w:trPr>
          <w:trHeight w:val="22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400" w:type="dxa"/>
            <w:vAlign w:val="bottom"/>
          </w:tcPr>
          <w:p>
            <w:pPr>
              <w:spacing w:after="0"/>
              <w:rPr>
                <w:sz w:val="19"/>
                <w:szCs w:val="19"/>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0.33%</w:t>
            </w: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40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3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Correlation coefficient of peer companies (1)</w:t>
            </w:r>
          </w:p>
        </w:tc>
        <w:tc>
          <w:tcPr>
            <w:tcW w:w="2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0.03 - 0.35</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0.00 - 0.43</w:t>
            </w:r>
          </w:p>
        </w:tc>
      </w:tr>
    </w:tbl>
    <w:p>
      <w:pPr>
        <w:spacing w:after="0" w:line="238" w:lineRule="exact"/>
        <w:rPr>
          <w:sz w:val="20"/>
          <w:szCs w:val="20"/>
          <w:color w:val="auto"/>
        </w:rPr>
      </w:pPr>
    </w:p>
    <w:p>
      <w:pPr>
        <w:jc w:val="both"/>
        <w:ind w:left="500" w:hanging="492"/>
        <w:spacing w:after="0" w:line="261" w:lineRule="auto"/>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and correlation coefficient of our peer companies for the July 22, 2021, and July 18, 2019, grant dates were based on peer companies that were approved by the Compensation Committee of our board of directors as an aggregate benchmark for determining the market-based total shareholder return component. Therefore, we disclosed ranges of the expected volatility and correlation coefficient for the companies that represented this peer group.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Employees and a Non-Employee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grant performance-based restricted stock units which could earn up to a certain number of shares of common stock if certain performance targets are met over a three-fiscal year performance period, as defined in the related restricted stock unit award agreements. Our performance-based restricted stock units granted to key employees were measured based on the fair market value (the closing price of our common stock) on the date of grant. No market-based total shareholder return component was included in these awards. Our performance-based restricted stock units granted to a non-employee, which vested during the first quarter of fiscal 2020, were measured based on the fair market value (the closing price of our common stock) on the date when the performance criteria were met.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Overall</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related to our grants of performance-based restricted stock units associated with certain senior executives and key employees that were unvested as of May 1,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19"/>
                <w:szCs w:val="19"/>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20" w:type="dxa"/>
            <w:vAlign w:val="bottom"/>
          </w:tcPr>
          <w:p>
            <w:pPr>
              <w:spacing w:after="0"/>
              <w:rPr>
                <w:sz w:val="19"/>
                <w:szCs w:val="19"/>
                <w:color w:val="auto"/>
              </w:rPr>
            </w:pPr>
          </w:p>
        </w:tc>
        <w:tc>
          <w:tcPr>
            <w:tcW w:w="12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Restricted Stock</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Date of Grant</w:t>
            </w: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Restricted Stock</w:t>
            </w: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Units Expected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Price Per</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Vesting</w:t>
            </w:r>
          </w:p>
        </w:tc>
        <w:tc>
          <w:tcPr>
            <w:tcW w:w="0" w:type="dxa"/>
            <w:vAlign w:val="bottom"/>
          </w:tcPr>
          <w:p>
            <w:pPr>
              <w:spacing w:after="0"/>
              <w:rPr>
                <w:sz w:val="1"/>
                <w:szCs w:val="1"/>
                <w:color w:val="auto"/>
              </w:rPr>
            </w:pPr>
          </w:p>
        </w:tc>
      </w:tr>
      <w:tr>
        <w:trPr>
          <w:trHeight w:val="234"/>
        </w:trPr>
        <w:tc>
          <w:tcPr>
            <w:tcW w:w="54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Units Awarded</w:t>
            </w: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3"/>
              </w:rPr>
              <w:t>to Vest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Share</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Period</w:t>
            </w:r>
          </w:p>
        </w:tc>
        <w:tc>
          <w:tcPr>
            <w:tcW w:w="0" w:type="dxa"/>
            <w:vAlign w:val="bottom"/>
          </w:tcPr>
          <w:p>
            <w:pPr>
              <w:spacing w:after="0"/>
              <w:rPr>
                <w:sz w:val="1"/>
                <w:szCs w:val="1"/>
                <w:color w:val="auto"/>
              </w:rPr>
            </w:pPr>
          </w:p>
        </w:tc>
      </w:tr>
      <w:tr>
        <w:trPr>
          <w:trHeight w:val="223"/>
        </w:trPr>
        <w:tc>
          <w:tcPr>
            <w:tcW w:w="54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22, 2021 (1)</w:t>
            </w:r>
          </w:p>
        </w:tc>
        <w:tc>
          <w:tcPr>
            <w:tcW w:w="1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122,476</w:t>
            </w: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7"/>
              </w:rPr>
              <w:t>3 years</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July 22, 2021 (2)</w:t>
            </w:r>
          </w:p>
        </w:tc>
        <w:tc>
          <w:tcPr>
            <w:tcW w:w="1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20,500</w:t>
            </w:r>
          </w:p>
        </w:tc>
        <w:tc>
          <w:tcPr>
            <w:tcW w:w="12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2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3 years</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18, 2019 (1)</w:t>
            </w:r>
          </w:p>
        </w:tc>
        <w:tc>
          <w:tcPr>
            <w:tcW w:w="1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93,653</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7"/>
              </w:rPr>
              <w:t>3 years</w:t>
            </w: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July 18, 2019 (2)</w:t>
            </w:r>
          </w:p>
        </w:tc>
        <w:tc>
          <w:tcPr>
            <w:tcW w:w="1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29,227</w:t>
            </w:r>
          </w:p>
        </w:tc>
        <w:tc>
          <w:tcPr>
            <w:tcW w:w="12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12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7"/>
              </w:rPr>
              <w:t>3 years</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00" w:hanging="492"/>
        <w:spacing w:after="0"/>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restricted stock units awarded to certain senior executives.</w:t>
      </w:r>
    </w:p>
    <w:p>
      <w:pPr>
        <w:spacing w:after="0" w:line="184"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restricted stock units awarded to key employees.</w:t>
      </w:r>
    </w:p>
    <w:p>
      <w:pPr>
        <w:spacing w:after="0" w:line="184"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maximum number of common stock shares that could be earned if certain performance targets are met, as defined in the related restricted stock unit award agreements.</w:t>
      </w:r>
    </w:p>
    <w:p>
      <w:pPr>
        <w:spacing w:after="0" w:line="12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cost is based on an assessment each reporting period to determine the probability of whether or not certain performance targets will be met and how many shares are expected to be earned as of the end of the vesting period. These amounts represent the number of shares that are expected to vest as of May 1, 2022.</w:t>
      </w:r>
    </w:p>
    <w:p>
      <w:pPr>
        <w:spacing w:after="0" w:line="135"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 share represents the fair market value per share ($1.08 per $1, or an increase of $1.18 to the closing price of our common stock on the date of grant) determined using the Monte Carlo simulation model for the market-based total shareholder return component and the closing price of our common stock ($14.75) for the performance-based component of the performance-based restricted stock units granted to senior executives on July 22, 2021.</w:t>
      </w:r>
    </w:p>
    <w:p>
      <w:pPr>
        <w:spacing w:after="0" w:line="139"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 share represents the fair market value per share ($1.03 per $1, or an increase of $0.55 to the closing price of our common stock on the date of grant) determined using the Monte Carlo simulation model for the market-based total shareholder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0" w:name="page81"/>
    <w:bookmarkEnd w:id="80"/>
    <w:p>
      <w:pPr>
        <w:ind w:left="500" w:right="20"/>
        <w:spacing w:after="0" w:line="282" w:lineRule="auto"/>
        <w:rPr>
          <w:sz w:val="20"/>
          <w:szCs w:val="20"/>
          <w:color w:val="auto"/>
        </w:rPr>
      </w:pPr>
      <w:r>
        <w:rPr>
          <w:rFonts w:ascii="Times New Roman" w:cs="Times New Roman" w:eastAsia="Times New Roman" w:hAnsi="Times New Roman"/>
          <w:sz w:val="18"/>
          <w:szCs w:val="18"/>
          <w:color w:val="auto"/>
        </w:rPr>
        <w:t>return component and the closing price of our common stock ($18.49) for the performance-based component of the performance-based restricted stock units granted to certain senior executives on July 18, 2019.</w:t>
      </w:r>
    </w:p>
    <w:p>
      <w:pPr>
        <w:spacing w:after="0" w:line="121" w:lineRule="exact"/>
        <w:rPr>
          <w:sz w:val="20"/>
          <w:szCs w:val="20"/>
          <w:color w:val="auto"/>
        </w:rPr>
      </w:pPr>
    </w:p>
    <w:p>
      <w:pPr>
        <w:ind w:left="500" w:hanging="492"/>
        <w:spacing w:after="0"/>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 share represents the closing price of our common stock on the date of grant.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related to our performance-based restricted stock units that vested during fiscal 2022, 2021, and 2020:</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5"/>
              </w:rPr>
              <w:t>(4)</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Common</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9"/>
                <w:szCs w:val="19"/>
                <w:color w:val="auto"/>
              </w:rPr>
            </w:pPr>
          </w:p>
        </w:tc>
        <w:tc>
          <w:tcPr>
            <w:tcW w:w="164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29"/>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Fiscal Year</w:t>
            </w:r>
          </w:p>
        </w:tc>
        <w:tc>
          <w:tcPr>
            <w:tcW w:w="13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Stock Shares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9"/>
                <w:szCs w:val="19"/>
                <w:color w:val="auto"/>
              </w:rPr>
            </w:pPr>
          </w:p>
        </w:tc>
        <w:tc>
          <w:tcPr>
            <w:tcW w:w="164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7"/>
              </w:rPr>
              <w:t>Average Price</w:t>
            </w:r>
          </w:p>
        </w:tc>
        <w:tc>
          <w:tcPr>
            <w:tcW w:w="0" w:type="dxa"/>
            <w:vAlign w:val="bottom"/>
          </w:tcPr>
          <w:p>
            <w:pPr>
              <w:spacing w:after="0"/>
              <w:rPr>
                <w:sz w:val="1"/>
                <w:szCs w:val="1"/>
                <w:color w:val="auto"/>
              </w:rPr>
            </w:pPr>
          </w:p>
        </w:tc>
      </w:tr>
      <w:tr>
        <w:trPr>
          <w:trHeight w:val="234"/>
        </w:trPr>
        <w:tc>
          <w:tcPr>
            <w:tcW w:w="6440" w:type="dxa"/>
            <w:vAlign w:val="bottom"/>
            <w:gridSpan w:val="2"/>
            <w:vMerge w:val="continue"/>
          </w:tcPr>
          <w:p>
            <w:pPr>
              <w:spacing w:after="0"/>
              <w:rPr>
                <w:sz w:val="20"/>
                <w:szCs w:val="20"/>
                <w:color w:val="auto"/>
              </w:rPr>
            </w:pPr>
          </w:p>
        </w:tc>
        <w:tc>
          <w:tcPr>
            <w:tcW w:w="13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Vested</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6"/>
              </w:rPr>
              <w:t>Fair Value</w:t>
            </w:r>
          </w:p>
        </w:tc>
        <w:tc>
          <w:tcPr>
            <w:tcW w:w="120" w:type="dxa"/>
            <w:vAlign w:val="bottom"/>
          </w:tcPr>
          <w:p>
            <w:pPr>
              <w:spacing w:after="0"/>
              <w:rPr>
                <w:sz w:val="20"/>
                <w:szCs w:val="20"/>
                <w:color w:val="auto"/>
              </w:rPr>
            </w:pPr>
          </w:p>
        </w:tc>
        <w:tc>
          <w:tcPr>
            <w:tcW w:w="164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7"/>
              </w:rPr>
              <w:t>Per Share</w:t>
            </w:r>
          </w:p>
        </w:tc>
        <w:tc>
          <w:tcPr>
            <w:tcW w:w="0" w:type="dxa"/>
            <w:vAlign w:val="bottom"/>
          </w:tcPr>
          <w:p>
            <w:pPr>
              <w:spacing w:after="0"/>
              <w:rPr>
                <w:sz w:val="1"/>
                <w:szCs w:val="1"/>
                <w:color w:val="auto"/>
              </w:rPr>
            </w:pPr>
          </w:p>
        </w:tc>
      </w:tr>
      <w:tr>
        <w:trPr>
          <w:trHeight w:val="223"/>
        </w:trPr>
        <w:tc>
          <w:tcPr>
            <w:tcW w:w="6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2022 (1)</w:t>
            </w:r>
          </w:p>
        </w:tc>
        <w:tc>
          <w:tcPr>
            <w:tcW w:w="16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5,051</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29"/>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2022 (1)</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5,812</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30"/>
        </w:trPr>
        <w:tc>
          <w:tcPr>
            <w:tcW w:w="6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2021 (1)</w:t>
            </w:r>
          </w:p>
        </w:tc>
        <w:tc>
          <w:tcPr>
            <w:tcW w:w="1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3,277</w:t>
            </w:r>
          </w:p>
        </w:tc>
        <w:tc>
          <w:tcPr>
            <w:tcW w:w="32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29"/>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2021 (1)</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3,710</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29"/>
        </w:trPr>
        <w:tc>
          <w:tcPr>
            <w:tcW w:w="6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2020 (1)</w:t>
            </w:r>
          </w:p>
        </w:tc>
        <w:tc>
          <w:tcPr>
            <w:tcW w:w="1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11,351</w:t>
            </w:r>
          </w:p>
        </w:tc>
        <w:tc>
          <w:tcPr>
            <w:tcW w:w="32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234"/>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2020 (2)</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4,961</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00" w:hanging="492"/>
        <w:spacing w:after="0"/>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executives and key employees.</w:t>
      </w:r>
    </w:p>
    <w:p>
      <w:pPr>
        <w:spacing w:after="0" w:line="184"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w:t>
      </w:r>
    </w:p>
    <w:p>
      <w:pPr>
        <w:spacing w:after="0" w:line="184"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amounts are in thousands.</w:t>
      </w:r>
    </w:p>
    <w:p>
      <w:pPr>
        <w:spacing w:after="0" w:line="184"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price per share is derived from the closing prices of our common stock on the dates the respective performance-based restricted stock units vested.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a (credit) charge to compensation expense totaling $(81,000), $357,000, and $114,000 within selling, general, and administrative expense associated with our performance-based restricted stock units for fiscal years 2022, 2021, and 2020, respectively.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1, 2022, the remaining unrecognized compensation cost related to the performance-based restricted stock units was $2,000, which is expected to be recognized over a weighted average vesting period of 0.2 years. As of May 1, 2022, our performance-based restricted stock units that are expected to vest had a fair value totaling $1,000.</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Awards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related to our grants of common stock to our outside directors during fiscal 2022, 2021, and 2020:</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Common</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5"/>
              </w:rPr>
              <w:t>(1)</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6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Stock</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Price Per</w:t>
            </w:r>
          </w:p>
        </w:tc>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Vesting</w:t>
            </w:r>
          </w:p>
        </w:tc>
      </w:tr>
      <w:tr>
        <w:trPr>
          <w:trHeight w:val="234"/>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1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Awarded</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Share</w:t>
            </w:r>
          </w:p>
        </w:tc>
        <w:tc>
          <w:tcPr>
            <w:tcW w:w="1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Period</w:t>
            </w:r>
          </w:p>
        </w:tc>
      </w:tr>
      <w:tr>
        <w:trPr>
          <w:trHeight w:val="223"/>
        </w:trPr>
        <w:tc>
          <w:tcPr>
            <w:tcW w:w="6480" w:type="dxa"/>
            <w:vAlign w:val="bottom"/>
            <w:tcBorders>
              <w:top w:val="single" w:sz="8" w:color="auto"/>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April 1, 2022 - Fiscal 2022</w:t>
            </w:r>
          </w:p>
        </w:tc>
        <w:tc>
          <w:tcPr>
            <w:tcW w:w="160" w:type="dxa"/>
            <w:vAlign w:val="bottom"/>
            <w:tcBorders>
              <w:top w:val="single" w:sz="8" w:color="CCECFF"/>
            </w:tcBorders>
            <w:shd w:val="clear" w:color="auto" w:fill="CCECFF"/>
          </w:tcPr>
          <w:p>
            <w:pPr>
              <w:spacing w:after="0"/>
              <w:rPr>
                <w:sz w:val="19"/>
                <w:szCs w:val="19"/>
                <w:color w:val="auto"/>
              </w:rPr>
            </w:pPr>
          </w:p>
        </w:tc>
        <w:tc>
          <w:tcPr>
            <w:tcW w:w="1420" w:type="dxa"/>
            <w:vAlign w:val="bottom"/>
            <w:tcBorders>
              <w:top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10,562</w:t>
            </w:r>
          </w:p>
        </w:tc>
        <w:tc>
          <w:tcPr>
            <w:tcW w:w="140" w:type="dxa"/>
            <w:vAlign w:val="bottom"/>
            <w:tcBorders>
              <w:top w:val="single" w:sz="8" w:color="CCECFF"/>
            </w:tcBorders>
            <w:shd w:val="clear" w:color="auto" w:fill="CCECFF"/>
          </w:tcPr>
          <w:p>
            <w:pPr>
              <w:spacing w:after="0"/>
              <w:rPr>
                <w:sz w:val="19"/>
                <w:szCs w:val="19"/>
                <w:color w:val="auto"/>
              </w:rPr>
            </w:pPr>
          </w:p>
        </w:tc>
        <w:tc>
          <w:tcPr>
            <w:tcW w:w="220" w:type="dxa"/>
            <w:vAlign w:val="bottom"/>
            <w:tcBorders>
              <w:top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7.93</w:t>
            </w:r>
          </w:p>
        </w:tc>
        <w:tc>
          <w:tcPr>
            <w:tcW w:w="140" w:type="dxa"/>
            <w:vAlign w:val="bottom"/>
            <w:tcBorders>
              <w:top w:val="single" w:sz="8" w:color="CCECFF"/>
            </w:tcBorders>
            <w:shd w:val="clear" w:color="auto" w:fill="CCECFF"/>
          </w:tcPr>
          <w:p>
            <w:pPr>
              <w:spacing w:after="0"/>
              <w:rPr>
                <w:sz w:val="19"/>
                <w:szCs w:val="19"/>
                <w:color w:val="auto"/>
              </w:rPr>
            </w:pPr>
          </w:p>
        </w:tc>
        <w:tc>
          <w:tcPr>
            <w:tcW w:w="1460" w:type="dxa"/>
            <w:vAlign w:val="bottom"/>
            <w:tcBorders>
              <w:top w:val="single" w:sz="8" w:color="auto"/>
            </w:tcBorders>
            <w:shd w:val="clear" w:color="auto" w:fill="CCECFF"/>
          </w:tcPr>
          <w:p>
            <w:pPr>
              <w:ind w:left="680"/>
              <w:spacing w:after="0"/>
              <w:rPr>
                <w:sz w:val="20"/>
                <w:szCs w:val="20"/>
                <w:color w:val="auto"/>
              </w:rPr>
            </w:pPr>
            <w:r>
              <w:rPr>
                <w:rFonts w:ascii="Times New Roman" w:cs="Times New Roman" w:eastAsia="Times New Roman" w:hAnsi="Times New Roman"/>
                <w:sz w:val="18"/>
                <w:szCs w:val="18"/>
                <w:color w:val="auto"/>
                <w:w w:val="98"/>
              </w:rPr>
              <w:t>Immediate</w:t>
            </w:r>
          </w:p>
        </w:tc>
      </w:tr>
      <w:tr>
        <w:trPr>
          <w:trHeight w:val="230"/>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3, 2022 - Fiscal 2022</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8,357</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10.02</w:t>
            </w:r>
          </w:p>
        </w:tc>
        <w:tc>
          <w:tcPr>
            <w:tcW w:w="140" w:type="dxa"/>
            <w:vAlign w:val="bottom"/>
          </w:tcPr>
          <w:p>
            <w:pPr>
              <w:spacing w:after="0"/>
              <w:rPr>
                <w:sz w:val="19"/>
                <w:szCs w:val="19"/>
                <w:color w:val="auto"/>
              </w:rPr>
            </w:pPr>
          </w:p>
        </w:tc>
        <w:tc>
          <w:tcPr>
            <w:tcW w:w="14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Immediate</w:t>
            </w:r>
          </w:p>
        </w:tc>
      </w:tr>
      <w:tr>
        <w:trPr>
          <w:trHeight w:val="230"/>
        </w:trPr>
        <w:tc>
          <w:tcPr>
            <w:tcW w:w="66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October 1, 2021 - Fiscal 2022</w:t>
            </w:r>
          </w:p>
        </w:tc>
        <w:tc>
          <w:tcPr>
            <w:tcW w:w="14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6,426</w:t>
            </w:r>
          </w:p>
        </w:tc>
        <w:tc>
          <w:tcPr>
            <w:tcW w:w="360" w:type="dxa"/>
            <w:vAlign w:val="bottom"/>
            <w:gridSpan w:val="2"/>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13.03</w:t>
            </w:r>
          </w:p>
        </w:tc>
        <w:tc>
          <w:tcPr>
            <w:tcW w:w="140" w:type="dxa"/>
            <w:vAlign w:val="bottom"/>
            <w:shd w:val="clear" w:color="auto" w:fill="CCECFF"/>
          </w:tcPr>
          <w:p>
            <w:pPr>
              <w:spacing w:after="0"/>
              <w:rPr>
                <w:sz w:val="19"/>
                <w:szCs w:val="19"/>
                <w:color w:val="auto"/>
              </w:rPr>
            </w:pPr>
          </w:p>
        </w:tc>
        <w:tc>
          <w:tcPr>
            <w:tcW w:w="1460" w:type="dxa"/>
            <w:vAlign w:val="bottom"/>
            <w:shd w:val="clear" w:color="auto" w:fill="CCECFF"/>
          </w:tcPr>
          <w:p>
            <w:pPr>
              <w:ind w:left="680"/>
              <w:spacing w:after="0"/>
              <w:rPr>
                <w:sz w:val="20"/>
                <w:szCs w:val="20"/>
                <w:color w:val="auto"/>
              </w:rPr>
            </w:pPr>
            <w:r>
              <w:rPr>
                <w:rFonts w:ascii="Times New Roman" w:cs="Times New Roman" w:eastAsia="Times New Roman" w:hAnsi="Times New Roman"/>
                <w:sz w:val="18"/>
                <w:szCs w:val="18"/>
                <w:color w:val="auto"/>
                <w:w w:val="98"/>
              </w:rPr>
              <w:t>Immediate</w:t>
            </w:r>
          </w:p>
        </w:tc>
      </w:tr>
      <w:tr>
        <w:trPr>
          <w:trHeight w:val="229"/>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1, 2021 - Fiscal 2022</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4,312</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16.24</w:t>
            </w:r>
          </w:p>
        </w:tc>
        <w:tc>
          <w:tcPr>
            <w:tcW w:w="140" w:type="dxa"/>
            <w:vAlign w:val="bottom"/>
          </w:tcPr>
          <w:p>
            <w:pPr>
              <w:spacing w:after="0"/>
              <w:rPr>
                <w:sz w:val="19"/>
                <w:szCs w:val="19"/>
                <w:color w:val="auto"/>
              </w:rPr>
            </w:pPr>
          </w:p>
        </w:tc>
        <w:tc>
          <w:tcPr>
            <w:tcW w:w="14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Immediate</w:t>
            </w:r>
          </w:p>
        </w:tc>
      </w:tr>
      <w:tr>
        <w:trPr>
          <w:trHeight w:val="230"/>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 2021 - Fiscal 2021</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4,467</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15.67</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8"/>
              </w:rPr>
              <w:t>Immediate</w:t>
            </w:r>
          </w:p>
        </w:tc>
      </w:tr>
      <w:tr>
        <w:trPr>
          <w:trHeight w:val="230"/>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4, 2021 - Fiscal 2021</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4,563</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15.34</w:t>
            </w:r>
          </w:p>
        </w:tc>
        <w:tc>
          <w:tcPr>
            <w:tcW w:w="140" w:type="dxa"/>
            <w:vAlign w:val="bottom"/>
          </w:tcPr>
          <w:p>
            <w:pPr>
              <w:spacing w:after="0"/>
              <w:rPr>
                <w:sz w:val="19"/>
                <w:szCs w:val="19"/>
                <w:color w:val="auto"/>
              </w:rPr>
            </w:pPr>
          </w:p>
        </w:tc>
        <w:tc>
          <w:tcPr>
            <w:tcW w:w="14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Immediate</w:t>
            </w:r>
          </w:p>
        </w:tc>
      </w:tr>
      <w:tr>
        <w:trPr>
          <w:trHeight w:val="230"/>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1, 2020 - Fiscal 2021</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5,193</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13.48</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8"/>
              </w:rPr>
              <w:t>Immediate</w:t>
            </w:r>
          </w:p>
        </w:tc>
      </w:tr>
      <w:tr>
        <w:trPr>
          <w:trHeight w:val="229"/>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1, 2020 - Fiscal 2021</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7,000</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9"/>
                <w:szCs w:val="19"/>
                <w:color w:val="auto"/>
              </w:rPr>
            </w:pPr>
          </w:p>
        </w:tc>
        <w:tc>
          <w:tcPr>
            <w:tcW w:w="14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Immediate</w:t>
            </w:r>
          </w:p>
        </w:tc>
      </w:tr>
      <w:tr>
        <w:trPr>
          <w:trHeight w:val="230"/>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 2020 - Fiscal 2020</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10,511</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6.66</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8"/>
              </w:rPr>
              <w:t>Immediate</w:t>
            </w:r>
          </w:p>
        </w:tc>
      </w:tr>
      <w:tr>
        <w:trPr>
          <w:trHeight w:val="230"/>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 2020 - Fiscal 2020</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4,972</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14.08</w:t>
            </w:r>
          </w:p>
        </w:tc>
        <w:tc>
          <w:tcPr>
            <w:tcW w:w="140" w:type="dxa"/>
            <w:vAlign w:val="bottom"/>
          </w:tcPr>
          <w:p>
            <w:pPr>
              <w:spacing w:after="0"/>
              <w:rPr>
                <w:sz w:val="19"/>
                <w:szCs w:val="19"/>
                <w:color w:val="auto"/>
              </w:rPr>
            </w:pPr>
          </w:p>
        </w:tc>
        <w:tc>
          <w:tcPr>
            <w:tcW w:w="14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Immediate</w:t>
            </w:r>
          </w:p>
        </w:tc>
      </w:tr>
      <w:tr>
        <w:trPr>
          <w:trHeight w:val="230"/>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1, 2019 - Fiscal 2020</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4,519</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15.49</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8"/>
              </w:rPr>
              <w:t>Immediate</w:t>
            </w:r>
          </w:p>
        </w:tc>
      </w:tr>
      <w:tr>
        <w:trPr>
          <w:trHeight w:val="234"/>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1, 2019 - Fiscal 2020</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3,659</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19.21</w:t>
            </w:r>
          </w:p>
        </w:tc>
        <w:tc>
          <w:tcPr>
            <w:tcW w:w="140" w:type="dxa"/>
            <w:vAlign w:val="bottom"/>
          </w:tcPr>
          <w:p>
            <w:pPr>
              <w:spacing w:after="0"/>
              <w:rPr>
                <w:sz w:val="20"/>
                <w:szCs w:val="20"/>
                <w:color w:val="auto"/>
              </w:rPr>
            </w:pPr>
          </w:p>
        </w:tc>
        <w:tc>
          <w:tcPr>
            <w:tcW w:w="14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Immediate</w:t>
            </w:r>
          </w:p>
        </w:tc>
      </w:tr>
    </w:tbl>
    <w:p>
      <w:pPr>
        <w:spacing w:after="0" w:line="220" w:lineRule="exact"/>
        <w:rPr>
          <w:sz w:val="20"/>
          <w:szCs w:val="20"/>
          <w:color w:val="auto"/>
        </w:rPr>
      </w:pPr>
    </w:p>
    <w:p>
      <w:pPr>
        <w:ind w:left="5540" w:right="4860" w:hanging="5532"/>
        <w:spacing w:after="0" w:line="532" w:lineRule="auto"/>
        <w:tabs>
          <w:tab w:leader="none" w:pos="51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per share represents closing price of our common stock on the date of grant.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line="282" w:lineRule="auto"/>
        <w:rPr>
          <w:sz w:val="20"/>
          <w:szCs w:val="20"/>
          <w:color w:val="auto"/>
        </w:rPr>
      </w:pPr>
      <w:r>
        <w:rPr>
          <w:rFonts w:ascii="Times New Roman" w:cs="Times New Roman" w:eastAsia="Times New Roman" w:hAnsi="Times New Roman"/>
          <w:sz w:val="18"/>
          <w:szCs w:val="18"/>
          <w:color w:val="auto"/>
        </w:rPr>
        <w:t>We recorded $321,000, $280,000, and $280,000 of compensation expense within selling, general, and administrative expense for these common stock awards for fiscal 2022, 2021, and 2020, respectively.</w:t>
      </w:r>
    </w:p>
    <w:p>
      <w:pPr>
        <w:spacing w:after="0" w:line="360" w:lineRule="exact"/>
        <w:rPr>
          <w:sz w:val="20"/>
          <w:szCs w:val="20"/>
          <w:color w:val="auto"/>
        </w:rPr>
      </w:pPr>
    </w:p>
    <w:p>
      <w:pPr>
        <w:ind w:left="500" w:hanging="492"/>
        <w:spacing w:after="0"/>
        <w:tabs>
          <w:tab w:leader="none" w:pos="5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Topic 820 establishes a fair value hierarchy that distinguishes between assumptions based on market data (observable inputs) and the company’s assumptions (unobservable inputs). Determining where an asset or liability falls within that hierarchy depends on the lowest level input that is significant to the fair value measurement as a whole. An adjustment to the pricing method used within either level 1 or level 2 inputs could generate a fair value measurement that effectively falls in a lower level in the hierarchy.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hierarchy consists of three broad levels as follows: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market prices in active markets for identical assets or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Inputs other than level 1 inputs that are either directly or indirectly observable, 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developed using the company’s estimates and assumptions, which reflect those that market participants would use.</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determination of where an asset or liability falls in the hierarchy requires significant judgment. We evaluate our hierarchy disclosures each quarter based on a range of various factors, and it is possible that an asset or liability may be classified differently from quarter to quarter. However, we expect that changes in classifications between different levels will be rare.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Basis – Continuing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information about assets and liabilities measured at fair value on a recurring basis related to our continuing operations: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98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8"/>
                <w:szCs w:val="18"/>
                <w:color w:val="auto"/>
              </w:rPr>
              <w:t>Fair value measurements as of May 1, 2022, using:</w:t>
            </w:r>
          </w:p>
        </w:tc>
        <w:tc>
          <w:tcPr>
            <w:tcW w:w="1180" w:type="dxa"/>
            <w:vAlign w:val="bottom"/>
            <w:tcBorders>
              <w:bottom w:val="single" w:sz="8" w:color="auto"/>
            </w:tcBorders>
          </w:tcPr>
          <w:p>
            <w:pPr>
              <w:spacing w:after="0"/>
              <w:rPr>
                <w:sz w:val="20"/>
                <w:szCs w:val="20"/>
                <w:color w:val="auto"/>
              </w:rPr>
            </w:pPr>
          </w:p>
        </w:tc>
      </w:tr>
      <w:tr>
        <w:trPr>
          <w:trHeight w:val="205"/>
        </w:trPr>
        <w:tc>
          <w:tcPr>
            <w:tcW w:w="4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360"/>
              <w:spacing w:after="0" w:line="205" w:lineRule="exact"/>
              <w:rPr>
                <w:sz w:val="20"/>
                <w:szCs w:val="20"/>
                <w:color w:val="auto"/>
              </w:rPr>
            </w:pPr>
            <w:r>
              <w:rPr>
                <w:rFonts w:ascii="Times New Roman" w:cs="Times New Roman" w:eastAsia="Times New Roman" w:hAnsi="Times New Roman"/>
                <w:sz w:val="18"/>
                <w:szCs w:val="18"/>
                <w:color w:val="auto"/>
                <w:w w:val="98"/>
              </w:rPr>
              <w:t>Quoted</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prices in</w:t>
            </w: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Significant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active markets</w:t>
            </w: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Significant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for identical</w:t>
            </w: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observable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unobservable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assets</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inputs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inputs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3"/>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(amounts in thousands)</w:t>
            </w:r>
          </w:p>
        </w:tc>
        <w:tc>
          <w:tcPr>
            <w:tcW w:w="1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Borders>
              <w:bottom w:val="single" w:sz="8" w:color="CFF0FC"/>
            </w:tcBorders>
          </w:tcPr>
          <w:p>
            <w:pPr>
              <w:spacing w:after="0"/>
              <w:rPr>
                <w:sz w:val="19"/>
                <w:szCs w:val="19"/>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Borders>
              <w:bottom w:val="single" w:sz="8" w:color="CFF0FC"/>
            </w:tcBorders>
          </w:tcPr>
          <w:p>
            <w:pPr>
              <w:spacing w:after="0"/>
              <w:rPr>
                <w:sz w:val="19"/>
                <w:szCs w:val="19"/>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Money Market Fund</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8,683</w:t>
            </w:r>
          </w:p>
        </w:tc>
        <w:tc>
          <w:tcPr>
            <w:tcW w:w="120" w:type="dxa"/>
            <w:vAlign w:val="bottom"/>
          </w:tcPr>
          <w:p>
            <w:pPr>
              <w:spacing w:after="0"/>
              <w:rPr>
                <w:sz w:val="19"/>
                <w:szCs w:val="19"/>
                <w:color w:val="auto"/>
              </w:rPr>
            </w:pPr>
          </w:p>
        </w:tc>
        <w:tc>
          <w:tcPr>
            <w:tcW w:w="16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6"/>
              </w:rPr>
              <w:t>N/A</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8,683</w:t>
            </w:r>
          </w:p>
        </w:tc>
      </w:tr>
      <w:tr>
        <w:trPr>
          <w:trHeight w:val="23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Growth Allocation Mutual Funds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435</w:t>
            </w:r>
          </w:p>
        </w:tc>
      </w:tr>
      <w:tr>
        <w:trPr>
          <w:trHeight w:val="22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Moderate Allocation Mutual Fund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16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48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gridSpan w:val="2"/>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bottom w:val="single" w:sz="8" w:color="auto"/>
            </w:tcBorders>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r>
      <w:tr>
        <w:trPr>
          <w:trHeight w:val="466"/>
        </w:trPr>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8"/>
                <w:szCs w:val="18"/>
                <w:color w:val="auto"/>
              </w:rPr>
              <w:t>Fair value measurements as of May 2, 2021, using:</w:t>
            </w:r>
          </w:p>
        </w:tc>
        <w:tc>
          <w:tcPr>
            <w:tcW w:w="1180" w:type="dxa"/>
            <w:vAlign w:val="bottom"/>
            <w:tcBorders>
              <w:bottom w:val="single" w:sz="8" w:color="auto"/>
            </w:tcBorders>
          </w:tcPr>
          <w:p>
            <w:pPr>
              <w:spacing w:after="0"/>
              <w:rPr>
                <w:sz w:val="24"/>
                <w:szCs w:val="24"/>
                <w:color w:val="auto"/>
              </w:rPr>
            </w:pPr>
          </w:p>
        </w:tc>
      </w:tr>
      <w:tr>
        <w:trPr>
          <w:trHeight w:val="205"/>
        </w:trPr>
        <w:tc>
          <w:tcPr>
            <w:tcW w:w="4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360"/>
              <w:spacing w:after="0" w:line="205" w:lineRule="exact"/>
              <w:rPr>
                <w:sz w:val="20"/>
                <w:szCs w:val="20"/>
                <w:color w:val="auto"/>
              </w:rPr>
            </w:pPr>
            <w:r>
              <w:rPr>
                <w:rFonts w:ascii="Times New Roman" w:cs="Times New Roman" w:eastAsia="Times New Roman" w:hAnsi="Times New Roman"/>
                <w:sz w:val="18"/>
                <w:szCs w:val="18"/>
                <w:color w:val="auto"/>
                <w:w w:val="98"/>
              </w:rPr>
              <w:t>Quoted</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prices in</w:t>
            </w: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Significant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active markets</w:t>
            </w: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Significant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for identical</w:t>
            </w: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observable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unobservable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assets</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inputs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inputs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3"/>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(amounts in thousands)</w:t>
            </w:r>
          </w:p>
        </w:tc>
        <w:tc>
          <w:tcPr>
            <w:tcW w:w="1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Borders>
              <w:bottom w:val="single" w:sz="8" w:color="CFF0FC"/>
            </w:tcBorders>
          </w:tcPr>
          <w:p>
            <w:pPr>
              <w:spacing w:after="0"/>
              <w:rPr>
                <w:sz w:val="19"/>
                <w:szCs w:val="19"/>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Borders>
              <w:bottom w:val="single" w:sz="8" w:color="CFF0FC"/>
            </w:tcBorders>
          </w:tcPr>
          <w:p>
            <w:pPr>
              <w:spacing w:after="0"/>
              <w:rPr>
                <w:sz w:val="19"/>
                <w:szCs w:val="19"/>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Premier Money Market Fund</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7,879</w:t>
            </w:r>
          </w:p>
        </w:tc>
        <w:tc>
          <w:tcPr>
            <w:tcW w:w="120" w:type="dxa"/>
            <w:vAlign w:val="bottom"/>
          </w:tcPr>
          <w:p>
            <w:pPr>
              <w:spacing w:after="0"/>
              <w:rPr>
                <w:sz w:val="19"/>
                <w:szCs w:val="19"/>
                <w:color w:val="auto"/>
              </w:rPr>
            </w:pPr>
          </w:p>
        </w:tc>
        <w:tc>
          <w:tcPr>
            <w:tcW w:w="16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6"/>
              </w:rPr>
              <w:t>N/A</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7,879</w:t>
            </w:r>
          </w:p>
        </w:tc>
      </w:tr>
      <w:tr>
        <w:trPr>
          <w:trHeight w:val="23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 Term Bond Mutual Funds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4,101</w:t>
            </w:r>
          </w:p>
        </w:tc>
        <w:tc>
          <w:tcPr>
            <w:tcW w:w="1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4,101</w:t>
            </w: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Short Duration Inflation Protected Mutual Fund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Pr>
          <w:p>
            <w:pPr>
              <w:spacing w:after="0"/>
              <w:rPr>
                <w:sz w:val="19"/>
                <w:szCs w:val="19"/>
                <w:color w:val="auto"/>
              </w:rPr>
            </w:pPr>
          </w:p>
        </w:tc>
        <w:tc>
          <w:tcPr>
            <w:tcW w:w="16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722</w:t>
            </w:r>
          </w:p>
        </w:tc>
      </w:tr>
      <w:tr>
        <w:trPr>
          <w:trHeight w:val="22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 Securities Mutual Fund</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719</w:t>
            </w:r>
          </w:p>
        </w:tc>
      </w:tr>
      <w:tr>
        <w:trPr>
          <w:trHeight w:val="22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Growth Allocation Mutual Funds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19"/>
                <w:szCs w:val="19"/>
                <w:color w:val="auto"/>
              </w:rPr>
            </w:pPr>
          </w:p>
        </w:tc>
        <w:tc>
          <w:tcPr>
            <w:tcW w:w="16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339</w:t>
            </w:r>
          </w:p>
        </w:tc>
      </w:tr>
      <w:tr>
        <w:trPr>
          <w:trHeight w:val="23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Moderate Allocation Mutual Fund</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ind w:left="116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r>
      <w:tr>
        <w:trPr>
          <w:trHeight w:val="669"/>
        </w:trPr>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79</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i w:val="1"/>
          <w:iCs w:val="1"/>
          <w:color w:val="auto"/>
        </w:rPr>
        <w:t>Nonrecurring Basis – Continuing Operations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Fourth Quarter of Fiscal 2021</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assets and liabilities that were required to be measured at fair value on a nonrecurring basis that pertained to assets acquired and certain liabilities that were assumed in connection with the CIH business combination effective February 1, 2021. See Note 2 of the consolidated financial statements for further details regarding this business combination.</w:t>
      </w:r>
    </w:p>
    <w:p>
      <w:pPr>
        <w:spacing w:after="0" w:line="20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Fair value measurements on February 1, 2021, using: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2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tcPr>
          <w:p>
            <w:pPr>
              <w:jc w:val="center"/>
              <w:ind w:left="1090"/>
              <w:spacing w:after="0" w:line="205" w:lineRule="exact"/>
              <w:rPr>
                <w:sz w:val="20"/>
                <w:szCs w:val="20"/>
                <w:color w:val="auto"/>
              </w:rPr>
            </w:pPr>
            <w:r>
              <w:rPr>
                <w:rFonts w:ascii="Times New Roman" w:cs="Times New Roman" w:eastAsia="Times New Roman" w:hAnsi="Times New Roman"/>
                <w:sz w:val="18"/>
                <w:szCs w:val="18"/>
                <w:color w:val="auto"/>
              </w:rPr>
              <w:t>Quoted Prices</w:t>
            </w:r>
          </w:p>
        </w:tc>
        <w:tc>
          <w:tcPr>
            <w:tcW w:w="1020" w:type="dxa"/>
            <w:vAlign w:val="bottom"/>
            <w:tcBorders>
              <w:top w:val="single" w:sz="8" w:color="auto"/>
            </w:tcBorders>
          </w:tcPr>
          <w:p>
            <w:pPr>
              <w:jc w:val="center"/>
              <w:ind w:right="150"/>
              <w:spacing w:after="0" w:line="205" w:lineRule="exact"/>
              <w:rPr>
                <w:sz w:val="20"/>
                <w:szCs w:val="20"/>
                <w:color w:val="auto"/>
              </w:rPr>
            </w:pPr>
            <w:r>
              <w:rPr>
                <w:rFonts w:ascii="Times New Roman" w:cs="Times New Roman" w:eastAsia="Times New Roman" w:hAnsi="Times New Roman"/>
                <w:sz w:val="18"/>
                <w:szCs w:val="18"/>
                <w:color w:val="auto"/>
                <w:w w:val="98"/>
              </w:rPr>
              <w:t>Significant</w:t>
            </w:r>
          </w:p>
        </w:tc>
        <w:tc>
          <w:tcPr>
            <w:tcW w:w="13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16"/>
        </w:trPr>
        <w:tc>
          <w:tcPr>
            <w:tcW w:w="4620" w:type="dxa"/>
            <w:vAlign w:val="bottom"/>
          </w:tcPr>
          <w:p>
            <w:pPr>
              <w:spacing w:after="0"/>
              <w:rPr>
                <w:sz w:val="18"/>
                <w:szCs w:val="18"/>
                <w:color w:val="auto"/>
              </w:rPr>
            </w:pPr>
          </w:p>
        </w:tc>
        <w:tc>
          <w:tcPr>
            <w:tcW w:w="308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in active</w:t>
            </w:r>
          </w:p>
        </w:tc>
        <w:tc>
          <w:tcPr>
            <w:tcW w:w="10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Significant</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308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9"/>
              </w:rPr>
              <w:t>markets for</w:t>
            </w:r>
          </w:p>
        </w:tc>
        <w:tc>
          <w:tcPr>
            <w:tcW w:w="10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observable</w:t>
            </w: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unobservable</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46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color w:val="auto"/>
              </w:rPr>
              <w:t>identical assets</w:t>
            </w:r>
          </w:p>
        </w:tc>
        <w:tc>
          <w:tcPr>
            <w:tcW w:w="10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inputs</w:t>
            </w:r>
          </w:p>
        </w:tc>
        <w:tc>
          <w:tcPr>
            <w:tcW w:w="13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inputs</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(amounts in thousands)</w:t>
            </w:r>
          </w:p>
        </w:tc>
        <w:tc>
          <w:tcPr>
            <w:tcW w:w="308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color w:val="auto"/>
                <w:w w:val="99"/>
              </w:rPr>
              <w:t>Level 1</w:t>
            </w:r>
          </w:p>
        </w:tc>
        <w:tc>
          <w:tcPr>
            <w:tcW w:w="10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Level 2</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Level 3</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30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 of use assets</w:t>
            </w:r>
          </w:p>
        </w:tc>
        <w:tc>
          <w:tcPr>
            <w:tcW w:w="30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N/A  $</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2,544</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2,544</w:t>
            </w:r>
          </w:p>
        </w:tc>
      </w:tr>
      <w:tr>
        <w:trPr>
          <w:trHeight w:val="229"/>
        </w:trPr>
        <w:tc>
          <w:tcPr>
            <w:tcW w:w="4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Equipment and leasehold improvements</w:t>
            </w:r>
          </w:p>
        </w:tc>
        <w:tc>
          <w:tcPr>
            <w:tcW w:w="3080" w:type="dxa"/>
            <w:vAlign w:val="bottom"/>
            <w:shd w:val="clear" w:color="auto" w:fill="CFF0FC"/>
          </w:tcPr>
          <w:p>
            <w:pPr>
              <w:ind w:left="2540"/>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1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846</w:t>
            </w: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846</w:t>
            </w:r>
          </w:p>
        </w:tc>
      </w:tr>
      <w:tr>
        <w:trPr>
          <w:trHeight w:val="230"/>
        </w:trPr>
        <w:tc>
          <w:tcPr>
            <w:tcW w:w="4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308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right of use assets was based on our analysis of a recent appraisal of the annual lease rates per square foot for industrial buildings that are similar in nature and within the same locale. We believe the annual lease rates per square foot presented in our recent appraisal represent significant observable inputs and therefore these right of use assets were classified as level 2.</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in connection with the CIH business combination effective February 1, 2021, we acquired cash, accounts receivable, and certain other current assets, and we assumed accounts payable. Based on the nature of these items and their short-term maturity, the carrying amount of these items approximated their fair values. See Note 2 of the consolidated financial statements for the final allocation of the acquisition cost to assets acquired and liabilities assumed based on their fair values.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Annual Impairment Assessment – May 3, 2020</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assets measured at fair value on a nonrecurring basis related to our continuing operations as of May 3,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Borders>
              <w:bottom w:val="single" w:sz="8" w:color="auto"/>
            </w:tcBorders>
          </w:tcPr>
          <w:p>
            <w:pPr>
              <w:spacing w:after="0"/>
              <w:rPr>
                <w:sz w:val="20"/>
                <w:szCs w:val="20"/>
                <w:color w:val="auto"/>
              </w:rPr>
            </w:pPr>
          </w:p>
        </w:tc>
        <w:tc>
          <w:tcPr>
            <w:tcW w:w="6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Fair value measurements as of May 3, 2020, using:</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05"/>
        </w:trPr>
        <w:tc>
          <w:tcPr>
            <w:tcW w:w="3400" w:type="dxa"/>
            <w:vAlign w:val="bottom"/>
          </w:tcPr>
          <w:p>
            <w:pPr>
              <w:spacing w:after="0"/>
              <w:rPr>
                <w:sz w:val="17"/>
                <w:szCs w:val="17"/>
                <w:color w:val="auto"/>
              </w:rPr>
            </w:pPr>
          </w:p>
        </w:tc>
        <w:tc>
          <w:tcPr>
            <w:tcW w:w="2800" w:type="dxa"/>
            <w:vAlign w:val="bottom"/>
          </w:tcPr>
          <w:p>
            <w:pPr>
              <w:jc w:val="center"/>
              <w:ind w:left="1610"/>
              <w:spacing w:after="0" w:line="205" w:lineRule="exact"/>
              <w:rPr>
                <w:sz w:val="20"/>
                <w:szCs w:val="20"/>
                <w:color w:val="auto"/>
              </w:rPr>
            </w:pPr>
            <w:r>
              <w:rPr>
                <w:rFonts w:ascii="Times New Roman" w:cs="Times New Roman" w:eastAsia="Times New Roman" w:hAnsi="Times New Roman"/>
                <w:sz w:val="18"/>
                <w:szCs w:val="18"/>
                <w:color w:val="auto"/>
              </w:rPr>
              <w:t>Quoted Prices</w:t>
            </w:r>
          </w:p>
        </w:tc>
        <w:tc>
          <w:tcPr>
            <w:tcW w:w="580" w:type="dxa"/>
            <w:vAlign w:val="bottom"/>
          </w:tcPr>
          <w:p>
            <w:pPr>
              <w:spacing w:after="0"/>
              <w:rPr>
                <w:sz w:val="17"/>
                <w:szCs w:val="17"/>
                <w:color w:val="auto"/>
              </w:rPr>
            </w:pPr>
          </w:p>
        </w:tc>
        <w:tc>
          <w:tcPr>
            <w:tcW w:w="1600" w:type="dxa"/>
            <w:vAlign w:val="bottom"/>
          </w:tcPr>
          <w:p>
            <w:pPr>
              <w:jc w:val="center"/>
              <w:ind w:right="210"/>
              <w:spacing w:after="0" w:line="205" w:lineRule="exact"/>
              <w:rPr>
                <w:sz w:val="20"/>
                <w:szCs w:val="20"/>
                <w:color w:val="auto"/>
              </w:rPr>
            </w:pPr>
            <w:r>
              <w:rPr>
                <w:rFonts w:ascii="Times New Roman" w:cs="Times New Roman" w:eastAsia="Times New Roman" w:hAnsi="Times New Roman"/>
                <w:sz w:val="18"/>
                <w:szCs w:val="18"/>
                <w:color w:val="auto"/>
                <w:w w:val="98"/>
              </w:rPr>
              <w:t>Significant</w:t>
            </w: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3400" w:type="dxa"/>
            <w:vAlign w:val="bottom"/>
          </w:tcPr>
          <w:p>
            <w:pPr>
              <w:spacing w:after="0"/>
              <w:rPr>
                <w:sz w:val="18"/>
                <w:szCs w:val="18"/>
                <w:color w:val="auto"/>
              </w:rPr>
            </w:pPr>
          </w:p>
        </w:tc>
        <w:tc>
          <w:tcPr>
            <w:tcW w:w="280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rPr>
              <w:t>in active</w:t>
            </w:r>
          </w:p>
        </w:tc>
        <w:tc>
          <w:tcPr>
            <w:tcW w:w="580" w:type="dxa"/>
            <w:vAlign w:val="bottom"/>
          </w:tcPr>
          <w:p>
            <w:pPr>
              <w:spacing w:after="0"/>
              <w:rPr>
                <w:sz w:val="18"/>
                <w:szCs w:val="18"/>
                <w:color w:val="auto"/>
              </w:rPr>
            </w:pPr>
          </w:p>
        </w:tc>
        <w:tc>
          <w:tcPr>
            <w:tcW w:w="16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Significant</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280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w w:val="99"/>
              </w:rPr>
              <w:t>markets for</w:t>
            </w:r>
          </w:p>
        </w:tc>
        <w:tc>
          <w:tcPr>
            <w:tcW w:w="580" w:type="dxa"/>
            <w:vAlign w:val="bottom"/>
          </w:tcPr>
          <w:p>
            <w:pPr>
              <w:spacing w:after="0"/>
              <w:rPr>
                <w:sz w:val="18"/>
                <w:szCs w:val="18"/>
                <w:color w:val="auto"/>
              </w:rPr>
            </w:pPr>
          </w:p>
        </w:tc>
        <w:tc>
          <w:tcPr>
            <w:tcW w:w="16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observable</w:t>
            </w:r>
          </w:p>
        </w:tc>
        <w:tc>
          <w:tcPr>
            <w:tcW w:w="14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unobservable</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34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center"/>
              <w:ind w:left="1590"/>
              <w:spacing w:after="0"/>
              <w:rPr>
                <w:sz w:val="20"/>
                <w:szCs w:val="20"/>
                <w:color w:val="auto"/>
              </w:rPr>
            </w:pPr>
            <w:r>
              <w:rPr>
                <w:rFonts w:ascii="Times New Roman" w:cs="Times New Roman" w:eastAsia="Times New Roman" w:hAnsi="Times New Roman"/>
                <w:sz w:val="18"/>
                <w:szCs w:val="18"/>
                <w:color w:val="auto"/>
                <w:w w:val="99"/>
              </w:rPr>
              <w:t>identical assets</w:t>
            </w:r>
          </w:p>
        </w:tc>
        <w:tc>
          <w:tcPr>
            <w:tcW w:w="5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inputs</w:t>
            </w:r>
          </w:p>
        </w:tc>
        <w:tc>
          <w:tcPr>
            <w:tcW w:w="142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99"/>
              </w:rPr>
              <w:t>inputs</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(amounts in thousands)</w:t>
            </w:r>
          </w:p>
        </w:tc>
        <w:tc>
          <w:tcPr>
            <w:tcW w:w="2800" w:type="dxa"/>
            <w:vAlign w:val="bottom"/>
            <w:tcBorders>
              <w:bottom w:val="single" w:sz="8" w:color="auto"/>
            </w:tcBorders>
          </w:tcPr>
          <w:p>
            <w:pPr>
              <w:jc w:val="center"/>
              <w:ind w:left="1610"/>
              <w:spacing w:after="0"/>
              <w:rPr>
                <w:sz w:val="20"/>
                <w:szCs w:val="20"/>
                <w:color w:val="auto"/>
              </w:rPr>
            </w:pPr>
            <w:r>
              <w:rPr>
                <w:rFonts w:ascii="Times New Roman" w:cs="Times New Roman" w:eastAsia="Times New Roman" w:hAnsi="Times New Roman"/>
                <w:sz w:val="18"/>
                <w:szCs w:val="18"/>
                <w:color w:val="auto"/>
                <w:w w:val="99"/>
              </w:rPr>
              <w:t>Level 1</w:t>
            </w:r>
          </w:p>
        </w:tc>
        <w:tc>
          <w:tcPr>
            <w:tcW w:w="5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Level 2</w:t>
            </w:r>
          </w:p>
        </w:tc>
        <w:tc>
          <w:tcPr>
            <w:tcW w:w="142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rPr>
              <w:t>Level 3</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8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29"/>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80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6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N/A  $</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0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Tradename</w:t>
            </w:r>
          </w:p>
        </w:tc>
        <w:tc>
          <w:tcPr>
            <w:tcW w:w="28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600" w:type="dxa"/>
            <w:vAlign w:val="bottom"/>
            <w:tcBorders>
              <w:bottom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N/A</w:t>
            </w:r>
          </w:p>
        </w:tc>
        <w:tc>
          <w:tcPr>
            <w:tcW w:w="142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540</w:t>
            </w: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540</w:t>
            </w: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an asset impairment charge of $13.6 million in asset impairments in the fiscal 2020 Consolidated Statement of Net Loss for the entire carrying value of goodwill associated with our continuing operations. As a result, we did not have goodwill recorded in our Consolidated Balance Sheets as of May 1, 2022, and May 2, 2021, respectively. Goodwill was recorded at fair market value using a discounted cash flow method that used significant unobservable inputs and was classified as level 3. See Note 9 of the consolidated financial statements for further details regarding our assessment of impairment, conclusions reached, and the performance of our quantitative impairment tests.</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an asset impairment charge of $143,000 in asset impairments in the fiscal 2020 Consolidated Statement of Net Loss. Tradename was recorded at fair market value using the relief from royalty method that used significant unobservable inputs and was classified as level 3. See Note 8 of the consolidated financial statements for further details regarding our assessment of impairment, conclusions reached, and the performance of our quantitative impairment test.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i w:val="1"/>
          <w:iCs w:val="1"/>
          <w:color w:val="auto"/>
        </w:rPr>
        <w:t>Nonrecurring Basis – Discontinued Operation</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2020, the entire carrying value of our goodwill and tradename associated with our discontinued operation was impaired. Consequently, we recorded asset impairment charges totaling $20.2 million that were presented in loss before income taxes from discontinued operation of the fiscal 2020 Consolidated Statement of Net Loss. Of the total asset impairment charges totaling $20.2 million, $13.6 million and $6.6 million pertained to goodwill and tradename, respectively.</w:t>
      </w:r>
    </w:p>
    <w:p>
      <w:pPr>
        <w:spacing w:after="0" w:line="19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the end of the third quarter of fiscal 2020, we assessed the fair value of our contingent consideration related to the acquisition of our ownership interest in eLuxury. Based on this assessment, we recorded a reversal of $6.1 million for the full amount of this contingent consideration.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below for fair value techniques used to determine the fair value of goodwill, tradename, and contingent consideration and the level of the fair value hierarchy at which these assets and liabilities were classified based on the lowest level of inputs used.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was assessed for impairment at the end of our third quarter and during our fourth quarter of fiscal 2020. At the end of the third quarter of fiscal 2020, goodwill was recorded at fair market value using a discounted cash flow method that used significant unobservable inputs and was classified as level 3.</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fiscal 2020, goodwill was recorded at fair market value based on the expected selling price of our entire ownership interest in eLuxury in comparison to its carrying amount, including goodwill. As disclosed in Note 3 of the consolidated financial statements, effective March 31, 2020, we sold our entire ownership interest in eLuxury to its noncontrolling interest holder, resulting in the elimination of the home accessories segment at such time. Based on the terms of the sale agreement, we did not receive any consideration for eLuxury’s net assets associated with the sale of our entire ownership interest in eLuxury. We believe the selling price represents a significant observable input and was classified as level 2.</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9 of the consolidated financial statements for further details regarding our assessment of impairment, conclusions reached, and the performance of our quantitative impairment tests.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Tradename</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Tradename was assessed for impairment at the end of our third quarter and during our fourth quarter of fiscal 2020. At the end of the third quarter of fiscal 2020, tradename was recorded at fair market value using the relief from royalty method that used significant unobservable inputs and was classified as level 3.</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fiscal 2020, tradename was recorded at fair market value based on the expected selling price of our entire ownership interest in eLuxury in comparison to its carrying amount. As disclosed in Note 3 of the consolidated financial statements, effective March 31, 2020, we sold our entire ownership interest in eLuxury to its noncontrolling interest holder, resulting in the elimination of the home accessories segment at such time. Based on the terms of the sale agreement, we did not receive any consideration for eLuxury’s net assets associated with the sale of our entire ownership interest in eLuxury. We believe the selling price represents a significant observable input and was classified as level 2.</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8 of the consolidated financial statements for further details regarding our assessment of impairment, conclusions reached, and the performance of our quantitative impairment test.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Contingent Consideration</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end of the third quarter of fiscal 2020, the fair value of our contingent consideration was determined using forecasted financial information to calculate EBITDA as it related to the Equity Agreement associated with the acquisition of our ownership interest in eLuxury. Since forecasted financial information utilizes significant unobservable inputs, the fair value of our contingent consideration was classified as level 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of the consolidated financial statements for further details regarding the terms of this contingent consideration arrangement.</w:t>
      </w:r>
    </w:p>
    <w:p>
      <w:pPr>
        <w:spacing w:after="0" w:line="235" w:lineRule="exact"/>
        <w:rPr>
          <w:sz w:val="20"/>
          <w:szCs w:val="20"/>
          <w:color w:val="auto"/>
        </w:rPr>
      </w:pPr>
    </w:p>
    <w:p>
      <w:pPr>
        <w:ind w:left="500" w:hanging="492"/>
        <w:spacing w:after="0"/>
        <w:tabs>
          <w:tab w:leader="none" w:pos="5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INCOME FROM CONTINUING OPERATIONS PER SHARE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income from continuing operations per share is computed using the weighted-average number of shares outstanding during the period. Diluted net (loss) income from continuing operations per share uses the weighted-average number of shares outstanding during the period plus the dilutive effect of stock-based compensation calculated using the treasury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method. Weighted average shares used in the computation of basic and diluted net (loss) income from continuing operations per share are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20" w:type="dxa"/>
            <w:vAlign w:val="bottom"/>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2022</w:t>
            </w:r>
          </w:p>
        </w:tc>
        <w:tc>
          <w:tcPr>
            <w:tcW w:w="14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2021</w:t>
            </w:r>
          </w:p>
        </w:tc>
        <w:tc>
          <w:tcPr>
            <w:tcW w:w="14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2020</w:t>
            </w:r>
          </w:p>
        </w:tc>
      </w:tr>
      <w:tr>
        <w:trPr>
          <w:trHeight w:val="223"/>
        </w:trPr>
        <w:tc>
          <w:tcPr>
            <w:tcW w:w="65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1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12,242</w:t>
            </w: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12,300</w:t>
            </w:r>
          </w:p>
        </w:tc>
        <w:tc>
          <w:tcPr>
            <w:tcW w:w="1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12,378</w:t>
            </w:r>
          </w:p>
        </w:tc>
      </w:tr>
      <w:tr>
        <w:trPr>
          <w:trHeight w:val="229"/>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dilutive effect of stock-based compensation</w:t>
            </w: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14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12,242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12,322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12,378</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fiscal 2022, 18,281 shares of unvested common stock were not included in the computation of diluted net loss from continuing operations per share, as their effect would be antidilutive due to the decrease in the price per share of our common stock during the reporting period compared with the price per share of our common stock as of the respective grant dates of the related stock-based compensation awards. In addition, during fiscal 2022, 85,796 shares of unvested common stock were not included in the computation of diluted net loss from continuing operations per share as we incurred a net loss during the reporting period.</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2021, 2,175 shares of unvested common stock were not included in the computation of diluted net income from continuing operations per share, as their effect would be antidilutive due to the decrease in the price per share of our common stock during the reporting period compared with the price per share of our common stock as of the respective grant dates of the related stock-based compensation awards.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fiscal 2020, 19,388 shares of unvested common stock were not included in the computation of diluted net loss from continuing operations per share, as their effect would be antidilutive due to the decrease in the price per share of our common stock during the reporting period compared with the price per share of our common stock as of the respective grant dates of the related stock-based compensation awards. In addition, during fiscal 2020, 26,343 shares of unvested common stock were not included in the computation of diluted net loss from continuing operations per share as we incurred a net loss during the reporting period.</w:t>
      </w:r>
    </w:p>
    <w:p>
      <w:pPr>
        <w:spacing w:after="0" w:line="152" w:lineRule="exact"/>
        <w:rPr>
          <w:sz w:val="20"/>
          <w:szCs w:val="20"/>
          <w:color w:val="auto"/>
        </w:rPr>
      </w:pPr>
    </w:p>
    <w:p>
      <w:pPr>
        <w:ind w:left="500" w:hanging="492"/>
        <w:spacing w:after="0"/>
        <w:tabs>
          <w:tab w:leader="none" w:pos="5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 PLANS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defined contribution plans that cover substantially all employees and allow participants to contribute on a pre-tax basis, along with, matching contributions by the company for its U.S. and Canadian operations. Our contributions to these plans were $1.3 million, $1.2 million, and $1.2 million during fiscal years 2022, 2021, and 2020,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Compensation Plan</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nonqualified deferred compensation plan (the “Plan”) covering senior executives and certain key members of management. The Plan provides for participant deferrals on a pre-tax basis that are subject to annual deferral limits by the IRS and non-elective contributions made by the company. Participant deferrals and non-elective contributions made by the company are immediately vested.</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contributions to the Plan were $212,000, $143,000, and $185,000 in fiscal years 2022, 2021, and 2020, respectively. Our nonqualified deferred compensation plan liability was $9.3 million and $8.4 million as of May 1, 2022, and May 2, 2021, respectively.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rabbi trust (the “Trust”) to set aside funds for the participants of the Plan and that allows the participants to direct their contributions to various investment options in the Plan. The investment options of the Plan consist of a money market fund and various mutual funds. The funds set aside in the Trust are subject to the claims of our general creditors in the event of the company’s insolvency, as defined in the Plan.</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investment assets of the Trust are recorded at their fair value of $9.4 million and $8.4 million as of May 1, 2022, and May 2, 2021, respectively. The investment assets of the Trust are classified as available for sale and accordingly, changes in their fair values are recorded in other comprehensive (loss) income.</w:t>
      </w:r>
    </w:p>
    <w:p>
      <w:pPr>
        <w:spacing w:after="0" w:line="172" w:lineRule="exact"/>
        <w:rPr>
          <w:sz w:val="20"/>
          <w:szCs w:val="20"/>
          <w:color w:val="auto"/>
        </w:rPr>
      </w:pPr>
    </w:p>
    <w:p>
      <w:pPr>
        <w:ind w:left="500" w:hanging="492"/>
        <w:spacing w:after="0"/>
        <w:tabs>
          <w:tab w:leader="none" w:pos="5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Overall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Continuing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continuing operations are classified into two business segments: mattress fabrics and upholstery fabrics.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i w:val="1"/>
          <w:iCs w:val="1"/>
          <w:color w:val="auto"/>
        </w:rPr>
        <w:t>Mattress Fabrics</w:t>
      </w:r>
    </w:p>
    <w:p>
      <w:pPr>
        <w:spacing w:after="0" w:line="200" w:lineRule="exact"/>
        <w:rPr>
          <w:sz w:val="20"/>
          <w:szCs w:val="20"/>
          <w:color w:val="auto"/>
        </w:rPr>
      </w:pPr>
    </w:p>
    <w:p>
      <w:pPr>
        <w:ind w:right="2120"/>
        <w:spacing w:after="0" w:line="453" w:lineRule="auto"/>
        <w:rPr>
          <w:sz w:val="20"/>
          <w:szCs w:val="20"/>
          <w:color w:val="auto"/>
        </w:rPr>
      </w:pPr>
      <w:r>
        <w:rPr>
          <w:rFonts w:ascii="Times New Roman" w:cs="Times New Roman" w:eastAsia="Times New Roman" w:hAnsi="Times New Roman"/>
          <w:sz w:val="18"/>
          <w:szCs w:val="18"/>
          <w:color w:val="auto"/>
        </w:rPr>
        <w:t xml:space="preserve">The mattress fabrics segment manufactures, sources, and sells fabrics and mattress covers primarily to bedding manufacturers. </w:t>
      </w:r>
      <w:r>
        <w:rPr>
          <w:rFonts w:ascii="Times New Roman" w:cs="Times New Roman" w:eastAsia="Times New Roman" w:hAnsi="Times New Roman"/>
          <w:sz w:val="18"/>
          <w:szCs w:val="18"/>
          <w:i w:val="1"/>
          <w:iCs w:val="1"/>
          <w:color w:val="auto"/>
        </w:rPr>
        <w:t>Upholstery Fabrics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upholstery fabrics segment develops, manufactures, sources, and sells fabrics primarily to residential and commercial furniture manufacturers. In addition, this segment includes Read, which provides window treatments and sourcing of upholstery fabrics and other products, as well as measuring and installation services of Read’s products, to customers in the hospitality and commercial industries. Read also supplies soft goods such as decorative top sheets, coverlets, duvet covers, bed skirts, bolsters, and pillows.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Discontinued Operation – Home Accessories Segment</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disclosed in Note 3 of the consolidated financial statements, we sold our entire ownership interest in eLuxury on March 31, 2020, and consequently our home accessories segment was eliminated at such time. Additionally, the results of operations associated with our home accessories segment were excluded from our continuing operations and presented as a discontinued operation in our consolidated financial statements for fiscal year 2020.</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former home accessories segment was our finished products business that manufactured, sourced, and sold bedding accessories and home goods directly to consumers and businesses through global e-commerce, business-to-business, and other sales channels.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3 of the consolidated financial statements for detailed financial information of our former home accessories segment. A reconciliation is provided in Note 3 that contains detailed income statement information and is reconciled to net loss from discontinued operation presented in the Consolidated Statement of Net Loss for fiscal year 2020.</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 Geographic Concentration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denominated in U.S. dollars accounted for 90%, 91%, and 93% of total consolidated net sales in fiscal 2022, 2021, and 2020, respectively. International sales accounted for 31%, 27%, and 26% of net sales during fiscal 2022, 2021, and 2020, respectively, and are summarized by geographic area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2022</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2021</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2020</w:t>
            </w:r>
          </w:p>
        </w:tc>
      </w:tr>
      <w:tr>
        <w:trPr>
          <w:trHeight w:val="22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 (excluding USA) (1)</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39,256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32,925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27,637</w:t>
            </w:r>
          </w:p>
        </w:tc>
      </w:t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far east and asia (2)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43,015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43,764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36,470</w:t>
            </w: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 areas</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8,114</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5,558</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2,986</w:t>
            </w:r>
          </w:p>
        </w:tc>
      </w:tr>
      <w:tr>
        <w:trPr>
          <w:trHeight w:val="223"/>
        </w:trPr>
        <w:tc>
          <w:tcPr>
            <w:tcW w:w="6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90,385</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82,247</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67,093</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500" w:hanging="492"/>
        <w:spacing w:after="0"/>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amount, $33.5 million, $27.2 million, and $21.7 million are attributable to shipments to Mexico in fiscal 2022, 2021, and 2020, respectively.</w:t>
      </w:r>
    </w:p>
    <w:p>
      <w:pPr>
        <w:spacing w:after="0" w:line="198" w:lineRule="exact"/>
        <w:rPr>
          <w:rFonts w:ascii="Times New Roman" w:cs="Times New Roman" w:eastAsia="Times New Roman" w:hAnsi="Times New Roman"/>
          <w:sz w:val="18"/>
          <w:szCs w:val="18"/>
          <w:color w:val="auto"/>
        </w:rPr>
      </w:pPr>
    </w:p>
    <w:p>
      <w:pPr>
        <w:ind w:right="240" w:firstLine="8"/>
        <w:spacing w:after="0" w:line="452" w:lineRule="auto"/>
        <w:tabs>
          <w:tab w:leader="none" w:pos="49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amount $26.9 million, $28.1 million, and $21.4 million are attributable to shipments to China in fiscal 2022, 2021, and 2020, respectively. Sales attributed to individual countries are based upon the location that the company ships its products to for delivery to customers.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customer within the upholstery fabrics segment represented 13%, 13%, and 12% of consolidated net sales during fiscal 2022, 2021, and 2020, respectively. No customers within the upholstery fabrics segment accounted for greater than 10% of the consolidated net accounts receivable balance as of May 1, 2022, or May 2, 2021.</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customers within the mattress fabrics segment represented greater than 10% of consolidated net sales during fiscal 2022, 2021, or fiscal 2020. No customers within the mattress fabrics segment accounted for greater than 10% of the consolidated net accounts receivable balance as of May 1, 2022. One customer within the mattress fabrics segment accounted for 12% of the consolidated net accounts receivable balance as of May 2, 2021.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Workforce Concentration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hourly employees associated with our manufacturing facility located in Canada (approximately 10% of our workforce) are represented by a local, unaffiliated union. The collective bargaining agreement for these employees expires on February 1, 2023. We are not aware of any efforts to organize any more of our employees, and we believe our relations with our employees are good.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color w:val="auto"/>
        </w:rPr>
        <w:t>Financial Information</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evaluate the operating performance of our business segments based upon income (loss) from continuing operations before certain unallocated corporate expenses, asset impairment charges, restructuring credit, and other items that are not expected to occur on a regular basis. Cost of sales in each of our current business segments include costs to develop, manufacture, or source our products, including costs such as raw material and finished goods purchases, direct and indirect labor, overhead and incoming freight charges. Unallocated corporate expenses primarily represent compensation and benefits for certain senior executives and their support staff, all costs associated with being a public company, amortization of intangible assets, and other miscellaneous expenses. Segment assets include assets used in operations of each segment and primarily consist of accounts receivable, inventories, property, plant, and equipment, and right of use assets.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operations for our current operating segments are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i w:val="1"/>
                <w:iCs w:val="1"/>
                <w:color w:val="auto"/>
              </w:rPr>
              <w:t>2022</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2021</w:t>
            </w:r>
          </w:p>
        </w:tc>
        <w:tc>
          <w:tcPr>
            <w:tcW w:w="1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i w:val="1"/>
                <w:iCs w:val="1"/>
                <w:color w:val="auto"/>
              </w:rPr>
              <w:t>2020</w:t>
            </w: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 by segment: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upholstery fabrics</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142,680</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142,049</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124,754</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mattress fabrics</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152,159</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157,671</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131,412</w:t>
            </w:r>
          </w:p>
        </w:tc>
        <w:tc>
          <w:tcPr>
            <w:tcW w:w="0" w:type="dxa"/>
            <w:vAlign w:val="bottom"/>
          </w:tcPr>
          <w:p>
            <w:pPr>
              <w:spacing w:after="0"/>
              <w:rPr>
                <w:sz w:val="1"/>
                <w:szCs w:val="1"/>
                <w:color w:val="auto"/>
              </w:rPr>
            </w:pPr>
          </w:p>
        </w:tc>
      </w:tr>
      <w:tr>
        <w:trPr>
          <w:trHeight w:val="263"/>
        </w:trPr>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294,839</w:t>
            </w:r>
          </w:p>
        </w:tc>
        <w:tc>
          <w:tcPr>
            <w:tcW w:w="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299,720</w:t>
            </w:r>
          </w:p>
        </w:tc>
        <w:tc>
          <w:tcPr>
            <w:tcW w:w="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256,166</w:t>
            </w:r>
          </w:p>
        </w:tc>
        <w:tc>
          <w:tcPr>
            <w:tcW w:w="0" w:type="dxa"/>
            <w:vAlign w:val="bottom"/>
          </w:tcPr>
          <w:p>
            <w:pPr>
              <w:spacing w:after="0"/>
              <w:rPr>
                <w:sz w:val="1"/>
                <w:szCs w:val="1"/>
                <w:color w:val="auto"/>
              </w:rPr>
            </w:pPr>
          </w:p>
        </w:tc>
      </w:tr>
      <w:tr>
        <w:trPr>
          <w:trHeight w:val="21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 from continuing operations by segment: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upholstery fabrics</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19,635</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25,968</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24,220</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mattress fabrics</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16,458</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23,864</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16,278</w:t>
            </w:r>
          </w:p>
        </w:tc>
        <w:tc>
          <w:tcPr>
            <w:tcW w:w="0" w:type="dxa"/>
            <w:vAlign w:val="bottom"/>
          </w:tcPr>
          <w:p>
            <w:pPr>
              <w:spacing w:after="0"/>
              <w:rPr>
                <w:sz w:val="1"/>
                <w:szCs w:val="1"/>
                <w:color w:val="auto"/>
              </w:rPr>
            </w:pPr>
          </w:p>
        </w:tc>
      </w:tr>
      <w:tr>
        <w:trPr>
          <w:trHeight w:val="263"/>
        </w:trPr>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gross profit from continuing operations</w:t>
            </w:r>
          </w:p>
        </w:tc>
        <w:tc>
          <w:tcPr>
            <w:tcW w:w="1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36,093</w:t>
            </w:r>
          </w:p>
        </w:tc>
        <w:tc>
          <w:tcPr>
            <w:tcW w:w="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49,832</w:t>
            </w:r>
          </w:p>
        </w:tc>
        <w:tc>
          <w:tcPr>
            <w:tcW w:w="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40,498</w:t>
            </w:r>
          </w:p>
        </w:tc>
        <w:tc>
          <w:tcPr>
            <w:tcW w:w="0" w:type="dxa"/>
            <w:vAlign w:val="bottom"/>
          </w:tcPr>
          <w:p>
            <w:pPr>
              <w:spacing w:after="0"/>
              <w:rPr>
                <w:sz w:val="1"/>
                <w:szCs w:val="1"/>
                <w:color w:val="auto"/>
              </w:rPr>
            </w:pPr>
          </w:p>
        </w:tc>
      </w:tr>
      <w:tr>
        <w:trPr>
          <w:trHeight w:val="21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 by segment: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upholstery fabrics</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14,009</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14,092</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14,353</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mattress fabrics</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12,246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12,066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11,354</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unallocated corporate</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9,160</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11,598</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8,717</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35,415</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37,756</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34,424</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upholstery fabrics</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5,626</w:t>
            </w:r>
          </w:p>
        </w:tc>
        <w:tc>
          <w:tcPr>
            <w:tcW w:w="4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11,876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9,867</w:t>
            </w: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mattress fabrics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4,212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11,798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4,924</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(9,160)</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(11,598)</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(8,717)</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income from continuing operations</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12,076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6,074</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asset impairments (1)</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(13,712)</w:t>
            </w: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restructuring credit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6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(loss) from continuing operations</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678</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12,076</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gain on bargain purchase (2)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23"/>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income before income taxes from continuing operations</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10,880</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500" w:hanging="492"/>
        <w:spacing w:after="0" w:line="266"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2020, we incurred asset impairment charges totaling $13.7 million, of which $13.6 million and $143,000 pertained to goodwill and a tradename associated with Read, respectively. Of this $13.7 million, $11.5 million and $2.2 million pertained to the mattress fabrics segment and upholstery fabrics segment, respectively.</w:t>
      </w:r>
    </w:p>
    <w:p>
      <w:pPr>
        <w:spacing w:after="0" w:line="135"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February 1, 2021, we acquired the remaining fifty percent ownership interest in our former unconsolidated joint venture located in Haiti. Pursuant to this transaction, we are now the sole owner with full control over this operation. The gain on bargain purchase represents the net assets acquired from this transaction that exceeded the fair value of our previously held 50% ownership interest of $1.7 million and the $954,000 total purchase price for the remaining 50% ownership interest.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Balance sheet information for our current operating segments follow:</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52"/>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center"/>
              <w:ind w:right="190"/>
              <w:spacing w:after="0"/>
              <w:rPr>
                <w:sz w:val="20"/>
                <w:szCs w:val="20"/>
                <w:color w:val="auto"/>
              </w:rPr>
            </w:pPr>
            <w:r>
              <w:rPr>
                <w:rFonts w:ascii="Times New Roman" w:cs="Times New Roman" w:eastAsia="Times New Roman" w:hAnsi="Times New Roman"/>
                <w:sz w:val="18"/>
                <w:szCs w:val="18"/>
                <w:i w:val="1"/>
                <w:iCs w:val="1"/>
                <w:color w:val="auto"/>
                <w:w w:val="99"/>
              </w:rPr>
              <w:t>May 1,</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May 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6"/>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2022</w:t>
            </w:r>
          </w:p>
        </w:tc>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6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i w:val="1"/>
                <w:iCs w:val="1"/>
                <w:color w:val="auto"/>
                <w:w w:val="94"/>
              </w:rPr>
              <w:t>2021</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r>
      <w:tr>
        <w:trPr>
          <w:trHeight w:val="22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mattress fabrics</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9"/>
        </w:trPr>
        <w:tc>
          <w:tcPr>
            <w:tcW w:w="65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000" w:type="dxa"/>
            <w:vAlign w:val="bottom"/>
            <w:gridSpan w:val="4"/>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9,865</w:t>
            </w:r>
          </w:p>
        </w:tc>
        <w:tc>
          <w:tcPr>
            <w:tcW w:w="840" w:type="dxa"/>
            <w:vAlign w:val="bottom"/>
            <w:gridSpan w:val="3"/>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29"/>
        </w:trPr>
        <w:tc>
          <w:tcPr>
            <w:tcW w:w="6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39,028</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65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38,731</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41,694</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right of use assets</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52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mattress fabrics assets</w:t>
            </w:r>
          </w:p>
        </w:tc>
        <w:tc>
          <w:tcPr>
            <w:tcW w:w="1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91,093</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96,446</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r>
      <w:tr>
        <w:trPr>
          <w:trHeight w:val="223"/>
        </w:trPr>
        <w:tc>
          <w:tcPr>
            <w:tcW w:w="6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upholstery fabrics</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29"/>
        </w:trPr>
        <w:tc>
          <w:tcPr>
            <w:tcW w:w="6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12,361</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9"/>
        </w:trPr>
        <w:tc>
          <w:tcPr>
            <w:tcW w:w="65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27,529</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6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5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right of use assets</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8,124</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652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upholstery fabrics assets</w:t>
            </w:r>
          </w:p>
        </w:tc>
        <w:tc>
          <w:tcPr>
            <w:tcW w:w="14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50,044</w:t>
            </w:r>
          </w:p>
        </w:tc>
        <w:tc>
          <w:tcPr>
            <w:tcW w:w="60" w:type="dxa"/>
            <w:vAlign w:val="bottom"/>
            <w:tcBorders>
              <w:top w:val="single" w:sz="8" w:color="auto"/>
              <w:bottom w:val="single" w:sz="8" w:color="auto"/>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50,609</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r>
      <w:tr>
        <w:trPr>
          <w:trHeight w:val="223"/>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assets</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141,137</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147,055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non-segment assets</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29"/>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14,550</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short-term investments – available for sale</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29"/>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investments – held-to-maturity</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income taxes receivable</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29"/>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plant, and equipment (9)</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right of use assets (10)</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long-term investments - held-to-maturity</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6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long-term investments - rabbi trust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9,357</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60" w:type="dxa"/>
            <w:vAlign w:val="bottom"/>
            <w:tcBorders>
              <w:bottom w:val="single" w:sz="8" w:color="auto"/>
            </w:tcBorders>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tcBorders>
              <w:bottom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23"/>
        </w:trPr>
        <w:tc>
          <w:tcPr>
            <w:tcW w:w="6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177,563</w:t>
            </w:r>
          </w:p>
        </w:tc>
        <w:tc>
          <w:tcPr>
            <w:tcW w:w="6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214,080</w:t>
            </w:r>
          </w:p>
        </w:tc>
        <w:tc>
          <w:tcPr>
            <w:tcW w:w="1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53"/>
        </w:trPr>
        <w:tc>
          <w:tcPr>
            <w:tcW w:w="6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i w:val="1"/>
                <w:iCs w:val="1"/>
                <w:color w:val="auto"/>
              </w:rPr>
              <w:t>2022</w:t>
            </w:r>
          </w:p>
        </w:tc>
        <w:tc>
          <w:tcPr>
            <w:tcW w:w="560" w:type="dxa"/>
            <w:vAlign w:val="bottom"/>
          </w:tcPr>
          <w:p>
            <w:pPr>
              <w:spacing w:after="0"/>
              <w:rPr>
                <w:sz w:val="24"/>
                <w:szCs w:val="24"/>
                <w:color w:val="auto"/>
              </w:rPr>
            </w:pPr>
          </w:p>
        </w:tc>
        <w:tc>
          <w:tcPr>
            <w:tcW w:w="12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i w:val="1"/>
                <w:iCs w:val="1"/>
                <w:color w:val="auto"/>
              </w:rPr>
              <w:t>2021</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2020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23"/>
        </w:trPr>
        <w:tc>
          <w:tcPr>
            <w:tcW w:w="65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 (11):</w:t>
            </w:r>
          </w:p>
        </w:tc>
        <w:tc>
          <w:tcPr>
            <w:tcW w:w="1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mattress fabrics</w:t>
            </w:r>
          </w:p>
        </w:tc>
        <w:tc>
          <w:tcPr>
            <w:tcW w:w="6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3,383</w:t>
            </w:r>
          </w:p>
        </w:tc>
        <w:tc>
          <w:tcPr>
            <w:tcW w:w="7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6,226</w:t>
            </w:r>
          </w:p>
        </w:tc>
        <w:tc>
          <w:tcPr>
            <w:tcW w:w="1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3,475</w:t>
            </w: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upholstery fabrics</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1,032</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348</w:t>
            </w: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 corporate</w:t>
            </w:r>
          </w:p>
        </w:tc>
        <w:tc>
          <w:tcPr>
            <w:tcW w:w="1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1,406</w:t>
            </w:r>
          </w:p>
        </w:tc>
        <w:tc>
          <w:tcPr>
            <w:tcW w:w="14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675</w:t>
            </w:r>
          </w:p>
        </w:tc>
      </w:tr>
      <w:tr>
        <w:trPr>
          <w:trHeight w:val="263"/>
        </w:trPr>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40" w:type="dxa"/>
            <w:vAlign w:val="bottom"/>
            <w:tcBorders>
              <w:bottom w:val="single" w:sz="8" w:color="CFF0FC"/>
            </w:tcBorders>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5,821</w:t>
            </w:r>
          </w:p>
        </w:tc>
        <w:tc>
          <w:tcPr>
            <w:tcW w:w="140" w:type="dxa"/>
            <w:vAlign w:val="bottom"/>
            <w:tcBorders>
              <w:bottom w:val="single" w:sz="8" w:color="CFF0FC"/>
            </w:tcBorders>
          </w:tcPr>
          <w:p>
            <w:pPr>
              <w:spacing w:after="0"/>
              <w:rPr>
                <w:sz w:val="22"/>
                <w:szCs w:val="22"/>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6,905</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4,633</w:t>
            </w:r>
          </w:p>
        </w:tc>
      </w:tr>
      <w:tr>
        <w:trPr>
          <w:trHeight w:val="210"/>
        </w:trPr>
        <w:tc>
          <w:tcPr>
            <w:tcW w:w="6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mattress fabrics</w:t>
            </w:r>
          </w:p>
        </w:tc>
        <w:tc>
          <w:tcPr>
            <w:tcW w:w="62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6,200</w:t>
            </w:r>
          </w:p>
        </w:tc>
        <w:tc>
          <w:tcPr>
            <w:tcW w:w="74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6,014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6,712</w:t>
            </w: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upholstery fabrics</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794</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832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765</w:t>
            </w:r>
          </w:p>
        </w:tc>
      </w:tr>
      <w:tr>
        <w:trPr>
          <w:trHeight w:val="23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discontinued operation</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350</w:t>
            </w: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1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6,994</w:t>
            </w: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6,846</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7,827</w:t>
            </w: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80" w:hanging="372"/>
        <w:spacing w:after="0" w:line="282"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$38.7 million as of May 1, 2022, represents property, plant, and equipment of $25.6 million, $12.4 million, and $757,000 located in the U.S., Canada, and Haiti, respectively.</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$41.7 million as of May 2, 2021, represents property, plant, and equipment of $28.8 million, $12.0 million, and $855,000 located in the U.S., Canada, and Haiti, respectively.</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$3.5 million as of May 1, 2022, represents right of use assets of $2.0 million, $1.2 million, and $291,000 located in Haiti, the U.S., and Canada, respectively.</w:t>
      </w:r>
    </w:p>
    <w:p>
      <w:pPr>
        <w:sectPr>
          <w:pgSz w:w="11900" w:h="16838" w:orient="portrait"/>
          <w:cols w:equalWidth="0" w:num="1">
            <w:col w:w="11240"/>
          </w:cols>
          <w:pgMar w:left="320" w:top="297" w:right="33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88" w:name="page89"/>
    <w:bookmarkEnd w:id="88"/>
    <w:p>
      <w:pPr>
        <w:ind w:left="380" w:hanging="372"/>
        <w:spacing w:after="0" w:line="282"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$4.3 million as of May 2, 2021, represents right of use assets of $2.4 million, $1.4 million, and $400,000 located in Haiti, the U.S., and Canada, respectively.</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 million as of May 1, 2022, represents property, plant, and equipment of $1.0 million, $756,000, and $255,000 located in the U.S., Haiti, and China, respectively.</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$1.5 million as of May 2, 2021, represents property, plant, and equipment of $1.1 million and $420,000 located in the U.S. and China, respectively.</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$8.1 million as of May 1, 2022, represents right of use assets of $3.7 million, $2.6 million, and $1.8 million located in China, Haiti, and the U.S., respectively.</w:t>
      </w:r>
    </w:p>
    <w:p>
      <w:pPr>
        <w:spacing w:after="0" w:line="17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$5.9 million as of May 2, 2021, represents right of use assets of $5.0 million and $952,000 located in China and the U.S., respectively.</w:t>
      </w:r>
    </w:p>
    <w:p>
      <w:pPr>
        <w:spacing w:after="0" w:line="238"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$941,000 as of May 1, 2022, and $814,000 as of May 2, 2021, represent property, plant, and equipment associated with unallocated corporate departments and corporate departments shared by both the mattress fabrics and upholstery fabrics segments located in the U.S.</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$4.0 million as of May 1, 2022, and $1.5 million as of May 2, 2021, represents right of use assets located in the U.S. associated with unallocated corporate departments and corporate departments shared by both the mattress fabrics and upholstery fabrics segments located in the U.S.</w:t>
      </w:r>
    </w:p>
    <w:p>
      <w:pPr>
        <w:spacing w:after="0" w:line="175" w:lineRule="exact"/>
        <w:rPr>
          <w:sz w:val="20"/>
          <w:szCs w:val="20"/>
          <w:color w:val="auto"/>
        </w:rPr>
      </w:pPr>
    </w:p>
    <w:p>
      <w:pPr>
        <w:ind w:left="500" w:right="20" w:hanging="499"/>
        <w:spacing w:after="0" w:line="282" w:lineRule="auto"/>
        <w:tabs>
          <w:tab w:leader="none" w:pos="480" w:val="left"/>
        </w:tabs>
        <w:rPr>
          <w:sz w:val="20"/>
          <w:szCs w:val="20"/>
          <w:color w:val="auto"/>
        </w:rPr>
      </w:pPr>
      <w:r>
        <w:rPr>
          <w:rFonts w:ascii="Times New Roman" w:cs="Times New Roman" w:eastAsia="Times New Roman" w:hAnsi="Times New Roman"/>
          <w:sz w:val="18"/>
          <w:szCs w:val="18"/>
          <w:color w:val="auto"/>
        </w:rPr>
        <w:t>(11)</w:t>
        <w:tab/>
        <w:t>Capital expenditure amounts are stated on an accrual basis. See the Consolidated Statement of Cash Flows for capital expenditure amounts on a cash basis.</w:t>
      </w:r>
    </w:p>
    <w:p>
      <w:pPr>
        <w:spacing w:after="0" w:line="171" w:lineRule="exact"/>
        <w:rPr>
          <w:sz w:val="20"/>
          <w:szCs w:val="20"/>
          <w:color w:val="auto"/>
        </w:rPr>
      </w:pPr>
    </w:p>
    <w:p>
      <w:pPr>
        <w:ind w:left="500" w:hanging="492"/>
        <w:spacing w:after="0"/>
        <w:tabs>
          <w:tab w:leader="none" w:pos="5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STATUTORY RESERVES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subsidiary located in China was required to transfer 10% of its net income, as determined in accordance with the People’s Republic of China (PRC) accounting rules and regulations, to a statutory surplus reserve fund until such reserve balance reached 50% of the company’s registered capital. As of May 1, 2022, the statutory surplus reserve fund represents the 50% registered capital requirement, and therefore, our subsidiary located in China is no longer required to transfer 10% of its net income in accordance with PRC accounting rules and regulations.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transfer to this reserve must be made before distributions of any dividend to shareholders. As of May 1, 2022, the company’s statutory surplus reserve was $4.4 million. The statutory surplus reserve fund is non-distributable other than during liquidation and can be used to fund previous years’ losses, if any. The statutory surplus reserve fund may be utilized for business expansion or converted into share capital by issuing new shares to existing shareholders in proportion to their shareholding or by increasing the par value of the shares currently held by them provided that the remaining reserve balance after such issue is not less than 25% of the registered capital.</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subsidiary located in China can transfer funds to the parent company, except for the statutory surplus reserve of $4.4 million, to assist with debt repayment, capital expenditures, and other expenses of the company’s business.</w:t>
      </w:r>
    </w:p>
    <w:p>
      <w:pPr>
        <w:spacing w:after="0" w:line="117" w:lineRule="exact"/>
        <w:rPr>
          <w:sz w:val="20"/>
          <w:szCs w:val="20"/>
          <w:color w:val="auto"/>
        </w:rPr>
      </w:pPr>
    </w:p>
    <w:p>
      <w:pPr>
        <w:ind w:left="500" w:hanging="492"/>
        <w:spacing w:after="0"/>
        <w:tabs>
          <w:tab w:leader="none" w:pos="5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 REPURCHASE PROGRAM</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our board of directors approved an authorization for us to acquire up to $5.0 million of our common stock. Under the common stock repurchase program, shares may be purchased in open market transactions, block trades, through plans established under the Securities Exchange Act Rule 10b5-1, or otherwise. The number and timing of share purchases are based on working capital requirements, market and general business conditions, and other factors, including alternative investment opportunities.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2022, we repurchased 121,688 shares of our common stock at a cost of $1.8 million. As a result, as of May 1, 2022, $3.2 million is available for additional repurchases of our common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2021, we did not repurchase any shares of our common stock.</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fiscal 2020, we repurchased 142,496 shares of our common stock at a cost of $1.7 million pursuant to the authorization approved by our board of directors on September 5, 2019.</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9" w:name="page90"/>
    <w:bookmarkEnd w:id="89"/>
    <w:p>
      <w:pPr>
        <w:ind w:left="500" w:hanging="492"/>
        <w:spacing w:after="0"/>
        <w:tabs>
          <w:tab w:leader="none" w:pos="5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 PROGRAM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29, 2022, our board of directors announced the decision to suspend the company’s quarterly cash dividend. Considering the current and expected macroeconomic conditions, we believe that preserving capital and managing our liquidity is in the company’s best interest to support future growth and the long-term interests of our shareholders.</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fiscal 2022, dividend payments totaled $5.5 million, which represented quarterly dividend payments ranging from $0.11 per share to $0.115 per share.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2021, dividend payments totaled $5.3 million, which represented quarterly dividend payments ranging from $0.105 per share to $0.11 per share.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2020, dividend payments totaled $5.1 million, which represented quarterly dividend payments ranging from $0.10 per share to $0.105 per share.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ACCOUNTING AND FINANCIAL DISCLOSURE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years ended May 1, 2022, there were no disagreements on any matters of accounting principles or practices or financial statement disclosures.</w:t>
      </w:r>
    </w:p>
    <w:p>
      <w:pPr>
        <w:spacing w:after="0" w:line="15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conducted an evaluation of the effectiveness of our disclosure controls and procedures as of May 1, 2022. This evaluation was conducted under the supervision and with the participation of management, including our Executive Chairman, Chief Executive Officer, and Chief Financial Officer. Based upon that evaluation, we have concluded that these disclosure controls and procedures were effective, in all material respects, to ensure that information required to be disclosed in the reports filed by us and submitted under the Securities Exchange Act of 1934, as amended (the “Exchange Act”) is recorded, processed, summarized, and reported as and when required. Further, we concluded that our disclosure controls and procedures have been designed to ensure that information required to be disclosed in reports filed by us under the Exchange Act is accumulated and communicated to management, including our Executive Chairman, Chief Executive Officer, and Chief Financial Officer, in a manner to allow timely decisions regarding the required disclosure.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a process to provide reasonable assurance regarding the reliability of our financial reporting for external purposes in accordance with generally accepted accounting principles. Internal control over financial reporting includes: (1) maintaining records that in reasonable detail accurately and fairly reflect the transactions and disposition of assets; (2) providing reasonable assurance that the transactions are recorded as necessary for preparation of financial statements, and that receipts and expenditures are made in accordance with authorizations of management and directors; and (3) providing reasonable assurance that unauthorized acquisition, use, disposition of assets that could have a material effect on financial statements would be prevented or detected on a timely basis. Because of its inherent limitations, internal control over financial reporting is not intended to provide absolute assurance that a misstatement of financial statements would be prevented or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based on the criteria set forth by the Committee of Sponsoring Organizations of the Treadway Commission in the 2013 Internal Control – Integrated Framework. Based on this assessment, management concluded that our internal control over financial reporting was effective as of May 1, 2022.</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Grant Thornton LLP, an independent registered public accounting firm, has audited the consolidated financial statements as of and for the years ended May 1, 2022, May 2, 2021, and May 3, 2020, and has audited the company’s effectiveness of internal controls over financial reporting as of May 1, 2022, as stated in their reports, which are included in Item 8 and Item 9A hereof.</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May 1, 2022, there were no changes in our internal control over financial reporting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Culp,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Culp, Inc. (a North Carolina corporation) and subsidiaries (“the Company”) as of May 1, 2022,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May 1, 2022,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COSO.</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May 1, 2022, and our report dated July 15, 2022, expressed an unqualified opinion on those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(“Management Report”).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15, 2022</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ind w:left="418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jc w:val="right"/>
        <w:ind w:right="379"/>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7" w:right="1440"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with respect to executive officers and directors of the company is included in the company’s definitive Proxy Statement to be filed within 120 days after the end of the company’s fiscal year pursuant to Regulation 14A of the Securities and Exchange Commission, under the captions “Nominees, Directors, and Executive Officers,” “Delinquent Section 16(a) Reports,” “Corporate Governance – Code of Business Conduct and Ethics,” and “Board Committees and Attendance – Audit Committee,” which information is herein incorporated by reference.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Information with respect to executive compensation is included in the company’s definitive Proxy Statement to be filed within 120 days after the end of the company’s fiscal year pursuant to Regulation 14A of the Securities and Exchange Commission, under the captions “Executive Compensation” and “Compensation Committee Interlocks and Insider Participation,” which information is herein incorporated by reference.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AND RELATED STOCKHOLDER MATTERS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with respect to the security ownership of certain beneficial owners and management is included in the company’s definitive Proxy Statement to be filed within 120 days after the end of the company’s fiscal year pursuant to Regulation 14A of the Securities and Exchange Commission, under the captions “Executive Compensation Plan Information,” “Beneficial Owners of 5% or More of Our Common Stock,” and “Nominees, Directors, and Executive Officers,” which information is herein incorporated by reference.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as of the end of fiscal 2022 regarding shares of our common stock that may be issued upon the exercise of equity awards previously granted and currently outstanding equity awards under the company’s equity incentive and stock option plans, as well as the number of shares available for the grant of equity awards that had not been granted as of that date.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Number of securities</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remaining available</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 future issuance</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securities to be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under equity</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issued upon</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Weighted-average</w:t>
            </w:r>
          </w:p>
        </w:tc>
        <w:tc>
          <w:tcPr>
            <w:tcW w:w="23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compensation plan</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exercise of</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exercise price of</w:t>
            </w:r>
          </w:p>
        </w:tc>
        <w:tc>
          <w:tcPr>
            <w:tcW w:w="2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(excluding securities</w:t>
            </w: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outstanding options,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outstanding options,</w:t>
            </w:r>
          </w:p>
        </w:tc>
        <w:tc>
          <w:tcPr>
            <w:tcW w:w="2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reflected in</w:t>
            </w:r>
          </w:p>
        </w:tc>
      </w:tr>
      <w:tr>
        <w:trPr>
          <w:trHeight w:val="234"/>
        </w:trPr>
        <w:tc>
          <w:tcPr>
            <w:tcW w:w="4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23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column (a))</w:t>
            </w:r>
          </w:p>
        </w:tc>
      </w:tr>
      <w:tr>
        <w:trPr>
          <w:trHeight w:val="223"/>
        </w:trPr>
        <w:tc>
          <w:tcPr>
            <w:tcW w:w="416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Plan Category</w:t>
            </w:r>
          </w:p>
        </w:tc>
        <w:tc>
          <w:tcPr>
            <w:tcW w:w="1900" w:type="dxa"/>
            <w:vAlign w:val="bottom"/>
            <w:tcBorders>
              <w:top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9"/>
              </w:rPr>
              <w:t>(a)</w:t>
            </w: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tcPr>
          <w:p>
            <w:pPr>
              <w:spacing w:after="0"/>
              <w:rPr>
                <w:sz w:val="19"/>
                <w:szCs w:val="19"/>
                <w:color w:val="auto"/>
              </w:rPr>
            </w:pPr>
          </w:p>
        </w:tc>
        <w:tc>
          <w:tcPr>
            <w:tcW w:w="230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(c)</w:t>
            </w:r>
          </w:p>
        </w:tc>
      </w:tr>
      <w:tr>
        <w:trPr>
          <w:trHeight w:val="205"/>
        </w:trPr>
        <w:tc>
          <w:tcPr>
            <w:tcW w:w="404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20" w:type="dxa"/>
            <w:vAlign w:val="bottom"/>
            <w:tcBorders>
              <w:top w:val="single" w:sz="8" w:color="CFF0FC"/>
            </w:tcBorders>
            <w:shd w:val="clear" w:color="auto" w:fill="CFF0FC"/>
          </w:tcPr>
          <w:p>
            <w:pPr>
              <w:spacing w:after="0"/>
              <w:rPr>
                <w:sz w:val="17"/>
                <w:szCs w:val="17"/>
                <w:color w:val="auto"/>
              </w:rPr>
            </w:pPr>
          </w:p>
        </w:tc>
        <w:tc>
          <w:tcPr>
            <w:tcW w:w="190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20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300" w:type="dxa"/>
            <w:vAlign w:val="bottom"/>
            <w:tcBorders>
              <w:top w:val="single" w:sz="8" w:color="auto"/>
            </w:tcBorders>
            <w:shd w:val="clear" w:color="auto" w:fill="CFF0FC"/>
          </w:tcPr>
          <w:p>
            <w:pPr>
              <w:spacing w:after="0"/>
              <w:rPr>
                <w:sz w:val="17"/>
                <w:szCs w:val="17"/>
                <w:color w:val="auto"/>
              </w:rPr>
            </w:pPr>
          </w:p>
        </w:tc>
      </w:tr>
      <w:tr>
        <w:trPr>
          <w:trHeight w:val="234"/>
        </w:trPr>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holders</w:t>
            </w:r>
          </w:p>
        </w:tc>
        <w:tc>
          <w:tcPr>
            <w:tcW w:w="1900" w:type="dxa"/>
            <w:vAlign w:val="bottom"/>
            <w:shd w:val="clear" w:color="auto" w:fill="CFF0FC"/>
          </w:tcPr>
          <w:p>
            <w:pPr>
              <w:spacing w:after="0"/>
              <w:rPr>
                <w:sz w:val="20"/>
                <w:szCs w:val="20"/>
                <w:color w:val="auto"/>
              </w:rPr>
            </w:pPr>
          </w:p>
        </w:tc>
        <w:tc>
          <w:tcPr>
            <w:tcW w:w="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FF0FC"/>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577,349</w:t>
            </w:r>
          </w:p>
        </w:tc>
      </w:tr>
      <w:tr>
        <w:trPr>
          <w:trHeight w:val="211"/>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34"/>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security holders</w:t>
            </w:r>
          </w:p>
        </w:tc>
        <w:tc>
          <w:tcPr>
            <w:tcW w:w="1900" w:type="dxa"/>
            <w:vAlign w:val="bottom"/>
          </w:tcPr>
          <w:p>
            <w:pPr>
              <w:spacing w:after="0"/>
              <w:rPr>
                <w:sz w:val="20"/>
                <w:szCs w:val="20"/>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6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top w:val="single" w:sz="8" w:color="auto"/>
              <w:bottom w:val="single" w:sz="8" w:color="auto"/>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tcBorders>
              <w:top w:val="single" w:sz="8" w:color="auto"/>
              <w:bottom w:val="single" w:sz="8" w:color="auto"/>
            </w:tcBorders>
            <w:shd w:val="clear" w:color="auto" w:fill="CFF0FC"/>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3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577,349</w:t>
            </w: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with respect to certain relationships and related transactions is included in the company’s definitive Proxy Statement to be filed within 120 days after the end of the company’s fiscal year pursuant to Regulation 14A of the Securities and Exchange Commission, under the captions “Corporate Governance – Director Independence” and “Certain Relationships and Related Transactions,” which information is herein incorporated by reference.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Information with respect to accountants fees and services is included in the company’s definitive Proxy Statement to be filed within 120 days after the end of the company’s fiscal year pursuant to Regulation 14A of the Securities and Exchange Commission, under the caption “Fees Paid to Independent Auditors,” which information is herein incorporated by reference.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80" w:type="dxa"/>
            <w:vAlign w:val="bottom"/>
            <w:gridSpan w:val="5"/>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1660" w:type="dxa"/>
            <w:vAlign w:val="bottom"/>
          </w:tcPr>
          <w:p>
            <w:pPr>
              <w:spacing w:after="0"/>
              <w:rPr>
                <w:sz w:val="20"/>
                <w:szCs w:val="20"/>
                <w:color w:val="auto"/>
              </w:rPr>
            </w:pPr>
          </w:p>
        </w:tc>
      </w:tr>
      <w:tr>
        <w:trPr>
          <w:trHeight w:val="432"/>
        </w:trPr>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760" w:type="dxa"/>
            <w:vAlign w:val="bottom"/>
            <w:gridSpan w:val="8"/>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1660" w:type="dxa"/>
            <w:vAlign w:val="bottom"/>
          </w:tcPr>
          <w:p>
            <w:pPr>
              <w:spacing w:after="0"/>
              <w:rPr>
                <w:sz w:val="24"/>
                <w:szCs w:val="24"/>
                <w:color w:val="auto"/>
              </w:rPr>
            </w:pPr>
          </w:p>
        </w:tc>
      </w:tr>
      <w:tr>
        <w:trPr>
          <w:trHeight w:val="459"/>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9160" w:type="dxa"/>
            <w:vAlign w:val="bottom"/>
            <w:gridSpan w:val="9"/>
          </w:tcPr>
          <w:p>
            <w:pPr>
              <w:ind w:left="80"/>
              <w:spacing w:after="0"/>
              <w:rPr>
                <w:sz w:val="20"/>
                <w:szCs w:val="20"/>
                <w:color w:val="auto"/>
              </w:rPr>
            </w:pPr>
            <w:r>
              <w:rPr>
                <w:rFonts w:ascii="Times New Roman" w:cs="Times New Roman" w:eastAsia="Times New Roman" w:hAnsi="Times New Roman"/>
                <w:sz w:val="18"/>
                <w:szCs w:val="18"/>
                <w:b w:val="1"/>
                <w:bCs w:val="1"/>
                <w:color w:val="auto"/>
              </w:rPr>
              <w:t>DOCUMENTS FILED AS PART OF THIS REPORT:</w:t>
            </w:r>
          </w:p>
        </w:tc>
        <w:tc>
          <w:tcPr>
            <w:tcW w:w="1660" w:type="dxa"/>
            <w:vAlign w:val="bottom"/>
          </w:tcPr>
          <w:p>
            <w:pPr>
              <w:spacing w:after="0"/>
              <w:rPr>
                <w:sz w:val="24"/>
                <w:szCs w:val="24"/>
                <w:color w:val="auto"/>
              </w:rPr>
            </w:pPr>
          </w:p>
        </w:tc>
      </w:tr>
      <w:tr>
        <w:trPr>
          <w:trHeight w:val="391"/>
        </w:trPr>
        <w:tc>
          <w:tcPr>
            <w:tcW w:w="420" w:type="dxa"/>
            <w:vAlign w:val="bottom"/>
          </w:tcPr>
          <w:p>
            <w:pPr>
              <w:spacing w:after="0"/>
              <w:rPr>
                <w:sz w:val="24"/>
                <w:szCs w:val="24"/>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1.</w:t>
            </w:r>
          </w:p>
        </w:tc>
        <w:tc>
          <w:tcPr>
            <w:tcW w:w="8760" w:type="dxa"/>
            <w:vAlign w:val="bottom"/>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660" w:type="dxa"/>
            <w:vAlign w:val="bottom"/>
          </w:tcPr>
          <w:p>
            <w:pPr>
              <w:spacing w:after="0"/>
              <w:rPr>
                <w:sz w:val="24"/>
                <w:szCs w:val="24"/>
                <w:color w:val="auto"/>
              </w:rPr>
            </w:pPr>
          </w:p>
        </w:tc>
      </w:tr>
      <w:tr>
        <w:trPr>
          <w:trHeight w:val="392"/>
        </w:trPr>
        <w:tc>
          <w:tcPr>
            <w:tcW w:w="95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consolidated financial statements of Culp, Inc. and its subsidiaries are filed as part of this report.</w:t>
            </w:r>
          </w:p>
        </w:tc>
        <w:tc>
          <w:tcPr>
            <w:tcW w:w="1660" w:type="dxa"/>
            <w:vAlign w:val="bottom"/>
          </w:tcPr>
          <w:p>
            <w:pPr>
              <w:spacing w:after="0"/>
              <w:rPr>
                <w:sz w:val="24"/>
                <w:szCs w:val="24"/>
                <w:color w:val="auto"/>
              </w:rPr>
            </w:pPr>
          </w:p>
        </w:tc>
      </w:tr>
      <w:tr>
        <w:trPr>
          <w:trHeight w:val="441"/>
        </w:trPr>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of Annual</w:t>
            </w:r>
          </w:p>
        </w:tc>
      </w:tr>
      <w:tr>
        <w:trPr>
          <w:trHeight w:val="216"/>
        </w:trPr>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Report on</w:t>
            </w:r>
          </w:p>
        </w:tc>
      </w:t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4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Form 10-K</w:t>
            </w:r>
          </w:p>
        </w:tc>
      </w:tr>
      <w:tr>
        <w:trPr>
          <w:trHeight w:val="392"/>
        </w:trPr>
        <w:tc>
          <w:tcPr>
            <w:tcW w:w="95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Number 248)</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3160" w:type="dxa"/>
            <w:vAlign w:val="bottom"/>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25"/>
        </w:trPr>
        <w:tc>
          <w:tcPr>
            <w:tcW w:w="95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Consolidated Balance Sheets – May 1, 2022, and May 2, 2021</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3160" w:type="dxa"/>
            <w:vAlign w:val="bottom"/>
            <w:gridSpan w:val="3"/>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26"/>
        </w:trPr>
        <w:tc>
          <w:tcPr>
            <w:tcW w:w="81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Consolidated Statements of Net (Loss) Income - for the years ended May 1, 2022, May 2, 2021, and May 3, 2020</w:t>
            </w:r>
          </w:p>
        </w:tc>
        <w:tc>
          <w:tcPr>
            <w:tcW w:w="1400" w:type="dxa"/>
            <w:vAlign w:val="bottom"/>
            <w:gridSpan w:val="3"/>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426"/>
        </w:trPr>
        <w:tc>
          <w:tcPr>
            <w:tcW w:w="95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(Loss) Income - for the years ended May 1, 2022, May 2, 2021, and May 3, 2020</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26"/>
        </w:trPr>
        <w:tc>
          <w:tcPr>
            <w:tcW w:w="904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Consolidated Statements of Shareholders’ Equity – for the years ended May 1, 2022, May 2, 2021, and May 3, 2020</w:t>
            </w:r>
          </w:p>
        </w:tc>
        <w:tc>
          <w:tcPr>
            <w:tcW w:w="5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26"/>
        </w:trPr>
        <w:tc>
          <w:tcPr>
            <w:tcW w:w="838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Cash Flows – for the years ended May 1, 2022, May 2, 2021, and May 3, 2020</w:t>
            </w:r>
          </w:p>
        </w:tc>
        <w:tc>
          <w:tcPr>
            <w:tcW w:w="1200" w:type="dxa"/>
            <w:vAlign w:val="bottom"/>
            <w:gridSpan w:val="2"/>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25"/>
        </w:trPr>
        <w:tc>
          <w:tcPr>
            <w:tcW w:w="31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4540" w:type="dxa"/>
            <w:vAlign w:val="bottom"/>
            <w:tcBorders>
              <w:top w:val="single" w:sz="8" w:color="0000EE"/>
            </w:tcBorders>
            <w:gridSpan w:val="3"/>
          </w:tcPr>
          <w:p>
            <w:pPr>
              <w:spacing w:after="0"/>
              <w:rPr>
                <w:sz w:val="24"/>
                <w:szCs w:val="24"/>
                <w:color w:val="auto"/>
              </w:rPr>
            </w:pPr>
          </w:p>
        </w:tc>
        <w:tc>
          <w:tcPr>
            <w:tcW w:w="1880" w:type="dxa"/>
            <w:vAlign w:val="bottom"/>
            <w:gridSpan w:val="4"/>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bl>
    <w:p>
      <w:pPr>
        <w:spacing w:after="0" w:line="248" w:lineRule="exact"/>
        <w:rPr>
          <w:sz w:val="20"/>
          <w:szCs w:val="20"/>
          <w:color w:val="auto"/>
        </w:rPr>
      </w:pPr>
    </w:p>
    <w:p>
      <w:pPr>
        <w:ind w:left="1000" w:hanging="493"/>
        <w:spacing w:after="0"/>
        <w:tabs>
          <w:tab w:leader="none" w:pos="10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are omitted because they are not applicable, or not required, or because the required information is included in the consolidated financial statements or notes thereto.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ind w:left="1000" w:hanging="493"/>
        <w:spacing w:after="0"/>
        <w:tabs>
          <w:tab w:leader="none" w:pos="10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exhibits are attached at the end of this report or incorporated by reference herein. Management contracts, compensatory plans, and arrangements are marked with an asterisk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4"/>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3(i)</w:t>
              </w:r>
            </w:hyperlink>
          </w:p>
        </w:tc>
        <w:tc>
          <w:tcPr>
            <w:tcW w:w="10060" w:type="dxa"/>
            <w:vAlign w:val="bottom"/>
            <w:gridSpan w:val="23"/>
          </w:tcPr>
          <w:p>
            <w:pPr>
              <w:spacing w:after="0"/>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Articles of Incorporation of the company, as amended, were filed as Exhibit 3(i) to the company’s Form 10-Q for the quarter ended July 28,</w:t>
              </w:r>
            </w:hyperlink>
          </w:p>
        </w:tc>
      </w:tr>
      <w:tr>
        <w:trPr>
          <w:trHeight w:val="196"/>
        </w:trPr>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1006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2002, filed September 11, 2002 (Commission File No. 001-12597), and are incorporated herein by reference.</w:t>
              </w:r>
            </w:hyperlink>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0"/>
              </w:rPr>
            </w:pPr>
            <w:hyperlink r:id="rId119">
              <w:r>
                <w:rPr>
                  <w:rFonts w:ascii="Times New Roman" w:cs="Times New Roman" w:eastAsia="Times New Roman" w:hAnsi="Times New Roman"/>
                  <w:sz w:val="18"/>
                  <w:szCs w:val="18"/>
                  <w:color w:val="0000EE"/>
                  <w:w w:val="90"/>
                </w:rPr>
                <w:t>3(ii)</w:t>
              </w:r>
            </w:hyperlink>
          </w:p>
        </w:tc>
        <w:tc>
          <w:tcPr>
            <w:tcW w:w="820" w:type="dxa"/>
            <w:vAlign w:val="bottom"/>
          </w:tcPr>
          <w:p>
            <w:pPr>
              <w:spacing w:after="0"/>
              <w:rPr>
                <w:sz w:val="17"/>
                <w:szCs w:val="17"/>
                <w:color w:val="auto"/>
              </w:rPr>
            </w:pPr>
          </w:p>
        </w:tc>
        <w:tc>
          <w:tcPr>
            <w:tcW w:w="99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Restated and Amended Bylaws of the company, as amended July 10, 2019, were filed as Exhibit 3(ii) to the company’s Form 10-K for the</w:t>
              </w:r>
            </w:hyperlink>
          </w:p>
        </w:tc>
        <w:tc>
          <w:tcPr>
            <w:tcW w:w="100" w:type="dxa"/>
            <w:vAlign w:val="bottom"/>
            <w:gridSpan w:val="2"/>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60" w:type="dxa"/>
            <w:vAlign w:val="bottom"/>
            <w:gridSpan w:val="23"/>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year ended April 28, 2019, filed July 12, 2019 (Commission File No. 001-12597), and are incorporated herein by reference.</w:t>
              </w:r>
            </w:hyperlink>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gridSpan w:val="4"/>
          </w:tcPr>
          <w:p>
            <w:pPr>
              <w:ind w:left="100"/>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10060" w:type="dxa"/>
            <w:vAlign w:val="bottom"/>
            <w:gridSpan w:val="23"/>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Description of Capital Stock of the company was filed as Exhibit 4.1 to the company’s Form 10-K for the year ended May 3, 2020, filed</w:t>
              </w:r>
            </w:hyperlink>
          </w:p>
        </w:tc>
      </w:tr>
      <w:tr>
        <w:trPr>
          <w:trHeight w:val="196"/>
        </w:trPr>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64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July 17, 2020 (Commission File No. 001-12597), and is incorporated herein by reference.</w:t>
              </w:r>
            </w:hyperlink>
          </w:p>
        </w:tc>
        <w:tc>
          <w:tcPr>
            <w:tcW w:w="3360" w:type="dxa"/>
            <w:vAlign w:val="bottom"/>
            <w:tcBorders>
              <w:top w:val="single" w:sz="8" w:color="0000EE"/>
            </w:tcBorders>
            <w:gridSpan w:val="9"/>
          </w:tcPr>
          <w:p>
            <w:pPr>
              <w:spacing w:after="0"/>
              <w:rPr>
                <w:sz w:val="17"/>
                <w:szCs w:val="17"/>
                <w:color w:val="auto"/>
              </w:rPr>
            </w:pPr>
          </w:p>
        </w:tc>
        <w:tc>
          <w:tcPr>
            <w:tcW w:w="240" w:type="dxa"/>
            <w:vAlign w:val="bottom"/>
            <w:gridSpan w:val="8"/>
          </w:tcPr>
          <w:p>
            <w:pPr>
              <w:spacing w:after="0"/>
              <w:rPr>
                <w:sz w:val="17"/>
                <w:szCs w:val="17"/>
                <w:color w:val="auto"/>
              </w:rPr>
            </w:pPr>
          </w:p>
        </w:tc>
      </w:tr>
      <w:tr>
        <w:trPr>
          <w:trHeight w:val="196"/>
        </w:trPr>
        <w:tc>
          <w:tcPr>
            <w:tcW w:w="1140" w:type="dxa"/>
            <w:vAlign w:val="bottom"/>
            <w:gridSpan w:val="4"/>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10060" w:type="dxa"/>
            <w:vAlign w:val="bottom"/>
            <w:gridSpan w:val="23"/>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Amended and Restated Credit Agreement by and between Culp, Inc. and Wells Fargo Bank, N.A., dated June 24, 2022, was filed as exhibit</w:t>
              </w:r>
            </w:hyperlink>
          </w:p>
        </w:tc>
      </w:tr>
      <w:tr>
        <w:trPr>
          <w:trHeight w:val="196"/>
        </w:trPr>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92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company’s Form 8-K filed June 29, 2022 (Commission File no. 001-12597), and is incorporated herein by reference.</w:t>
              </w:r>
            </w:hyperlink>
          </w:p>
        </w:tc>
        <w:tc>
          <w:tcPr>
            <w:tcW w:w="840" w:type="dxa"/>
            <w:vAlign w:val="bottom"/>
            <w:tcBorders>
              <w:top w:val="single" w:sz="8" w:color="0000EE"/>
            </w:tcBorders>
            <w:gridSpan w:val="12"/>
          </w:tcPr>
          <w:p>
            <w:pPr>
              <w:spacing w:after="0"/>
              <w:rPr>
                <w:sz w:val="17"/>
                <w:szCs w:val="17"/>
                <w:color w:val="auto"/>
              </w:rPr>
            </w:pPr>
          </w:p>
        </w:tc>
      </w:tr>
      <w:tr>
        <w:trPr>
          <w:trHeight w:val="196"/>
        </w:trPr>
        <w:tc>
          <w:tcPr>
            <w:tcW w:w="1140" w:type="dxa"/>
            <w:vAlign w:val="bottom"/>
            <w:gridSpan w:val="4"/>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10060" w:type="dxa"/>
            <w:vAlign w:val="bottom"/>
            <w:gridSpan w:val="23"/>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Form of Annual Incentive Award Agreement was filed as Exhibit 10.1 to the company’s Form 10-Q dated September 9, 2021 (Commission</w:t>
              </w:r>
            </w:hyperlink>
          </w:p>
        </w:tc>
      </w:tr>
      <w:tr>
        <w:trPr>
          <w:trHeight w:val="196"/>
        </w:trPr>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46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File No. 001-12597), and is incorporated herein by reference. (*)</w:t>
              </w:r>
            </w:hyperlink>
          </w:p>
        </w:tc>
        <w:tc>
          <w:tcPr>
            <w:tcW w:w="5380" w:type="dxa"/>
            <w:vAlign w:val="bottom"/>
            <w:tcBorders>
              <w:top w:val="single" w:sz="8" w:color="0000EE"/>
            </w:tcBorders>
            <w:gridSpan w:val="19"/>
          </w:tcPr>
          <w:p>
            <w:pPr>
              <w:spacing w:after="0"/>
              <w:rPr>
                <w:sz w:val="17"/>
                <w:szCs w:val="17"/>
                <w:color w:val="auto"/>
              </w:rPr>
            </w:pPr>
          </w:p>
        </w:tc>
      </w:tr>
      <w:tr>
        <w:trPr>
          <w:trHeight w:val="196"/>
        </w:trPr>
        <w:tc>
          <w:tcPr>
            <w:tcW w:w="1140" w:type="dxa"/>
            <w:vAlign w:val="bottom"/>
            <w:gridSpan w:val="4"/>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10060" w:type="dxa"/>
            <w:vAlign w:val="bottom"/>
            <w:gridSpan w:val="23"/>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Form of restricted stock unit agreement for restricted stock units granted to executive officers pursuant to the 2015 Equity Incentive Plan</w:t>
              </w:r>
            </w:hyperlink>
          </w:p>
        </w:tc>
      </w:tr>
      <w:tr>
        <w:trPr>
          <w:trHeight w:val="196"/>
        </w:trPr>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976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was filed as Exhibit 10.2 to the company’s Form 10-Q dated September 9, 2021 (Commission File No. 001-12597), and is incorporated</w:t>
              </w:r>
            </w:hyperlink>
          </w:p>
        </w:tc>
        <w:tc>
          <w:tcPr>
            <w:tcW w:w="100" w:type="dxa"/>
            <w:vAlign w:val="bottom"/>
            <w:tcBorders>
              <w:top w:val="single" w:sz="8" w:color="0000EE"/>
            </w:tcBorders>
            <w:gridSpan w:val="4"/>
          </w:tcPr>
          <w:p>
            <w:pPr>
              <w:spacing w:after="0"/>
              <w:rPr>
                <w:sz w:val="17"/>
                <w:szCs w:val="17"/>
                <w:color w:val="auto"/>
              </w:rPr>
            </w:pPr>
          </w:p>
        </w:tc>
        <w:tc>
          <w:tcPr>
            <w:tcW w:w="200" w:type="dxa"/>
            <w:vAlign w:val="bottom"/>
            <w:gridSpan w:val="6"/>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herein by reference. (*)</w:t>
              </w:r>
            </w:hyperlink>
          </w:p>
        </w:tc>
        <w:tc>
          <w:tcPr>
            <w:tcW w:w="8360" w:type="dxa"/>
            <w:vAlign w:val="bottom"/>
            <w:gridSpan w:val="22"/>
          </w:tcPr>
          <w:p>
            <w:pPr>
              <w:spacing w:after="0"/>
              <w:rPr>
                <w:sz w:val="17"/>
                <w:szCs w:val="17"/>
                <w:color w:val="auto"/>
              </w:rPr>
            </w:pPr>
          </w:p>
        </w:tc>
      </w:tr>
      <w:tr>
        <w:trPr>
          <w:trHeight w:val="196"/>
        </w:trPr>
        <w:tc>
          <w:tcPr>
            <w:tcW w:w="1140" w:type="dxa"/>
            <w:vAlign w:val="bottom"/>
            <w:gridSpan w:val="4"/>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10060" w:type="dxa"/>
            <w:vAlign w:val="bottom"/>
            <w:gridSpan w:val="23"/>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Form of restricted stock unit agreement for restricted stock units granted to executive officers pursuant to the 2015 Equity Incentive Plan</w:t>
              </w:r>
            </w:hyperlink>
          </w:p>
        </w:tc>
      </w:tr>
      <w:tr>
        <w:trPr>
          <w:trHeight w:val="196"/>
        </w:trPr>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980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was filed as Exhibit 10.2 to the company’s Form 10-Q dated December 11, 2020 (Commission File No. 001-12597), and is incorporated</w:t>
              </w:r>
            </w:hyperlink>
          </w:p>
        </w:tc>
        <w:tc>
          <w:tcPr>
            <w:tcW w:w="60" w:type="dxa"/>
            <w:vAlign w:val="bottom"/>
            <w:tcBorders>
              <w:top w:val="single" w:sz="8" w:color="0000EE"/>
            </w:tcBorders>
            <w:gridSpan w:val="3"/>
          </w:tcPr>
          <w:p>
            <w:pPr>
              <w:spacing w:after="0"/>
              <w:rPr>
                <w:sz w:val="17"/>
                <w:szCs w:val="17"/>
                <w:color w:val="auto"/>
              </w:rPr>
            </w:pPr>
          </w:p>
        </w:tc>
        <w:tc>
          <w:tcPr>
            <w:tcW w:w="200" w:type="dxa"/>
            <w:vAlign w:val="bottom"/>
            <w:gridSpan w:val="6"/>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herein by reference. (*)</w:t>
              </w:r>
            </w:hyperlink>
          </w:p>
        </w:tc>
        <w:tc>
          <w:tcPr>
            <w:tcW w:w="8360" w:type="dxa"/>
            <w:vAlign w:val="bottom"/>
            <w:gridSpan w:val="22"/>
          </w:tcPr>
          <w:p>
            <w:pPr>
              <w:spacing w:after="0"/>
              <w:rPr>
                <w:sz w:val="17"/>
                <w:szCs w:val="17"/>
                <w:color w:val="auto"/>
              </w:rPr>
            </w:pPr>
          </w:p>
        </w:tc>
      </w:tr>
      <w:tr>
        <w:trPr>
          <w:trHeight w:val="196"/>
        </w:trPr>
        <w:tc>
          <w:tcPr>
            <w:tcW w:w="1140" w:type="dxa"/>
            <w:vAlign w:val="bottom"/>
            <w:gridSpan w:val="4"/>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hyperlink>
          </w:p>
        </w:tc>
        <w:tc>
          <w:tcPr>
            <w:tcW w:w="10060" w:type="dxa"/>
            <w:vAlign w:val="bottom"/>
            <w:gridSpan w:val="23"/>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Written description of Non-Employee Director Compensation was filed as Exhibit 10.2 to the company’s Form 10-Q dated March 8, 2019</w:t>
              </w:r>
            </w:hyperlink>
          </w:p>
        </w:tc>
      </w:tr>
      <w:tr>
        <w:trPr>
          <w:trHeight w:val="196"/>
        </w:trPr>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52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(Commission File No. 001-12597), and incorporated herein by reference.</w:t>
              </w:r>
            </w:hyperlink>
          </w:p>
        </w:tc>
        <w:tc>
          <w:tcPr>
            <w:tcW w:w="4660" w:type="dxa"/>
            <w:vAlign w:val="bottom"/>
            <w:tcBorders>
              <w:top w:val="single" w:sz="8" w:color="0000EE"/>
            </w:tcBorders>
            <w:gridSpan w:val="15"/>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196"/>
        </w:trPr>
        <w:tc>
          <w:tcPr>
            <w:tcW w:w="1140" w:type="dxa"/>
            <w:vAlign w:val="bottom"/>
            <w:gridSpan w:val="4"/>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hyperlink>
          </w:p>
        </w:tc>
        <w:tc>
          <w:tcPr>
            <w:tcW w:w="10060" w:type="dxa"/>
            <w:vAlign w:val="bottom"/>
            <w:gridSpan w:val="23"/>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2015 Equity Incentive Plan, filed as Annex A to the company’s 2015 Proxy Statement, filed on August 12, 2015 (Commission File No.</w:t>
              </w:r>
            </w:hyperlink>
          </w:p>
        </w:tc>
      </w:tr>
      <w:tr>
        <w:trPr>
          <w:trHeight w:val="196"/>
        </w:trPr>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38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001-12597), and incorporated herein by reference. (*)</w:t>
              </w:r>
            </w:hyperlink>
          </w:p>
        </w:tc>
        <w:tc>
          <w:tcPr>
            <w:tcW w:w="5860" w:type="dxa"/>
            <w:vAlign w:val="bottom"/>
            <w:tcBorders>
              <w:top w:val="single" w:sz="8" w:color="0000EE"/>
            </w:tcBorders>
            <w:gridSpan w:val="9"/>
          </w:tcPr>
          <w:p>
            <w:pPr>
              <w:spacing w:after="0"/>
              <w:rPr>
                <w:sz w:val="17"/>
                <w:szCs w:val="17"/>
                <w:color w:val="auto"/>
              </w:rPr>
            </w:pPr>
          </w:p>
        </w:tc>
        <w:tc>
          <w:tcPr>
            <w:tcW w:w="320" w:type="dxa"/>
            <w:vAlign w:val="bottom"/>
            <w:gridSpan w:val="11"/>
          </w:tcPr>
          <w:p>
            <w:pPr>
              <w:spacing w:after="0"/>
              <w:rPr>
                <w:sz w:val="17"/>
                <w:szCs w:val="17"/>
                <w:color w:val="auto"/>
              </w:rPr>
            </w:pPr>
          </w:p>
        </w:tc>
      </w:tr>
      <w:tr>
        <w:trPr>
          <w:trHeight w:val="196"/>
        </w:trPr>
        <w:tc>
          <w:tcPr>
            <w:tcW w:w="1140" w:type="dxa"/>
            <w:vAlign w:val="bottom"/>
            <w:gridSpan w:val="4"/>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hyperlink>
          </w:p>
        </w:tc>
        <w:tc>
          <w:tcPr>
            <w:tcW w:w="10060" w:type="dxa"/>
            <w:vAlign w:val="bottom"/>
            <w:gridSpan w:val="23"/>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Culp, Inc. Deferred Compensation Plan For Certain Key Employees Amendment No. 1, was filed as Exhibit 10.2 to the company’s Form</w:t>
              </w:r>
            </w:hyperlink>
          </w:p>
        </w:tc>
      </w:tr>
      <w:tr>
        <w:trPr>
          <w:trHeight w:val="196"/>
        </w:trPr>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72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10-K for the year ended May 3, 2015, dated July 17, 2015, and incorporated herein by reference. (*)</w:t>
              </w:r>
            </w:hyperlink>
          </w:p>
        </w:tc>
        <w:tc>
          <w:tcPr>
            <w:tcW w:w="2660" w:type="dxa"/>
            <w:vAlign w:val="bottom"/>
            <w:tcBorders>
              <w:top w:val="single" w:sz="8" w:color="0000EE"/>
            </w:tcBorders>
            <w:gridSpan w:val="11"/>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196"/>
        </w:trPr>
        <w:tc>
          <w:tcPr>
            <w:tcW w:w="1140" w:type="dxa"/>
            <w:vAlign w:val="bottom"/>
            <w:gridSpan w:val="4"/>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hyperlink>
          </w:p>
        </w:tc>
        <w:tc>
          <w:tcPr>
            <w:tcW w:w="10060" w:type="dxa"/>
            <w:vAlign w:val="bottom"/>
            <w:gridSpan w:val="23"/>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Form of change in control and noncompetition agreement. This agreement was filed as Exhibit 10.3 to the company’s Form 10-Q for the</w:t>
              </w:r>
            </w:hyperlink>
          </w:p>
        </w:tc>
      </w:tr>
      <w:tr>
        <w:trPr>
          <w:trHeight w:val="20"/>
        </w:trPr>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940" w:type="dxa"/>
            <w:vAlign w:val="bottom"/>
            <w:gridSpan w:val="6"/>
            <w:shd w:val="clear" w:color="auto" w:fill="0000EE"/>
          </w:tcPr>
          <w:p>
            <w:pPr>
              <w:spacing w:after="0" w:line="20" w:lineRule="exact"/>
              <w:rPr>
                <w:sz w:val="1"/>
                <w:szCs w:val="1"/>
                <w:color w:val="auto"/>
              </w:rPr>
            </w:pPr>
          </w:p>
        </w:tc>
        <w:tc>
          <w:tcPr>
            <w:tcW w:w="2360" w:type="dxa"/>
            <w:vAlign w:val="bottom"/>
            <w:gridSpan w:val="8"/>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9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quarter ended October 28, 2007, filed on December 12, 2007 (Commission File No. 001-12597) and incorporated herein by reference. (*)</w:t>
              </w:r>
            </w:hyperlink>
          </w:p>
        </w:tc>
        <w:tc>
          <w:tcPr>
            <w:tcW w:w="140" w:type="dxa"/>
            <w:vAlign w:val="bottom"/>
            <w:gridSpan w:val="4"/>
          </w:tcPr>
          <w:p>
            <w:pPr>
              <w:spacing w:after="0"/>
              <w:rPr>
                <w:sz w:val="17"/>
                <w:szCs w:val="17"/>
                <w:color w:val="auto"/>
              </w:rPr>
            </w:pPr>
          </w:p>
        </w:tc>
      </w:tr>
      <w:tr>
        <w:trPr>
          <w:trHeight w:val="196"/>
        </w:trPr>
        <w:tc>
          <w:tcPr>
            <w:tcW w:w="1140" w:type="dxa"/>
            <w:vAlign w:val="bottom"/>
            <w:gridSpan w:val="4"/>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9</w:t>
              </w:r>
            </w:hyperlink>
          </w:p>
        </w:tc>
        <w:tc>
          <w:tcPr>
            <w:tcW w:w="10060" w:type="dxa"/>
            <w:vAlign w:val="bottom"/>
            <w:gridSpan w:val="23"/>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Amended and Restated Deferred Compensation Plan for Certain Key Employees was filed as Exhibit 10.1 to the company’s Form 10-Q for</w:t>
              </w:r>
            </w:hyperlink>
          </w:p>
        </w:tc>
      </w:tr>
      <w:tr>
        <w:trPr>
          <w:trHeight w:val="196"/>
        </w:trPr>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74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the quarter ended January 26, 2014, filed on March 7, 2014, and is incorporated herein by reference. (*)</w:t>
              </w:r>
            </w:hyperlink>
          </w:p>
        </w:tc>
        <w:tc>
          <w:tcPr>
            <w:tcW w:w="2560" w:type="dxa"/>
            <w:vAlign w:val="bottom"/>
            <w:tcBorders>
              <w:top w:val="single" w:sz="8" w:color="0000EE"/>
            </w:tcBorders>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88"/>
              </w:rPr>
              <w:t>21</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5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List of subsidiaries of the company</w:t>
            </w:r>
          </w:p>
        </w:tc>
        <w:tc>
          <w:tcPr>
            <w:tcW w:w="7520" w:type="dxa"/>
            <w:vAlign w:val="bottom"/>
            <w:gridSpan w:val="21"/>
          </w:tcPr>
          <w:p>
            <w:pPr>
              <w:spacing w:after="0"/>
              <w:rPr>
                <w:sz w:val="17"/>
                <w:szCs w:val="17"/>
                <w:color w:val="auto"/>
              </w:rPr>
            </w:pPr>
          </w:p>
        </w:tc>
      </w:tr>
    </w:tbl>
    <w:p>
      <w:pPr>
        <w:spacing w:after="0" w:line="9" w:lineRule="exact"/>
        <w:rPr>
          <w:sz w:val="20"/>
          <w:szCs w:val="20"/>
          <w:color w:val="auto"/>
        </w:rPr>
      </w:pPr>
    </w:p>
    <w:p>
      <w:pPr>
        <w:ind w:left="1140" w:right="140" w:hanging="1132"/>
        <w:spacing w:after="0" w:line="226" w:lineRule="exact"/>
        <w:tabs>
          <w:tab w:leader="none" w:pos="1140" w:val="left"/>
        </w:tabs>
        <w:numPr>
          <w:ilvl w:val="0"/>
          <w:numId w:val="4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Consent of Independent Registered Public Accounting Firm in connection with the registration statements of Culp, Inc. on Form S-8 (File Nos. 333-207195 and 33</w:t>
      </w:r>
      <w:r>
        <w:rPr>
          <w:rFonts w:ascii="MS PGothic" w:cs="MS PGothic" w:eastAsia="MS PGothic" w:hAnsi="MS PGothic"/>
          <w:sz w:val="18"/>
          <w:szCs w:val="18"/>
          <w:u w:val="single" w:color="auto"/>
          <w:color w:val="0000EE"/>
        </w:rPr>
        <w:t>‑</w:t>
      </w:r>
      <w:r>
        <w:rPr>
          <w:rFonts w:ascii="Times New Roman" w:cs="Times New Roman" w:eastAsia="Times New Roman" w:hAnsi="Times New Roman"/>
          <w:sz w:val="18"/>
          <w:szCs w:val="18"/>
          <w:u w:val="single" w:color="auto"/>
          <w:color w:val="0000EE"/>
        </w:rPr>
        <w:t>13310).</w:t>
      </w:r>
    </w:p>
    <w:tbl>
      <w:tblPr>
        <w:tblLayout w:type="fixed"/>
        <w:tblInd w:w="0" w:type="dxa"/>
        <w:tblCellMar>
          <w:top w:w="0" w:type="dxa"/>
          <w:left w:w="0" w:type="dxa"/>
          <w:bottom w:w="0" w:type="dxa"/>
          <w:right w:w="0" w:type="dxa"/>
        </w:tblCellMar>
      </w:tblPr>
      <w:tr>
        <w:trPr>
          <w:trHeight w:val="174"/>
        </w:trPr>
        <w:tc>
          <w:tcPr>
            <w:tcW w:w="360" w:type="dxa"/>
            <w:vAlign w:val="bottom"/>
            <w:tcBorders>
              <w:bottom w:val="single" w:sz="8" w:color="0000EE"/>
            </w:tcBorders>
          </w:tcPr>
          <w:p>
            <w:pPr>
              <w:spacing w:after="0" w:line="174" w:lineRule="exact"/>
              <w:rPr>
                <w:sz w:val="20"/>
                <w:szCs w:val="20"/>
                <w:color w:val="auto"/>
              </w:rPr>
            </w:pPr>
            <w:r>
              <w:rPr>
                <w:rFonts w:ascii="Times New Roman" w:cs="Times New Roman" w:eastAsia="Times New Roman" w:hAnsi="Times New Roman"/>
                <w:sz w:val="18"/>
                <w:szCs w:val="18"/>
                <w:color w:val="0000EE"/>
                <w:w w:val="84"/>
              </w:rPr>
              <w:t>24(a)</w:t>
            </w:r>
          </w:p>
        </w:tc>
        <w:tc>
          <w:tcPr>
            <w:tcW w:w="780" w:type="dxa"/>
            <w:vAlign w:val="bottom"/>
          </w:tcPr>
          <w:p>
            <w:pPr>
              <w:spacing w:after="0"/>
              <w:rPr>
                <w:sz w:val="15"/>
                <w:szCs w:val="15"/>
                <w:color w:val="auto"/>
              </w:rPr>
            </w:pPr>
          </w:p>
        </w:tc>
        <w:tc>
          <w:tcPr>
            <w:tcW w:w="4160" w:type="dxa"/>
            <w:vAlign w:val="bottom"/>
            <w:tcBorders>
              <w:bottom w:val="single" w:sz="8" w:color="0000EE"/>
            </w:tcBorders>
            <w:gridSpan w:val="2"/>
          </w:tcPr>
          <w:p>
            <w:pPr>
              <w:spacing w:after="0" w:line="174" w:lineRule="exact"/>
              <w:rPr>
                <w:sz w:val="20"/>
                <w:szCs w:val="20"/>
                <w:color w:val="auto"/>
              </w:rPr>
            </w:pPr>
            <w:r>
              <w:rPr>
                <w:rFonts w:ascii="Times New Roman" w:cs="Times New Roman" w:eastAsia="Times New Roman" w:hAnsi="Times New Roman"/>
                <w:sz w:val="18"/>
                <w:szCs w:val="18"/>
                <w:color w:val="0000EE"/>
                <w:w w:val="99"/>
              </w:rPr>
              <w:t>Power of Attorney of John A. Baugh, dated July 15, 2022</w:t>
            </w:r>
          </w:p>
        </w:tc>
        <w:tc>
          <w:tcPr>
            <w:tcW w:w="3060" w:type="dxa"/>
            <w:vAlign w:val="bottom"/>
            <w:gridSpan w:val="6"/>
          </w:tcPr>
          <w:p>
            <w:pPr>
              <w:spacing w:after="0"/>
              <w:rPr>
                <w:sz w:val="15"/>
                <w:szCs w:val="15"/>
                <w:color w:val="auto"/>
              </w:rPr>
            </w:pPr>
          </w:p>
        </w:tc>
      </w:tr>
      <w:tr>
        <w:trPr>
          <w:trHeight w:val="196"/>
        </w:trPr>
        <w:tc>
          <w:tcPr>
            <w:tcW w:w="3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81"/>
              </w:rPr>
              <w:t>24(b)</w:t>
            </w:r>
          </w:p>
        </w:tc>
        <w:tc>
          <w:tcPr>
            <w:tcW w:w="780" w:type="dxa"/>
            <w:vAlign w:val="bottom"/>
          </w:tcPr>
          <w:p>
            <w:pPr>
              <w:spacing w:after="0"/>
              <w:rPr>
                <w:sz w:val="17"/>
                <w:szCs w:val="17"/>
                <w:color w:val="auto"/>
              </w:rPr>
            </w:pPr>
          </w:p>
        </w:tc>
        <w:tc>
          <w:tcPr>
            <w:tcW w:w="41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Power of Attorney of Perry E. Davis, dated July 15, 2022</w:t>
            </w:r>
          </w:p>
        </w:tc>
        <w:tc>
          <w:tcPr>
            <w:tcW w:w="3080" w:type="dxa"/>
            <w:vAlign w:val="bottom"/>
            <w:gridSpan w:val="7"/>
          </w:tcPr>
          <w:p>
            <w:pPr>
              <w:spacing w:after="0"/>
              <w:rPr>
                <w:sz w:val="17"/>
                <w:szCs w:val="17"/>
                <w:color w:val="auto"/>
              </w:rPr>
            </w:pPr>
          </w:p>
        </w:tc>
      </w:tr>
      <w:tr>
        <w:trPr>
          <w:trHeight w:val="196"/>
        </w:trPr>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84"/>
              </w:rPr>
              <w:t>24(c)</w:t>
            </w:r>
          </w:p>
        </w:tc>
        <w:tc>
          <w:tcPr>
            <w:tcW w:w="780" w:type="dxa"/>
            <w:vAlign w:val="bottom"/>
          </w:tcPr>
          <w:p>
            <w:pPr>
              <w:spacing w:after="0"/>
              <w:rPr>
                <w:sz w:val="17"/>
                <w:szCs w:val="17"/>
                <w:color w:val="auto"/>
              </w:rPr>
            </w:pPr>
          </w:p>
        </w:tc>
        <w:tc>
          <w:tcPr>
            <w:tcW w:w="72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Power of Attorney of Sharon A. Decker, dated July 15, 2022</w:t>
            </w:r>
          </w:p>
        </w:tc>
      </w:tr>
      <w:tr>
        <w:trPr>
          <w:trHeight w:val="20"/>
        </w:trPr>
        <w:tc>
          <w:tcPr>
            <w:tcW w:w="36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42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81"/>
              </w:rPr>
              <w:t>24(d)</w:t>
            </w:r>
          </w:p>
        </w:tc>
        <w:tc>
          <w:tcPr>
            <w:tcW w:w="780" w:type="dxa"/>
            <w:vAlign w:val="bottom"/>
          </w:tcPr>
          <w:p>
            <w:pPr>
              <w:spacing w:after="0"/>
              <w:rPr>
                <w:sz w:val="17"/>
                <w:szCs w:val="17"/>
                <w:color w:val="auto"/>
              </w:rPr>
            </w:pPr>
          </w:p>
        </w:tc>
        <w:tc>
          <w:tcPr>
            <w:tcW w:w="72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Power of Attorney of Kimberly B. Gatling, dated July 15, 2022</w:t>
            </w:r>
          </w:p>
        </w:tc>
      </w:tr>
      <w:tr>
        <w:trPr>
          <w:trHeight w:val="196"/>
        </w:trPr>
        <w:tc>
          <w:tcPr>
            <w:tcW w:w="36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84"/>
              </w:rPr>
              <w:t>24(e)</w:t>
            </w:r>
          </w:p>
        </w:tc>
        <w:tc>
          <w:tcPr>
            <w:tcW w:w="780" w:type="dxa"/>
            <w:vAlign w:val="bottom"/>
          </w:tcPr>
          <w:p>
            <w:pPr>
              <w:spacing w:after="0"/>
              <w:rPr>
                <w:sz w:val="17"/>
                <w:szCs w:val="17"/>
                <w:color w:val="auto"/>
              </w:rPr>
            </w:pPr>
          </w:p>
        </w:tc>
        <w:tc>
          <w:tcPr>
            <w:tcW w:w="45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Power of Attorney of Fred A. Jackson, dated July 15, 2022</w:t>
            </w:r>
          </w:p>
        </w:tc>
        <w:tc>
          <w:tcPr>
            <w:tcW w:w="2660" w:type="dxa"/>
            <w:vAlign w:val="bottom"/>
            <w:gridSpan w:val="2"/>
          </w:tcPr>
          <w:p>
            <w:pPr>
              <w:spacing w:after="0"/>
              <w:rPr>
                <w:sz w:val="17"/>
                <w:szCs w:val="17"/>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4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88"/>
              </w:rPr>
              <w:t>24(f)</w:t>
            </w:r>
          </w:p>
        </w:tc>
        <w:tc>
          <w:tcPr>
            <w:tcW w:w="780" w:type="dxa"/>
            <w:vAlign w:val="bottom"/>
          </w:tcPr>
          <w:p>
            <w:pPr>
              <w:spacing w:after="0"/>
              <w:rPr>
                <w:sz w:val="17"/>
                <w:szCs w:val="17"/>
                <w:color w:val="auto"/>
              </w:rPr>
            </w:pPr>
          </w:p>
        </w:tc>
        <w:tc>
          <w:tcPr>
            <w:tcW w:w="72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Power of Attorney of Jonathan L. Kelley, dated July 15, 2022</w:t>
            </w:r>
          </w:p>
        </w:tc>
      </w:tr>
      <w:tr>
        <w:trPr>
          <w:trHeight w:val="20"/>
        </w:trPr>
        <w:tc>
          <w:tcPr>
            <w:tcW w:w="3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40" w:type="dxa"/>
            <w:vAlign w:val="bottom"/>
            <w:gridSpan w:val="5"/>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84"/>
              </w:rPr>
              <w:t>31(a)</w:t>
            </w:r>
          </w:p>
        </w:tc>
        <w:tc>
          <w:tcPr>
            <w:tcW w:w="780" w:type="dxa"/>
            <w:vAlign w:val="bottom"/>
          </w:tcPr>
          <w:p>
            <w:pPr>
              <w:spacing w:after="0"/>
              <w:rPr>
                <w:sz w:val="17"/>
                <w:szCs w:val="17"/>
                <w:color w:val="auto"/>
              </w:rPr>
            </w:pPr>
          </w:p>
        </w:tc>
        <w:tc>
          <w:tcPr>
            <w:tcW w:w="72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Section 302 of Sarbanes-Oxley Act of 2002.</w:t>
            </w:r>
          </w:p>
        </w:tc>
      </w:tr>
      <w:tr>
        <w:trPr>
          <w:trHeight w:val="196"/>
        </w:trPr>
        <w:tc>
          <w:tcPr>
            <w:tcW w:w="3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81"/>
              </w:rPr>
              <w:t>31(b)</w:t>
            </w:r>
          </w:p>
        </w:tc>
        <w:tc>
          <w:tcPr>
            <w:tcW w:w="780" w:type="dxa"/>
            <w:vAlign w:val="bottom"/>
          </w:tcPr>
          <w:p>
            <w:pPr>
              <w:spacing w:after="0"/>
              <w:rPr>
                <w:sz w:val="17"/>
                <w:szCs w:val="17"/>
                <w:color w:val="auto"/>
              </w:rPr>
            </w:pPr>
          </w:p>
        </w:tc>
        <w:tc>
          <w:tcPr>
            <w:tcW w:w="71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 to Section 302 of Sarbanes-Oxley Act of 2002.</w:t>
            </w:r>
          </w:p>
        </w:tc>
        <w:tc>
          <w:tcPr>
            <w:tcW w:w="40" w:type="dxa"/>
            <w:vAlign w:val="bottom"/>
          </w:tcPr>
          <w:p>
            <w:pPr>
              <w:spacing w:after="0"/>
              <w:rPr>
                <w:sz w:val="17"/>
                <w:szCs w:val="17"/>
                <w:color w:val="auto"/>
              </w:rPr>
            </w:pPr>
          </w:p>
        </w:tc>
      </w:tr>
      <w:tr>
        <w:trPr>
          <w:trHeight w:val="196"/>
        </w:trPr>
        <w:tc>
          <w:tcPr>
            <w:tcW w:w="3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84"/>
              </w:rPr>
              <w:t>32(a)</w:t>
            </w:r>
          </w:p>
        </w:tc>
        <w:tc>
          <w:tcPr>
            <w:tcW w:w="780" w:type="dxa"/>
            <w:vAlign w:val="bottom"/>
          </w:tcPr>
          <w:p>
            <w:pPr>
              <w:spacing w:after="0"/>
              <w:rPr>
                <w:sz w:val="17"/>
                <w:szCs w:val="17"/>
                <w:color w:val="auto"/>
              </w:rPr>
            </w:pPr>
          </w:p>
        </w:tc>
        <w:tc>
          <w:tcPr>
            <w:tcW w:w="72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Section 906 of Sarbanes-Oxley Act of 2002.</w:t>
            </w:r>
          </w:p>
        </w:tc>
      </w:tr>
      <w:tr>
        <w:trPr>
          <w:trHeight w:val="196"/>
        </w:trPr>
        <w:tc>
          <w:tcPr>
            <w:tcW w:w="3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81"/>
              </w:rPr>
              <w:t>32(b)</w:t>
            </w:r>
          </w:p>
        </w:tc>
        <w:tc>
          <w:tcPr>
            <w:tcW w:w="780" w:type="dxa"/>
            <w:vAlign w:val="bottom"/>
          </w:tcPr>
          <w:p>
            <w:pPr>
              <w:spacing w:after="0"/>
              <w:rPr>
                <w:sz w:val="17"/>
                <w:szCs w:val="17"/>
                <w:color w:val="auto"/>
              </w:rPr>
            </w:pPr>
          </w:p>
        </w:tc>
        <w:tc>
          <w:tcPr>
            <w:tcW w:w="71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 to Section 906 of Sarbanes-Oxley Act of 2002.</w:t>
            </w:r>
          </w:p>
        </w:tc>
        <w:tc>
          <w:tcPr>
            <w:tcW w:w="40" w:type="dxa"/>
            <w:vAlign w:val="bottom"/>
          </w:tcPr>
          <w:p>
            <w:pPr>
              <w:spacing w:after="0"/>
              <w:rPr>
                <w:sz w:val="17"/>
                <w:szCs w:val="17"/>
                <w:color w:val="auto"/>
              </w:rPr>
            </w:pPr>
          </w:p>
        </w:tc>
      </w:tr>
      <w:tr>
        <w:trPr>
          <w:trHeight w:val="21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72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72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72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72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72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72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5540" w:right="200" w:hanging="5532"/>
        <w:spacing w:after="0" w:line="777" w:lineRule="auto"/>
        <w:tabs>
          <w:tab w:leader="none" w:pos="11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6" w:name="page97"/>
    <w:bookmarkEnd w:id="96"/>
    <w:p>
      <w:pPr>
        <w:ind w:left="500" w:hanging="492"/>
        <w:spacing w:after="0"/>
        <w:tabs>
          <w:tab w:leader="none" w:pos="5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exhibits to this Form 10-K are filed at the end of this Form 10-K immediately preceded by an index. A list of the exhibits begins on page 99 under the subheading “Exhibit Index.”</w:t>
      </w:r>
    </w:p>
    <w:p>
      <w:pPr>
        <w:spacing w:after="0" w:line="131" w:lineRule="exact"/>
        <w:rPr>
          <w:sz w:val="20"/>
          <w:szCs w:val="20"/>
          <w:color w:val="auto"/>
        </w:rPr>
      </w:pPr>
    </w:p>
    <w:p>
      <w:pPr>
        <w:ind w:left="500" w:hanging="492"/>
        <w:spacing w:after="0"/>
        <w:tabs>
          <w:tab w:leader="none" w:pos="5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98"/>
              </w:rPr>
              <w:t>Exhibit Number</w:t>
            </w:r>
          </w:p>
        </w:tc>
        <w:tc>
          <w:tcPr>
            <w:tcW w:w="216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0"/>
        </w:trPr>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39"/>
        </w:trPr>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21</w:t>
            </w:r>
          </w:p>
        </w:tc>
        <w:tc>
          <w:tcPr>
            <w:tcW w:w="3140" w:type="dxa"/>
            <w:vAlign w:val="bottom"/>
            <w:gridSpan w:val="5"/>
          </w:tcPr>
          <w:p>
            <w:pPr>
              <w:ind w:left="600"/>
              <w:spacing w:after="0"/>
              <w:rPr>
                <w:sz w:val="20"/>
                <w:szCs w:val="20"/>
                <w:color w:val="auto"/>
              </w:rPr>
            </w:pPr>
            <w:r>
              <w:rPr>
                <w:rFonts w:ascii="Times New Roman" w:cs="Times New Roman" w:eastAsia="Times New Roman" w:hAnsi="Times New Roman"/>
                <w:sz w:val="18"/>
                <w:szCs w:val="18"/>
                <w:color w:val="0000EE"/>
                <w:w w:val="99"/>
              </w:rPr>
              <w:t>List of subsidiaries of the company</w:t>
            </w:r>
          </w:p>
        </w:tc>
      </w:tr>
      <w:tr>
        <w:trPr>
          <w:trHeight w:val="20"/>
        </w:trPr>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r>
    </w:tbl>
    <w:p>
      <w:pPr>
        <w:spacing w:after="0" w:line="144" w:lineRule="exact"/>
        <w:rPr>
          <w:sz w:val="20"/>
          <w:szCs w:val="20"/>
          <w:color w:val="auto"/>
        </w:rPr>
      </w:pPr>
    </w:p>
    <w:p>
      <w:pPr>
        <w:ind w:left="880" w:hanging="782"/>
        <w:spacing w:after="0" w:line="282" w:lineRule="auto"/>
        <w:tabs>
          <w:tab w:leader="none" w:pos="880" w:val="left"/>
        </w:tabs>
        <w:numPr>
          <w:ilvl w:val="0"/>
          <w:numId w:val="48"/>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Consent of Independent Registered Public Accounting Firm in connection with the registration statements of Culp, Inc. on Form S-8 (File Nos. 333-207195 and 33-13310).</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24(a)</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Power of Attorney of John A. Baugh, dated July 15, 2022</w:t>
            </w:r>
          </w:p>
        </w:tc>
        <w:tc>
          <w:tcPr>
            <w:tcW w:w="3060" w:type="dxa"/>
            <w:vAlign w:val="bottom"/>
            <w:gridSpan w:val="6"/>
          </w:tcPr>
          <w:p>
            <w:pPr>
              <w:spacing w:after="0"/>
              <w:rPr>
                <w:sz w:val="17"/>
                <w:szCs w:val="17"/>
                <w:color w:val="auto"/>
              </w:rPr>
            </w:pPr>
          </w:p>
        </w:tc>
      </w:tr>
      <w:tr>
        <w:trPr>
          <w:trHeight w:val="331"/>
        </w:trPr>
        <w:tc>
          <w:tcPr>
            <w:tcW w:w="4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24(b)</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Power of Attorney of Perry E. Davis, dated July 15, 2022</w:t>
            </w:r>
          </w:p>
        </w:tc>
        <w:tc>
          <w:tcPr>
            <w:tcW w:w="3080" w:type="dxa"/>
            <w:vAlign w:val="bottom"/>
            <w:gridSpan w:val="7"/>
          </w:tcPr>
          <w:p>
            <w:pPr>
              <w:spacing w:after="0"/>
              <w:rPr>
                <w:sz w:val="24"/>
                <w:szCs w:val="24"/>
                <w:color w:val="auto"/>
              </w:rPr>
            </w:pPr>
          </w:p>
        </w:tc>
      </w:tr>
      <w:tr>
        <w:trPr>
          <w:trHeight w:val="331"/>
        </w:trPr>
        <w:tc>
          <w:tcPr>
            <w:tcW w:w="4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24(c)</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Power of Attorney of Sharon A. Decker, dated July 15, 2022</w:t>
            </w:r>
          </w:p>
        </w:tc>
        <w:tc>
          <w:tcPr>
            <w:tcW w:w="2840" w:type="dxa"/>
            <w:vAlign w:val="bottom"/>
            <w:gridSpan w:val="3"/>
          </w:tcPr>
          <w:p>
            <w:pPr>
              <w:spacing w:after="0"/>
              <w:rPr>
                <w:sz w:val="24"/>
                <w:szCs w:val="24"/>
                <w:color w:val="auto"/>
              </w:rPr>
            </w:pPr>
          </w:p>
        </w:tc>
      </w:tr>
      <w:tr>
        <w:trPr>
          <w:trHeight w:val="331"/>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7"/>
              </w:rPr>
              <w:t>24(d)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Power of Attorney of Kimberly B. Gatling, dated July 15, 2022</w:t>
            </w:r>
          </w:p>
        </w:tc>
      </w:tr>
      <w:tr>
        <w:trPr>
          <w:trHeight w:val="331"/>
        </w:trPr>
        <w:tc>
          <w:tcPr>
            <w:tcW w:w="4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24(e)</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Power of Attorney of Fred A. Jackson, dated July 15, 2022</w:t>
            </w:r>
          </w:p>
        </w:tc>
        <w:tc>
          <w:tcPr>
            <w:tcW w:w="2660" w:type="dxa"/>
            <w:vAlign w:val="bottom"/>
            <w:gridSpan w:val="2"/>
          </w:tcPr>
          <w:p>
            <w:pPr>
              <w:spacing w:after="0"/>
              <w:rPr>
                <w:sz w:val="24"/>
                <w:szCs w:val="24"/>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0000EE"/>
                <w:w w:val="88"/>
              </w:rPr>
              <w:t>24(f)</w:t>
            </w:r>
          </w:p>
        </w:tc>
        <w:tc>
          <w:tcPr>
            <w:tcW w:w="4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72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Power of Attorney of Jonathan L. Kelly, dated July 15, 2022</w:t>
            </w:r>
          </w:p>
        </w:tc>
      </w:tr>
      <w:tr>
        <w:trPr>
          <w:trHeight w:val="20"/>
        </w:trPr>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60" w:type="dxa"/>
            <w:vAlign w:val="bottom"/>
            <w:gridSpan w:val="4"/>
            <w:shd w:val="clear" w:color="auto" w:fill="0000EE"/>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4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31(a)</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Section 302 of Sarbanes-Oxley Act of 2002.</w:t>
            </w:r>
          </w:p>
        </w:tc>
      </w:tr>
      <w:tr>
        <w:trPr>
          <w:trHeight w:val="331"/>
        </w:trPr>
        <w:tc>
          <w:tcPr>
            <w:tcW w:w="4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31(b)</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Section 302 of Sarbanes-Oxley Act of 2002.</w:t>
            </w:r>
          </w:p>
        </w:tc>
        <w:tc>
          <w:tcPr>
            <w:tcW w:w="40" w:type="dxa"/>
            <w:vAlign w:val="bottom"/>
          </w:tcPr>
          <w:p>
            <w:pPr>
              <w:spacing w:after="0"/>
              <w:rPr>
                <w:sz w:val="24"/>
                <w:szCs w:val="24"/>
                <w:color w:val="auto"/>
              </w:rPr>
            </w:pPr>
          </w:p>
        </w:tc>
      </w:tr>
      <w:tr>
        <w:trPr>
          <w:trHeight w:val="331"/>
        </w:trPr>
        <w:tc>
          <w:tcPr>
            <w:tcW w:w="4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32(a)</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Section 906 of Sarbanes-Oxley Act of 2002.</w:t>
            </w:r>
          </w:p>
        </w:tc>
      </w:tr>
      <w:tr>
        <w:trPr>
          <w:trHeight w:val="331"/>
        </w:trPr>
        <w:tc>
          <w:tcPr>
            <w:tcW w:w="4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32(b)</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Section 906 of Sarbanes-Oxley Act of 2002.</w:t>
            </w:r>
          </w:p>
        </w:tc>
        <w:tc>
          <w:tcPr>
            <w:tcW w:w="40" w:type="dxa"/>
            <w:vAlign w:val="bottom"/>
          </w:tcPr>
          <w:p>
            <w:pPr>
              <w:spacing w:after="0"/>
              <w:rPr>
                <w:sz w:val="24"/>
                <w:szCs w:val="24"/>
                <w:color w:val="auto"/>
              </w:rPr>
            </w:pPr>
          </w:p>
        </w:tc>
      </w:tr>
      <w:tr>
        <w:trPr>
          <w:trHeight w:val="372"/>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732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51"/>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732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51"/>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732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51"/>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732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51"/>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732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51"/>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732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17" w:lineRule="exact"/>
        <w:rPr>
          <w:sz w:val="20"/>
          <w:szCs w:val="20"/>
          <w:color w:val="auto"/>
        </w:rPr>
      </w:pPr>
    </w:p>
    <w:p>
      <w:pPr>
        <w:ind w:left="880" w:hanging="872"/>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of the Securities Exchange Act of 1934, CULP, INC. has caused this report to be signed on its behalf by the undersigned, thereunto duly authorized, on the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July 2022.</w:t>
      </w:r>
    </w:p>
    <w:p>
      <w:pPr>
        <w:spacing w:after="0" w:line="18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CULP, INC.</w:t>
      </w:r>
    </w:p>
    <w:p>
      <w:pPr>
        <w:spacing w:after="0" w:line="131" w:lineRule="exact"/>
        <w:rPr>
          <w:sz w:val="20"/>
          <w:szCs w:val="20"/>
          <w:color w:val="auto"/>
        </w:rPr>
      </w:pPr>
    </w:p>
    <w:p>
      <w:pPr>
        <w:ind w:left="5440"/>
        <w:spacing w:after="0"/>
        <w:tabs>
          <w:tab w:leader="none" w:pos="5880" w:val="left"/>
        </w:tabs>
        <w:rPr>
          <w:sz w:val="20"/>
          <w:szCs w:val="20"/>
          <w:color w:val="auto"/>
        </w:rPr>
      </w:pPr>
      <w:r>
        <w:rPr>
          <w:rFonts w:ascii="Times New Roman" w:cs="Times New Roman" w:eastAsia="Times New Roman" w:hAnsi="Times New Roman"/>
          <w:sz w:val="18"/>
          <w:szCs w:val="18"/>
          <w:color w:val="auto"/>
        </w:rPr>
        <w:t>By</w:t>
        <w:tab/>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26035</wp:posOffset>
            </wp:positionV>
            <wp:extent cx="32232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24"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Robert G. Culp, IV</w:t>
      </w:r>
    </w:p>
    <w:p>
      <w:pPr>
        <w:spacing w:after="0" w:line="1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the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July 2022.</w:t>
      </w:r>
    </w:p>
    <w:p>
      <w:pPr>
        <w:sectPr>
          <w:pgSz w:w="11900" w:h="16838" w:orient="portrait"/>
          <w:cols w:equalWidth="0" w:num="1">
            <w:col w:w="11240"/>
          </w:cols>
          <w:pgMar w:left="320" w:top="347" w:right="339" w:bottom="144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Franklin N. Saxon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26035</wp:posOffset>
            </wp:positionV>
            <wp:extent cx="32486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Franklin N. Saxon</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Executive Chairman</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(Chairman of the Board of Directors)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Fred A.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26035</wp:posOffset>
            </wp:positionV>
            <wp:extent cx="32486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Fred A. Jackson</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(Lead Independent 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A. Baugh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26035</wp:posOffset>
            </wp:positionV>
            <wp:extent cx="32486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Perry E. Davis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Perry 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26035</wp:posOffset>
            </wp:positionV>
            <wp:extent cx="32486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Perry E. Davis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Sharon A.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51435</wp:posOffset>
            </wp:positionV>
            <wp:extent cx="32486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Sharon A. Decker</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Kimberly B. Gatling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26035</wp:posOffset>
            </wp:positionV>
            <wp:extent cx="32746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Kimberly B. Gatling</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Jonathan L.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26035</wp:posOffset>
            </wp:positionV>
            <wp:extent cx="32746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Jonathan L. Kelly</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26035</wp:posOffset>
            </wp:positionV>
            <wp:extent cx="32746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Kenneth R. Bowling</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Thomas B. Gallagher,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26035</wp:posOffset>
            </wp:positionV>
            <wp:extent cx="32746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Thomas B. Gallagher, Jr.</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Vice President of Finance</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266" w:lineRule="exact"/>
        <w:rPr>
          <w:sz w:val="20"/>
          <w:szCs w:val="20"/>
          <w:color w:val="auto"/>
        </w:rPr>
      </w:pPr>
    </w:p>
    <w:p>
      <w:pPr>
        <w:sectPr>
          <w:pgSz w:w="11900" w:h="16838" w:orient="portrait"/>
          <w:cols w:equalWidth="0" w:num="2">
            <w:col w:w="5140" w:space="720"/>
            <w:col w:w="5380"/>
          </w:cols>
          <w:pgMar w:left="320" w:top="34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40" w:right="1280" w:hanging="5532"/>
        <w:spacing w:after="0" w:line="814" w:lineRule="auto"/>
        <w:tabs>
          <w:tab w:leader="none" w:pos="7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Kenneth R. Bowling, Attorney-in-Fact, pursuant to Powers of Attorney filed with the Securities and Exchange Commission. 96</w:t>
      </w:r>
    </w:p>
    <w:p>
      <w:pPr>
        <w:sectPr>
          <w:pgSz w:w="11900" w:h="16838" w:orient="portrait"/>
          <w:cols w:equalWidth="0" w:num="1">
            <w:col w:w="11240"/>
          </w:cols>
          <w:pgMar w:left="320" w:top="347" w:right="339" w:bottom="1440" w:gutter="0" w:footer="0" w:header="0"/>
          <w:type w:val="continuous"/>
        </w:sectPr>
      </w:pPr>
    </w:p>
    <w:bookmarkStart w:id="99" w:name="page100"/>
    <w:bookmarkEnd w:id="99"/>
    <w:p>
      <w:pPr>
        <w:jc w:val="right"/>
        <w:spacing w:after="0"/>
        <w:rPr>
          <w:sz w:val="20"/>
          <w:szCs w:val="20"/>
          <w:color w:val="auto"/>
        </w:rPr>
      </w:pPr>
      <w:r>
        <w:rPr>
          <w:rFonts w:ascii="Calibri" w:cs="Calibri" w:eastAsia="Calibri" w:hAnsi="Calibri"/>
          <w:sz w:val="20"/>
          <w:szCs w:val="20"/>
          <w:b w:val="1"/>
          <w:bCs w:val="1"/>
          <w:color w:val="auto"/>
        </w:rPr>
        <w:t>Exhibit 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0160" w:type="dxa"/>
            <w:vAlign w:val="bottom"/>
            <w:gridSpan w:val="2"/>
          </w:tcPr>
          <w:p>
            <w:pPr>
              <w:ind w:left="4120"/>
              <w:spacing w:after="0"/>
              <w:rPr>
                <w:sz w:val="20"/>
                <w:szCs w:val="20"/>
                <w:color w:val="auto"/>
              </w:rPr>
            </w:pPr>
            <w:r>
              <w:rPr>
                <w:rFonts w:ascii="Calibri" w:cs="Calibri" w:eastAsia="Calibri" w:hAnsi="Calibri"/>
                <w:sz w:val="20"/>
                <w:szCs w:val="20"/>
                <w:b w:val="1"/>
                <w:bCs w:val="1"/>
                <w:color w:val="auto"/>
              </w:rPr>
              <w:t>LIST OF SUBSIDIARIES OF CULP, INC.</w:t>
            </w:r>
          </w:p>
        </w:tc>
        <w:tc>
          <w:tcPr>
            <w:tcW w:w="0" w:type="dxa"/>
            <w:vAlign w:val="bottom"/>
          </w:tcPr>
          <w:p>
            <w:pPr>
              <w:spacing w:after="0"/>
              <w:rPr>
                <w:sz w:val="1"/>
                <w:szCs w:val="1"/>
                <w:color w:val="auto"/>
              </w:rPr>
            </w:pPr>
          </w:p>
        </w:tc>
      </w:tr>
      <w:tr>
        <w:trPr>
          <w:trHeight w:val="459"/>
        </w:trPr>
        <w:tc>
          <w:tcPr>
            <w:tcW w:w="5620" w:type="dxa"/>
            <w:vAlign w:val="bottom"/>
          </w:tcPr>
          <w:p>
            <w:pPr>
              <w:ind w:left="1460"/>
              <w:spacing w:after="0"/>
              <w:rPr>
                <w:sz w:val="20"/>
                <w:szCs w:val="20"/>
                <w:color w:val="auto"/>
              </w:rPr>
            </w:pPr>
            <w:r>
              <w:rPr>
                <w:rFonts w:ascii="Calibri" w:cs="Calibri" w:eastAsia="Calibri" w:hAnsi="Calibri"/>
                <w:sz w:val="20"/>
                <w:szCs w:val="20"/>
                <w:color w:val="auto"/>
              </w:rPr>
              <w:t>Name of Subsidiary</w:t>
            </w:r>
          </w:p>
        </w:tc>
        <w:tc>
          <w:tcPr>
            <w:tcW w:w="4540" w:type="dxa"/>
            <w:vAlign w:val="bottom"/>
          </w:tcPr>
          <w:p>
            <w:pPr>
              <w:ind w:left="2220"/>
              <w:spacing w:after="0"/>
              <w:rPr>
                <w:sz w:val="20"/>
                <w:szCs w:val="20"/>
                <w:color w:val="auto"/>
              </w:rPr>
            </w:pPr>
            <w:r>
              <w:rPr>
                <w:rFonts w:ascii="Calibri" w:cs="Calibri" w:eastAsia="Calibri" w:hAnsi="Calibri"/>
                <w:sz w:val="20"/>
                <w:szCs w:val="20"/>
                <w:color w:val="auto"/>
              </w:rPr>
              <w:t>Jurisdicton of Incorporaton</w:t>
            </w:r>
          </w:p>
        </w:tc>
        <w:tc>
          <w:tcPr>
            <w:tcW w:w="0" w:type="dxa"/>
            <w:vAlign w:val="bottom"/>
          </w:tcPr>
          <w:p>
            <w:pPr>
              <w:spacing w:after="0"/>
              <w:rPr>
                <w:sz w:val="1"/>
                <w:szCs w:val="1"/>
                <w:color w:val="auto"/>
              </w:rPr>
            </w:pPr>
          </w:p>
        </w:tc>
      </w:tr>
      <w:tr>
        <w:trPr>
          <w:trHeight w:val="459"/>
        </w:trPr>
        <w:tc>
          <w:tcPr>
            <w:tcW w:w="5620" w:type="dxa"/>
            <w:vAlign w:val="bottom"/>
          </w:tcPr>
          <w:p>
            <w:pPr>
              <w:spacing w:after="0"/>
              <w:rPr>
                <w:sz w:val="20"/>
                <w:szCs w:val="20"/>
                <w:color w:val="auto"/>
              </w:rPr>
            </w:pPr>
            <w:r>
              <w:rPr>
                <w:rFonts w:ascii="Calibri" w:cs="Calibri" w:eastAsia="Calibri" w:hAnsi="Calibri"/>
                <w:sz w:val="20"/>
                <w:szCs w:val="20"/>
                <w:color w:val="auto"/>
              </w:rPr>
              <w:t>Culp Fabrics (Shanghai) Co., Ltd.</w:t>
            </w:r>
          </w:p>
        </w:tc>
        <w:tc>
          <w:tcPr>
            <w:tcW w:w="4540" w:type="dxa"/>
            <w:vAlign w:val="bottom"/>
          </w:tcPr>
          <w:p>
            <w:pPr>
              <w:ind w:left="1140"/>
              <w:spacing w:after="0"/>
              <w:rPr>
                <w:sz w:val="20"/>
                <w:szCs w:val="20"/>
                <w:color w:val="auto"/>
              </w:rPr>
            </w:pPr>
            <w:r>
              <w:rPr>
                <w:rFonts w:ascii="Calibri" w:cs="Calibri" w:eastAsia="Calibri" w:hAnsi="Calibri"/>
                <w:sz w:val="20"/>
                <w:szCs w:val="20"/>
                <w:color w:val="auto"/>
              </w:rPr>
              <w:t>People’s Republic of China</w:t>
            </w:r>
          </w:p>
        </w:tc>
        <w:tc>
          <w:tcPr>
            <w:tcW w:w="0" w:type="dxa"/>
            <w:vAlign w:val="bottom"/>
          </w:tcPr>
          <w:p>
            <w:pPr>
              <w:spacing w:after="0"/>
              <w:rPr>
                <w:sz w:val="1"/>
                <w:szCs w:val="1"/>
                <w:color w:val="auto"/>
              </w:rPr>
            </w:pPr>
          </w:p>
        </w:tc>
      </w:tr>
      <w:tr>
        <w:trPr>
          <w:trHeight w:val="459"/>
        </w:trPr>
        <w:tc>
          <w:tcPr>
            <w:tcW w:w="5620" w:type="dxa"/>
            <w:vAlign w:val="bottom"/>
          </w:tcPr>
          <w:p>
            <w:pPr>
              <w:spacing w:after="0"/>
              <w:rPr>
                <w:sz w:val="20"/>
                <w:szCs w:val="20"/>
                <w:color w:val="auto"/>
              </w:rPr>
            </w:pPr>
            <w:r>
              <w:rPr>
                <w:rFonts w:ascii="Calibri" w:cs="Calibri" w:eastAsia="Calibri" w:hAnsi="Calibri"/>
                <w:sz w:val="20"/>
                <w:szCs w:val="20"/>
                <w:color w:val="auto"/>
              </w:rPr>
              <w:t>Culp Internatonal Holdings Ltd.</w:t>
            </w:r>
          </w:p>
        </w:tc>
        <w:tc>
          <w:tcPr>
            <w:tcW w:w="4540" w:type="dxa"/>
            <w:vAlign w:val="bottom"/>
          </w:tcPr>
          <w:p>
            <w:pPr>
              <w:ind w:left="1140"/>
              <w:spacing w:after="0"/>
              <w:rPr>
                <w:sz w:val="20"/>
                <w:szCs w:val="20"/>
                <w:color w:val="auto"/>
              </w:rPr>
            </w:pPr>
            <w:r>
              <w:rPr>
                <w:rFonts w:ascii="Calibri" w:cs="Calibri" w:eastAsia="Calibri" w:hAnsi="Calibri"/>
                <w:sz w:val="20"/>
                <w:szCs w:val="20"/>
                <w:color w:val="auto"/>
              </w:rPr>
              <w:t>Cayman Islands</w:t>
            </w:r>
          </w:p>
        </w:tc>
        <w:tc>
          <w:tcPr>
            <w:tcW w:w="0" w:type="dxa"/>
            <w:vAlign w:val="bottom"/>
          </w:tcPr>
          <w:p>
            <w:pPr>
              <w:spacing w:after="0"/>
              <w:rPr>
                <w:sz w:val="1"/>
                <w:szCs w:val="1"/>
                <w:color w:val="auto"/>
              </w:rPr>
            </w:pPr>
          </w:p>
        </w:tc>
      </w:tr>
      <w:tr>
        <w:trPr>
          <w:trHeight w:val="459"/>
        </w:trPr>
        <w:tc>
          <w:tcPr>
            <w:tcW w:w="5620" w:type="dxa"/>
            <w:vAlign w:val="bottom"/>
          </w:tcPr>
          <w:p>
            <w:pPr>
              <w:spacing w:after="0"/>
              <w:rPr>
                <w:sz w:val="20"/>
                <w:szCs w:val="20"/>
                <w:color w:val="auto"/>
              </w:rPr>
            </w:pPr>
            <w:r>
              <w:rPr>
                <w:rFonts w:ascii="Calibri" w:cs="Calibri" w:eastAsia="Calibri" w:hAnsi="Calibri"/>
                <w:sz w:val="20"/>
                <w:szCs w:val="20"/>
                <w:color w:val="auto"/>
              </w:rPr>
              <w:t>Culp  Home  Fashions  –  Hait,  Ltd.  (f/k/a  CLASS</w:t>
            </w:r>
          </w:p>
        </w:tc>
        <w:tc>
          <w:tcPr>
            <w:tcW w:w="4540" w:type="dxa"/>
            <w:vAlign w:val="bottom"/>
            <w:vMerge w:val="restart"/>
          </w:tcPr>
          <w:p>
            <w:pPr>
              <w:ind w:left="1140"/>
              <w:spacing w:after="0"/>
              <w:rPr>
                <w:sz w:val="20"/>
                <w:szCs w:val="20"/>
                <w:color w:val="auto"/>
              </w:rPr>
            </w:pPr>
            <w:r>
              <w:rPr>
                <w:rFonts w:ascii="Calibri" w:cs="Calibri" w:eastAsia="Calibri" w:hAnsi="Calibri"/>
                <w:sz w:val="20"/>
                <w:szCs w:val="20"/>
                <w:color w:val="auto"/>
              </w:rPr>
              <w:t>Cayman Islands</w:t>
            </w:r>
          </w:p>
        </w:tc>
        <w:tc>
          <w:tcPr>
            <w:tcW w:w="0" w:type="dxa"/>
            <w:vAlign w:val="bottom"/>
          </w:tcPr>
          <w:p>
            <w:pPr>
              <w:spacing w:after="0"/>
              <w:rPr>
                <w:sz w:val="1"/>
                <w:szCs w:val="1"/>
                <w:color w:val="auto"/>
              </w:rPr>
            </w:pPr>
          </w:p>
        </w:tc>
      </w:tr>
      <w:tr>
        <w:trPr>
          <w:trHeight w:val="122"/>
        </w:trPr>
        <w:tc>
          <w:tcPr>
            <w:tcW w:w="5620" w:type="dxa"/>
            <w:vAlign w:val="bottom"/>
            <w:vMerge w:val="restart"/>
          </w:tcPr>
          <w:p>
            <w:pPr>
              <w:spacing w:after="0" w:line="243" w:lineRule="exact"/>
              <w:rPr>
                <w:sz w:val="20"/>
                <w:szCs w:val="20"/>
                <w:color w:val="auto"/>
              </w:rPr>
            </w:pPr>
            <w:r>
              <w:rPr>
                <w:rFonts w:ascii="Calibri" w:cs="Calibri" w:eastAsia="Calibri" w:hAnsi="Calibri"/>
                <w:sz w:val="20"/>
                <w:szCs w:val="20"/>
                <w:color w:val="auto"/>
              </w:rPr>
              <w:t>Internatonal Holdings Ltd.)</w:t>
            </w:r>
          </w:p>
        </w:tc>
        <w:tc>
          <w:tcPr>
            <w:tcW w:w="4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620" w:type="dxa"/>
            <w:vAlign w:val="bottom"/>
            <w:vMerge w:val="continue"/>
          </w:tcPr>
          <w:p>
            <w:pPr>
              <w:spacing w:after="0"/>
              <w:rPr>
                <w:sz w:val="10"/>
                <w:szCs w:val="10"/>
                <w:color w:val="auto"/>
              </w:rPr>
            </w:pPr>
          </w:p>
        </w:tc>
        <w:tc>
          <w:tcPr>
            <w:tcW w:w="4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59"/>
        </w:trPr>
        <w:tc>
          <w:tcPr>
            <w:tcW w:w="5620" w:type="dxa"/>
            <w:vAlign w:val="bottom"/>
          </w:tcPr>
          <w:p>
            <w:pPr>
              <w:spacing w:after="0"/>
              <w:rPr>
                <w:sz w:val="20"/>
                <w:szCs w:val="20"/>
                <w:color w:val="auto"/>
              </w:rPr>
            </w:pPr>
            <w:r>
              <w:rPr>
                <w:rFonts w:ascii="Calibri" w:cs="Calibri" w:eastAsia="Calibri" w:hAnsi="Calibri"/>
                <w:sz w:val="20"/>
                <w:szCs w:val="20"/>
                <w:color w:val="auto"/>
              </w:rPr>
              <w:t>Culp Upholstery Fabrics – Hait, Ltd.</w:t>
            </w:r>
          </w:p>
        </w:tc>
        <w:tc>
          <w:tcPr>
            <w:tcW w:w="4540" w:type="dxa"/>
            <w:vAlign w:val="bottom"/>
          </w:tcPr>
          <w:p>
            <w:pPr>
              <w:ind w:left="1140"/>
              <w:spacing w:after="0"/>
              <w:rPr>
                <w:sz w:val="20"/>
                <w:szCs w:val="20"/>
                <w:color w:val="auto"/>
              </w:rPr>
            </w:pPr>
            <w:r>
              <w:rPr>
                <w:rFonts w:ascii="Calibri" w:cs="Calibri" w:eastAsia="Calibri" w:hAnsi="Calibri"/>
                <w:sz w:val="20"/>
                <w:szCs w:val="20"/>
                <w:color w:val="auto"/>
              </w:rPr>
              <w:t>Cayman Islands</w:t>
            </w:r>
          </w:p>
        </w:tc>
        <w:tc>
          <w:tcPr>
            <w:tcW w:w="0" w:type="dxa"/>
            <w:vAlign w:val="bottom"/>
          </w:tcPr>
          <w:p>
            <w:pPr>
              <w:spacing w:after="0"/>
              <w:rPr>
                <w:sz w:val="1"/>
                <w:szCs w:val="1"/>
                <w:color w:val="auto"/>
              </w:rPr>
            </w:pPr>
          </w:p>
        </w:tc>
      </w:tr>
      <w:tr>
        <w:trPr>
          <w:trHeight w:val="459"/>
        </w:trPr>
        <w:tc>
          <w:tcPr>
            <w:tcW w:w="5620" w:type="dxa"/>
            <w:vAlign w:val="bottom"/>
          </w:tcPr>
          <w:p>
            <w:pPr>
              <w:spacing w:after="0"/>
              <w:rPr>
                <w:sz w:val="20"/>
                <w:szCs w:val="20"/>
                <w:color w:val="auto"/>
              </w:rPr>
            </w:pPr>
            <w:r>
              <w:rPr>
                <w:rFonts w:ascii="Calibri" w:cs="Calibri" w:eastAsia="Calibri" w:hAnsi="Calibri"/>
                <w:sz w:val="20"/>
                <w:szCs w:val="20"/>
                <w:color w:val="auto"/>
              </w:rPr>
              <w:t>Rayonese Textle Inc.</w:t>
            </w:r>
          </w:p>
        </w:tc>
        <w:tc>
          <w:tcPr>
            <w:tcW w:w="4540" w:type="dxa"/>
            <w:vAlign w:val="bottom"/>
          </w:tcPr>
          <w:p>
            <w:pPr>
              <w:ind w:left="1140"/>
              <w:spacing w:after="0"/>
              <w:rPr>
                <w:sz w:val="20"/>
                <w:szCs w:val="20"/>
                <w:color w:val="auto"/>
              </w:rPr>
            </w:pPr>
            <w:r>
              <w:rPr>
                <w:rFonts w:ascii="Calibri" w:cs="Calibri" w:eastAsia="Calibri" w:hAnsi="Calibri"/>
                <w:sz w:val="20"/>
                <w:szCs w:val="20"/>
                <w:color w:val="auto"/>
              </w:rPr>
              <w:t>Canada</w:t>
            </w:r>
          </w:p>
        </w:tc>
        <w:tc>
          <w:tcPr>
            <w:tcW w:w="0" w:type="dxa"/>
            <w:vAlign w:val="bottom"/>
          </w:tcPr>
          <w:p>
            <w:pPr>
              <w:spacing w:after="0"/>
              <w:rPr>
                <w:sz w:val="1"/>
                <w:szCs w:val="1"/>
                <w:color w:val="auto"/>
              </w:rPr>
            </w:pPr>
          </w:p>
        </w:tc>
      </w:tr>
      <w:tr>
        <w:trPr>
          <w:trHeight w:val="459"/>
        </w:trPr>
        <w:tc>
          <w:tcPr>
            <w:tcW w:w="5620" w:type="dxa"/>
            <w:vAlign w:val="bottom"/>
          </w:tcPr>
          <w:p>
            <w:pPr>
              <w:spacing w:after="0"/>
              <w:rPr>
                <w:sz w:val="20"/>
                <w:szCs w:val="20"/>
                <w:color w:val="auto"/>
              </w:rPr>
            </w:pPr>
            <w:r>
              <w:rPr>
                <w:rFonts w:ascii="Calibri" w:cs="Calibri" w:eastAsia="Calibri" w:hAnsi="Calibri"/>
                <w:sz w:val="20"/>
                <w:szCs w:val="20"/>
                <w:color w:val="auto"/>
              </w:rPr>
              <w:t>Read Window Products, LLC</w:t>
            </w:r>
          </w:p>
        </w:tc>
        <w:tc>
          <w:tcPr>
            <w:tcW w:w="4540" w:type="dxa"/>
            <w:vAlign w:val="bottom"/>
          </w:tcPr>
          <w:p>
            <w:pPr>
              <w:ind w:left="1140"/>
              <w:spacing w:after="0"/>
              <w:rPr>
                <w:sz w:val="20"/>
                <w:szCs w:val="20"/>
                <w:color w:val="auto"/>
              </w:rPr>
            </w:pPr>
            <w:r>
              <w:rPr>
                <w:rFonts w:ascii="Calibri" w:cs="Calibri" w:eastAsia="Calibri" w:hAnsi="Calibri"/>
                <w:sz w:val="20"/>
                <w:szCs w:val="20"/>
                <w:color w:val="auto"/>
              </w:rPr>
              <w:t>United States (North Carolina)</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5"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issued our reports dated July 15, 2022, with respect to the consolidated financial statements and internal control over financial reporting included in the Annual Report of Culp, Inc. on Form 10-K for the fiscal year ended May 1, 2022. We hereby consent to the incorporation by reference of said reports in the Registration Statements of Culp, Inc. on Forms S-8 (File No. 333-207195 and File No. 33-13310).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15, 2022</w:t>
      </w:r>
    </w:p>
    <w:p>
      <w:pPr>
        <w:sectPr>
          <w:pgSz w:w="11900" w:h="16838" w:orient="portrait"/>
          <w:cols w:equalWidth="0" w:num="1">
            <w:col w:w="11240"/>
          </w:cols>
          <w:pgMar w:left="320" w:top="117"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24(a)</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43" w:lineRule="exact"/>
        <w:rPr>
          <w:sz w:val="20"/>
          <w:szCs w:val="20"/>
          <w:color w:val="auto"/>
        </w:rPr>
      </w:pPr>
    </w:p>
    <w:p>
      <w:pPr>
        <w:jc w:val="both"/>
        <w:ind w:firstLine="950"/>
        <w:spacing w:after="0" w:line="258" w:lineRule="auto"/>
        <w:rPr>
          <w:sz w:val="20"/>
          <w:szCs w:val="20"/>
          <w:color w:val="auto"/>
        </w:rPr>
      </w:pPr>
      <w:r>
        <w:rPr>
          <w:rFonts w:ascii="Times New Roman" w:cs="Times New Roman" w:eastAsia="Times New Roman" w:hAnsi="Times New Roman"/>
          <w:sz w:val="18"/>
          <w:szCs w:val="18"/>
          <w:color w:val="auto"/>
        </w:rPr>
        <w:t>KNOW ALL MEN BY THESE PRESENTS that the undersigned director of CULP, INC., a North Carolina corporation, hereby constitutes and appoints KENNETH R. BOWLING the true and lawful agent and attorney-in-fact to sign for the undersigned as a director of the Corporation the Corporation's Annual Report on Form 10-K for the year ended May 1, 2022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197"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8"/>
          <w:szCs w:val="18"/>
          <w:color w:val="auto"/>
        </w:rPr>
        <w:t>/s/ John A. Baugh</w:t>
      </w:r>
    </w:p>
    <w:p>
      <w:pPr>
        <w:spacing w:after="0" w:line="36"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8"/>
          <w:szCs w:val="18"/>
          <w:color w:val="auto"/>
        </w:rPr>
        <w:t>John A. Baugh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-127635</wp:posOffset>
            </wp:positionV>
            <wp:extent cx="1482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July 15, 2022</w:t>
      </w:r>
    </w:p>
    <w:p>
      <w:pPr>
        <w:sectPr>
          <w:pgSz w:w="11900" w:h="16838" w:orient="portrait"/>
          <w:cols w:equalWidth="0" w:num="1">
            <w:col w:w="11240"/>
          </w:cols>
          <w:pgMar w:left="320" w:top="117"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24(b)</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43" w:lineRule="exact"/>
        <w:rPr>
          <w:sz w:val="20"/>
          <w:szCs w:val="20"/>
          <w:color w:val="auto"/>
        </w:rPr>
      </w:pPr>
    </w:p>
    <w:p>
      <w:pPr>
        <w:jc w:val="both"/>
        <w:ind w:firstLine="950"/>
        <w:spacing w:after="0" w:line="258" w:lineRule="auto"/>
        <w:rPr>
          <w:sz w:val="20"/>
          <w:szCs w:val="20"/>
          <w:color w:val="auto"/>
        </w:rPr>
      </w:pPr>
      <w:r>
        <w:rPr>
          <w:rFonts w:ascii="Times New Roman" w:cs="Times New Roman" w:eastAsia="Times New Roman" w:hAnsi="Times New Roman"/>
          <w:sz w:val="18"/>
          <w:szCs w:val="18"/>
          <w:color w:val="auto"/>
        </w:rPr>
        <w:t>KNOW ALL MEN BY THESE PRESENTS that the undersigned director of CULP, INC., a North Carolina corporation, hereby constitutes and appoints KENNETH R. BOWLING the true and lawful agent and attorney-in-fact to sign for the undersigned as a director of the Corporation the Corporation's Annual Report on Form 10-K for the year ended May 1, 2022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197"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color w:val="auto"/>
        </w:rPr>
        <w:t>/s/ Perry 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17145</wp:posOffset>
            </wp:positionV>
            <wp:extent cx="15862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7"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color w:val="auto"/>
        </w:rPr>
        <w:t>Perry E. Davis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July 15, 2022</w:t>
      </w:r>
    </w:p>
    <w:p>
      <w:pPr>
        <w:sectPr>
          <w:pgSz w:w="11900" w:h="16838" w:orient="portrait"/>
          <w:cols w:equalWidth="0" w:num="1">
            <w:col w:w="11240"/>
          </w:cols>
          <w:pgMar w:left="320" w:top="117"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24(c)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43" w:lineRule="exact"/>
        <w:rPr>
          <w:sz w:val="20"/>
          <w:szCs w:val="20"/>
          <w:color w:val="auto"/>
        </w:rPr>
      </w:pPr>
    </w:p>
    <w:p>
      <w:pPr>
        <w:jc w:val="both"/>
        <w:ind w:firstLine="950"/>
        <w:spacing w:after="0" w:line="258" w:lineRule="auto"/>
        <w:rPr>
          <w:sz w:val="20"/>
          <w:szCs w:val="20"/>
          <w:color w:val="auto"/>
        </w:rPr>
      </w:pPr>
      <w:r>
        <w:rPr>
          <w:rFonts w:ascii="Times New Roman" w:cs="Times New Roman" w:eastAsia="Times New Roman" w:hAnsi="Times New Roman"/>
          <w:sz w:val="18"/>
          <w:szCs w:val="18"/>
          <w:color w:val="auto"/>
        </w:rPr>
        <w:t>KNOW ALL MEN BY THESE PRESENTS that the undersigned director of CULP, INC., a North Carolina corporation, hereby constitutes and appoints KENNETH R. BOWLING the true and lawful agent and attorney-in-fact to sign for the undersigned as a director of the Corporation the Corporation's Annual Report on Form 10-K for the year ended May 1, 2022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197"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8"/>
          <w:szCs w:val="18"/>
          <w:color w:val="auto"/>
        </w:rPr>
        <w:t>/s/ Sharon A. Decker</w:t>
      </w:r>
    </w:p>
    <w:p>
      <w:pPr>
        <w:spacing w:after="0" w:line="36"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8"/>
          <w:szCs w:val="18"/>
          <w:color w:val="auto"/>
        </w:rPr>
        <w:t>Sharon A. Decker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-127635</wp:posOffset>
            </wp:positionV>
            <wp:extent cx="1482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July 15, 2022</w:t>
      </w:r>
    </w:p>
    <w:p>
      <w:pPr>
        <w:sectPr>
          <w:pgSz w:w="11900" w:h="16838" w:orient="portrait"/>
          <w:cols w:equalWidth="0" w:num="1">
            <w:col w:w="11240"/>
          </w:cols>
          <w:pgMar w:left="320" w:top="117"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24(d)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43" w:lineRule="exact"/>
        <w:rPr>
          <w:sz w:val="20"/>
          <w:szCs w:val="20"/>
          <w:color w:val="auto"/>
        </w:rPr>
      </w:pPr>
    </w:p>
    <w:p>
      <w:pPr>
        <w:jc w:val="both"/>
        <w:ind w:firstLine="950"/>
        <w:spacing w:after="0" w:line="258" w:lineRule="auto"/>
        <w:rPr>
          <w:sz w:val="20"/>
          <w:szCs w:val="20"/>
          <w:color w:val="auto"/>
        </w:rPr>
      </w:pPr>
      <w:r>
        <w:rPr>
          <w:rFonts w:ascii="Times New Roman" w:cs="Times New Roman" w:eastAsia="Times New Roman" w:hAnsi="Times New Roman"/>
          <w:sz w:val="18"/>
          <w:szCs w:val="18"/>
          <w:color w:val="auto"/>
        </w:rPr>
        <w:t>KNOW ALL MEN BY THESE PRESENTS that the undersigned director of CULP, INC., a North Carolina corporation, hereby constitutes and appoints KENNETH R. BOWLING the true and lawful agent and attorney-in-fact to sign for the undersigned as a director of the Corporation the Corporation's Annual Report on Form 10-K for the year ended May 1, 2022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197"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8"/>
          <w:szCs w:val="18"/>
          <w:color w:val="auto"/>
        </w:rPr>
        <w:t>/s/ Kimberly B. Gatling</w:t>
      </w:r>
    </w:p>
    <w:p>
      <w:pPr>
        <w:spacing w:after="0" w:line="36"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8"/>
          <w:szCs w:val="18"/>
          <w:color w:val="auto"/>
        </w:rPr>
        <w:t>Kimberly B. Gatling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-127635</wp:posOffset>
            </wp:positionV>
            <wp:extent cx="14916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July 15, 2022</w:t>
      </w:r>
    </w:p>
    <w:p>
      <w:pPr>
        <w:sectPr>
          <w:pgSz w:w="11900" w:h="16838" w:orient="portrait"/>
          <w:cols w:equalWidth="0" w:num="1">
            <w:col w:w="11240"/>
          </w:cols>
          <w:pgMar w:left="320" w:top="117"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24(e)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43" w:lineRule="exact"/>
        <w:rPr>
          <w:sz w:val="20"/>
          <w:szCs w:val="20"/>
          <w:color w:val="auto"/>
        </w:rPr>
      </w:pPr>
    </w:p>
    <w:p>
      <w:pPr>
        <w:jc w:val="both"/>
        <w:ind w:firstLine="950"/>
        <w:spacing w:after="0" w:line="258" w:lineRule="auto"/>
        <w:rPr>
          <w:sz w:val="20"/>
          <w:szCs w:val="20"/>
          <w:color w:val="auto"/>
        </w:rPr>
      </w:pPr>
      <w:r>
        <w:rPr>
          <w:rFonts w:ascii="Times New Roman" w:cs="Times New Roman" w:eastAsia="Times New Roman" w:hAnsi="Times New Roman"/>
          <w:sz w:val="18"/>
          <w:szCs w:val="18"/>
          <w:color w:val="auto"/>
        </w:rPr>
        <w:t>KNOW ALL MEN BY THESE PRESENTS that the undersigned director of CULP, INC., a North Carolina corporation, hereby constitutes and appoints KENNETH R. BOWLING the true and lawful agent and attorney-in-fact to sign for the undersigned as a director of the Corporation the Corporation's Annual Report on Form 10-K for the year ended May 1, 2022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197"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color w:val="auto"/>
        </w:rPr>
        <w:t>/s/ Fred A. Jackson</w:t>
      </w:r>
    </w:p>
    <w:p>
      <w:pPr>
        <w:spacing w:after="0" w:line="36"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color w:val="auto"/>
        </w:rPr>
        <w:t>Fred A.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-127635</wp:posOffset>
            </wp:positionV>
            <wp:extent cx="16884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July 15, 2022</w:t>
      </w:r>
    </w:p>
    <w:p>
      <w:pPr>
        <w:sectPr>
          <w:pgSz w:w="11900" w:h="16838" w:orient="portrait"/>
          <w:cols w:equalWidth="0" w:num="1">
            <w:col w:w="11240"/>
          </w:cols>
          <w:pgMar w:left="320" w:top="117"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24(f)</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43" w:lineRule="exact"/>
        <w:rPr>
          <w:sz w:val="20"/>
          <w:szCs w:val="20"/>
          <w:color w:val="auto"/>
        </w:rPr>
      </w:pPr>
    </w:p>
    <w:p>
      <w:pPr>
        <w:jc w:val="both"/>
        <w:ind w:firstLine="950"/>
        <w:spacing w:after="0" w:line="258" w:lineRule="auto"/>
        <w:rPr>
          <w:sz w:val="20"/>
          <w:szCs w:val="20"/>
          <w:color w:val="auto"/>
        </w:rPr>
      </w:pPr>
      <w:r>
        <w:rPr>
          <w:rFonts w:ascii="Times New Roman" w:cs="Times New Roman" w:eastAsia="Times New Roman" w:hAnsi="Times New Roman"/>
          <w:sz w:val="18"/>
          <w:szCs w:val="18"/>
          <w:color w:val="auto"/>
        </w:rPr>
        <w:t>KNOW ALL MEN BY THESE PRESENTS that the undersigned director of CULP, INC., a North Carolina corporation, hereby constitutes and appoints KENNETH R. BOWLING the true and lawful agent and attorney-in-fact to sign for the undersigned as a director of the Corporation the Corporation's Annual Report on Form 10-K for the year ended May 1, 2022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197"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color w:val="auto"/>
        </w:rPr>
        <w:t>/s/ Jonathan L. Kelly</w:t>
      </w:r>
    </w:p>
    <w:p>
      <w:pPr>
        <w:spacing w:after="0" w:line="36"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color w:val="auto"/>
        </w:rPr>
        <w:t>Jonathan L.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-127635</wp:posOffset>
            </wp:positionV>
            <wp:extent cx="16884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July 15, 2022</w:t>
      </w:r>
    </w:p>
    <w:p>
      <w:pPr>
        <w:sectPr>
          <w:pgSz w:w="11900" w:h="16838" w:orient="portrait"/>
          <w:cols w:equalWidth="0" w:num="1">
            <w:col w:w="11240"/>
          </w:cols>
          <w:pgMar w:left="320" w:top="117"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440" w:hanging="432"/>
        <w:spacing w:after="0"/>
        <w:tabs>
          <w:tab w:leader="none" w:pos="4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Robert G. Culp, IV, certify that: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reviewed this report on Form 10-K of Culp, Inc.;</w:t>
      </w:r>
    </w:p>
    <w:p>
      <w:pPr>
        <w:spacing w:after="0" w:line="117" w:lineRule="exact"/>
        <w:rPr>
          <w:sz w:val="20"/>
          <w:szCs w:val="20"/>
          <w:color w:val="auto"/>
        </w:rPr>
      </w:pPr>
    </w:p>
    <w:p>
      <w:pPr>
        <w:jc w:val="both"/>
        <w:ind w:left="440" w:hanging="432"/>
        <w:spacing w:after="0" w:line="266" w:lineRule="auto"/>
        <w:tabs>
          <w:tab w:leader="none" w:pos="4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Robert G. Culp, IV</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Robert G. Culp, IV</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15, 2022</w:t>
      </w:r>
    </w:p>
    <w:p>
      <w:pPr>
        <w:sectPr>
          <w:pgSz w:w="11900" w:h="16838" w:orient="portrait"/>
          <w:cols w:equalWidth="0" w:num="1">
            <w:col w:w="11240"/>
          </w:cols>
          <w:pgMar w:left="320" w:top="117"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440" w:hanging="432"/>
        <w:spacing w:after="0"/>
        <w:tabs>
          <w:tab w:leader="none" w:pos="4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Kenneth R. Bowling, certify that: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reviewed this report on Form 10-K of Culp, Inc.;</w:t>
      </w:r>
    </w:p>
    <w:p>
      <w:pPr>
        <w:spacing w:after="0" w:line="117" w:lineRule="exact"/>
        <w:rPr>
          <w:sz w:val="20"/>
          <w:szCs w:val="20"/>
          <w:color w:val="auto"/>
        </w:rPr>
      </w:pPr>
    </w:p>
    <w:p>
      <w:pPr>
        <w:jc w:val="both"/>
        <w:ind w:left="440" w:hanging="432"/>
        <w:spacing w:after="0" w:line="266" w:lineRule="auto"/>
        <w:tabs>
          <w:tab w:leader="none" w:pos="4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Kenneth R. Bowling</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Kenneth R. Bowling</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15, 2022</w:t>
      </w:r>
    </w:p>
    <w:p>
      <w:pPr>
        <w:sectPr>
          <w:pgSz w:w="11900" w:h="16838" w:orient="portrait"/>
          <w:cols w:equalWidth="0" w:num="1">
            <w:col w:w="11240"/>
          </w:cols>
          <w:pgMar w:left="320" w:top="117"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32(a)</w:t>
      </w: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0" w:lineRule="exact"/>
        <w:rPr>
          <w:sz w:val="20"/>
          <w:szCs w:val="20"/>
          <w:color w:val="auto"/>
        </w:rPr>
      </w:pPr>
    </w:p>
    <w:p>
      <w:pPr>
        <w:jc w:val="both"/>
        <w:ind w:firstLine="95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Culp, Inc. (the “Company”) on Form 10-K for the fiscal year ended May 1, 2022 as filed with the Securities and Exchange Commission on the date hereof (the “Report”), I, Robert G. Culp, IV, certify, pursuant to 18 U.S.C. Section 1350, as adopted pursuant to Section 906 of the Sarbanes-Oxley Act of 2002, that, to my knowledge:</w:t>
      </w:r>
    </w:p>
    <w:p>
      <w:pPr>
        <w:spacing w:after="0" w:line="189" w:lineRule="exact"/>
        <w:rPr>
          <w:sz w:val="20"/>
          <w:szCs w:val="20"/>
          <w:color w:val="auto"/>
        </w:rPr>
      </w:pPr>
    </w:p>
    <w:p>
      <w:pPr>
        <w:ind w:left="1260" w:hanging="302"/>
        <w:spacing w:after="0"/>
        <w:tabs>
          <w:tab w:leader="none" w:pos="1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38" w:lineRule="exact"/>
        <w:rPr>
          <w:rFonts w:ascii="Times New Roman" w:cs="Times New Roman" w:eastAsia="Times New Roman" w:hAnsi="Times New Roman"/>
          <w:sz w:val="18"/>
          <w:szCs w:val="18"/>
          <w:color w:val="auto"/>
        </w:rPr>
      </w:pPr>
    </w:p>
    <w:p>
      <w:pPr>
        <w:ind w:left="1300" w:hanging="342"/>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G. Culp, IV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15, 2022</w:t>
      </w:r>
    </w:p>
    <w:p>
      <w:pPr>
        <w:spacing w:after="0" w:line="239" w:lineRule="exact"/>
        <w:rPr>
          <w:sz w:val="20"/>
          <w:szCs w:val="20"/>
          <w:color w:val="auto"/>
        </w:rPr>
      </w:pPr>
    </w:p>
    <w:p>
      <w:pPr>
        <w:jc w:val="both"/>
        <w:ind w:firstLine="95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32(b)</w:t>
      </w: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0" w:lineRule="exact"/>
        <w:rPr>
          <w:sz w:val="20"/>
          <w:szCs w:val="20"/>
          <w:color w:val="auto"/>
        </w:rPr>
      </w:pPr>
    </w:p>
    <w:p>
      <w:pPr>
        <w:jc w:val="both"/>
        <w:ind w:firstLine="95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Culp, Inc. (the “Company”) on Form 10-K for the fiscal year ended May 1, 2022 as filed with the Securities and Exchange Commission on the date hereof (the “Report”), I, Kenneth R. Bowling, certify, pursuant to 18 U.S.C. Section 1350, as adopted pursuant to Section 906 of the Sarbanes-Oxley Act of 2002, that, to my knowledge:</w:t>
      </w:r>
    </w:p>
    <w:p>
      <w:pPr>
        <w:spacing w:after="0" w:line="189" w:lineRule="exact"/>
        <w:rPr>
          <w:sz w:val="20"/>
          <w:szCs w:val="20"/>
          <w:color w:val="auto"/>
        </w:rPr>
      </w:pPr>
    </w:p>
    <w:p>
      <w:pPr>
        <w:ind w:left="1260" w:hanging="302"/>
        <w:spacing w:after="0"/>
        <w:tabs>
          <w:tab w:leader="none" w:pos="1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38" w:lineRule="exact"/>
        <w:rPr>
          <w:rFonts w:ascii="Times New Roman" w:cs="Times New Roman" w:eastAsia="Times New Roman" w:hAnsi="Times New Roman"/>
          <w:sz w:val="18"/>
          <w:szCs w:val="18"/>
          <w:color w:val="auto"/>
        </w:rPr>
      </w:pPr>
    </w:p>
    <w:p>
      <w:pPr>
        <w:ind w:left="1300" w:hanging="342"/>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R. Bowling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15, 2022</w:t>
      </w:r>
    </w:p>
    <w:p>
      <w:pPr>
        <w:spacing w:after="0" w:line="239" w:lineRule="exact"/>
        <w:rPr>
          <w:sz w:val="20"/>
          <w:szCs w:val="20"/>
          <w:color w:val="auto"/>
        </w:rPr>
      </w:pPr>
    </w:p>
    <w:p>
      <w:pPr>
        <w:jc w:val="both"/>
        <w:ind w:firstLine="95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decimal"/>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1)"/>
      <w:numFmt w:val="decimal"/>
      <w:start w:val="781"/>
    </w:lvl>
  </w:abstractNum>
  <w:abstractNum w:abstractNumId="4">
    <w:nsid w:val="1E7FF521"/>
    <w:multiLevelType w:val="hybridMultilevel"/>
    <w:lvl w:ilvl="0">
      <w:lvlJc w:val="left"/>
      <w:lvlText w:val="(%1)"/>
      <w:numFmt w:val="decimal"/>
      <w:start w:val="1"/>
    </w:lvl>
  </w:abstractNum>
  <w:abstractNum w:abstractNumId="5">
    <w:nsid w:val="7C3DBD3D"/>
    <w:multiLevelType w:val="hybridMultilevel"/>
    <w:lvl w:ilvl="0">
      <w:lvlJc w:val="left"/>
      <w:lvlText w:val="(%1)"/>
      <w:numFmt w:val="decimal"/>
      <w:start w:val="2"/>
    </w:lvl>
  </w:abstractNum>
  <w:abstractNum w:abstractNumId="6">
    <w:nsid w:val="737B8DDC"/>
    <w:multiLevelType w:val="hybridMultilevel"/>
    <w:lvl w:ilvl="0">
      <w:lvlJc w:val="left"/>
      <w:lvlText w:val="(%1)"/>
      <w:numFmt w:val="decimal"/>
      <w:start w:val="1"/>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1."/>
      <w:numFmt w:val="decimal"/>
      <w:start w:val="2"/>
    </w:lvl>
  </w:abstractNum>
  <w:abstractNum w:abstractNumId="10">
    <w:nsid w:val="3006C83E"/>
    <w:multiLevelType w:val="hybridMultilevel"/>
    <w:lvl w:ilvl="0">
      <w:lvlJc w:val="left"/>
      <w:lvlText w:val="%1."/>
      <w:numFmt w:val="decimal"/>
      <w:start w:val="3"/>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1."/>
      <w:numFmt w:val="decimal"/>
      <w:start w:val="4"/>
    </w:lvl>
  </w:abstractNum>
  <w:abstractNum w:abstractNumId="13">
    <w:nsid w:val="5577F8E1"/>
    <w:multiLevelType w:val="hybridMultilevel"/>
    <w:lvl w:ilvl="0">
      <w:lvlJc w:val="left"/>
      <w:lvlText w:val="(%1)"/>
      <w:numFmt w:val="lowerRoman"/>
      <w:start w:val="5"/>
    </w:lvl>
  </w:abstractNum>
  <w:abstractNum w:abstractNumId="14">
    <w:nsid w:val="440BADFC"/>
    <w:multiLevelType w:val="hybridMultilevel"/>
    <w:lvl w:ilvl="0">
      <w:lvlJc w:val="left"/>
      <w:lvlText w:val="%1."/>
      <w:numFmt w:val="decimal"/>
      <w:start w:val="5"/>
    </w:lvl>
  </w:abstractNum>
  <w:abstractNum w:abstractNumId="15">
    <w:nsid w:val="5072367"/>
    <w:multiLevelType w:val="hybridMultilevel"/>
    <w:lvl w:ilvl="0">
      <w:lvlJc w:val="left"/>
      <w:lvlText w:val="%1."/>
      <w:numFmt w:val="decimal"/>
      <w:start w:val="7"/>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1."/>
      <w:numFmt w:val="decimal"/>
      <w:start w:val="9"/>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1."/>
      <w:numFmt w:val="decimal"/>
      <w:start w:val="13"/>
    </w:lvl>
  </w:abstractNum>
  <w:abstractNum w:abstractNumId="23">
    <w:nsid w:val="2D517796"/>
    <w:multiLevelType w:val="hybridMultilevel"/>
    <w:lvl w:ilvl="0">
      <w:lvlJc w:val="left"/>
      <w:lvlText w:val="%1."/>
      <w:numFmt w:val="decimal"/>
      <w:start w:val="14"/>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1)"/>
      <w:numFmt w:val="decimal"/>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decimal"/>
      <w:start w:val="7"/>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decimal"/>
      <w:start w:val="15"/>
    </w:lvl>
  </w:abstractNum>
  <w:abstractNum w:abstractNumId="31">
    <w:nsid w:val="725A06FB"/>
    <w:multiLevelType w:val="hybridMultilevel"/>
    <w:lvl w:ilvl="0">
      <w:lvlJc w:val="left"/>
      <w:lvlText w:val="%1."/>
      <w:numFmt w:val="decimal"/>
      <w:start w:val="16"/>
    </w:lvl>
  </w:abstractNum>
  <w:abstractNum w:abstractNumId="32">
    <w:nsid w:val="2CD89A32"/>
    <w:multiLevelType w:val="hybridMultilevel"/>
    <w:lvl w:ilvl="0">
      <w:lvlJc w:val="left"/>
      <w:lvlText w:val="%1."/>
      <w:numFmt w:val="decimal"/>
      <w:start w:val="17"/>
    </w:lvl>
  </w:abstractNum>
  <w:abstractNum w:abstractNumId="33">
    <w:nsid w:val="57E4CCAF"/>
    <w:multiLevelType w:val="hybridMultilevel"/>
    <w:lvl w:ilvl="0">
      <w:lvlJc w:val="left"/>
      <w:lvlText w:val="%1."/>
      <w:numFmt w:val="decimal"/>
      <w:start w:val="18"/>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4"/>
    </w:lvl>
  </w:abstractNum>
  <w:abstractNum w:abstractNumId="38">
    <w:nsid w:val="38437FDB"/>
    <w:multiLevelType w:val="hybridMultilevel"/>
    <w:lvl w:ilvl="0">
      <w:lvlJc w:val="left"/>
      <w:lvlText w:val="%1."/>
      <w:numFmt w:val="decimal"/>
      <w:start w:val="19"/>
    </w:lvl>
  </w:abstractNum>
  <w:abstractNum w:abstractNumId="39">
    <w:nsid w:val="7644A45C"/>
    <w:multiLevelType w:val="hybridMultilevel"/>
    <w:lvl w:ilvl="0">
      <w:lvlJc w:val="left"/>
      <w:lvlText w:val="%1."/>
      <w:numFmt w:val="decimal"/>
      <w:start w:val="20"/>
    </w:lvl>
  </w:abstractNum>
  <w:abstractNum w:abstractNumId="40">
    <w:nsid w:val="32FFF902"/>
    <w:multiLevelType w:val="hybridMultilevel"/>
    <w:lvl w:ilvl="0">
      <w:lvlJc w:val="left"/>
      <w:lvlText w:val="%1."/>
      <w:numFmt w:val="decimal"/>
      <w:start w:val="21"/>
    </w:lvl>
  </w:abstractNum>
  <w:abstractNum w:abstractNumId="41">
    <w:nsid w:val="684A481A"/>
    <w:multiLevelType w:val="hybridMultilevel"/>
    <w:lvl w:ilvl="0">
      <w:lvlJc w:val="left"/>
      <w:lvlText w:val="%1."/>
      <w:numFmt w:val="decimal"/>
      <w:start w:val="2"/>
    </w:lvl>
  </w:abstractNum>
  <w:abstractNum w:abstractNumId="42">
    <w:nsid w:val="579478FE"/>
    <w:multiLevelType w:val="hybridMultilevel"/>
    <w:lvl w:ilvl="0">
      <w:lvlJc w:val="left"/>
      <w:lvlText w:val="%1."/>
      <w:numFmt w:val="decimal"/>
      <w:start w:val="3"/>
    </w:lvl>
  </w:abstractNum>
  <w:abstractNum w:abstractNumId="43">
    <w:nsid w:val="749ABB43"/>
    <w:multiLevelType w:val="hybridMultilevel"/>
    <w:lvl w:ilvl="0">
      <w:lvlJc w:val="left"/>
      <w:lvlText w:val="%1"/>
      <w:numFmt w:val="decimal"/>
      <w:start w:val="23"/>
    </w:lvl>
  </w:abstractNum>
  <w:abstractNum w:abstractNumId="44">
    <w:nsid w:val="3DC240FB"/>
    <w:multiLevelType w:val="hybridMultilevel"/>
    <w:lvl w:ilvl="0">
      <w:lvlJc w:val="left"/>
      <w:lvlText w:val="%1"/>
      <w:numFmt w:val="decimal"/>
      <w:start w:val="104"/>
    </w:lvl>
  </w:abstractNum>
  <w:abstractNum w:abstractNumId="45">
    <w:nsid w:val="1BA026FA"/>
    <w:multiLevelType w:val="hybridMultilevel"/>
    <w:lvl w:ilvl="0">
      <w:lvlJc w:val="left"/>
      <w:lvlText w:val="%1)"/>
      <w:numFmt w:val="lowerLetter"/>
      <w:start w:val="2"/>
    </w:lvl>
  </w:abstractNum>
  <w:abstractNum w:abstractNumId="46">
    <w:nsid w:val="79A1DEAA"/>
    <w:multiLevelType w:val="hybridMultilevel"/>
    <w:lvl w:ilvl="0">
      <w:lvlJc w:val="left"/>
      <w:lvlText w:val="%1)"/>
      <w:numFmt w:val="lowerLetter"/>
      <w:start w:val="3"/>
    </w:lvl>
  </w:abstractNum>
  <w:abstractNum w:abstractNumId="47">
    <w:nsid w:val="75C6C33A"/>
    <w:multiLevelType w:val="hybridMultilevel"/>
    <w:lvl w:ilvl="0">
      <w:lvlJc w:val="left"/>
      <w:lvlText w:val="%1"/>
      <w:numFmt w:val="decimal"/>
      <w:start w:val="23"/>
    </w:lvl>
  </w:abstractNum>
  <w:abstractNum w:abstractNumId="48">
    <w:nsid w:val="12E685FB"/>
    <w:multiLevelType w:val="hybridMultilevel"/>
    <w:lvl w:ilvl="0">
      <w:lvlJc w:val="left"/>
      <w:lvlText w:val="%1"/>
      <w:numFmt w:val="decimal"/>
      <w:start w:val="104"/>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decimal"/>
      <w:start w:val="2"/>
    </w:lvl>
    <w:lvl w:ilvl="1">
      <w:lvlJc w:val="left"/>
      <w:lvlText w:val="(%2)"/>
      <w:numFmt w:val="lowerLetter"/>
      <w:start w:val="1"/>
    </w:lvl>
  </w:abstractNum>
  <w:abstractNum w:abstractNumId="52">
    <w:nsid w:val="4F4EF005"/>
    <w:multiLevelType w:val="hybridMultilevel"/>
    <w:lvl w:ilvl="0">
      <w:lvlJc w:val="left"/>
      <w:lvlText w:val="%1."/>
      <w:numFmt w:val="decimal"/>
      <w:start w:val="1"/>
    </w:lvl>
  </w:abstractNum>
  <w:abstractNum w:abstractNumId="53">
    <w:nsid w:val="23F9C13C"/>
    <w:multiLevelType w:val="hybridMultilevel"/>
    <w:lvl w:ilvl="0">
      <w:lvlJc w:val="left"/>
      <w:lvlText w:val="%1."/>
      <w:numFmt w:val="decimal"/>
      <w:start w:val="2"/>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18" Type="http://schemas.openxmlformats.org/officeDocument/2006/relationships/hyperlink" Target="http://www.sec.gov/Archives/edgar/data/723603/000072360302000020/exh3i.txt" TargetMode="External"/><Relationship Id="rId119" Type="http://schemas.openxmlformats.org/officeDocument/2006/relationships/hyperlink" Target="http://www.sec.gov/Archives/edgar/data/0000723603/000115752319001520/a52010021ex3_1.htm" TargetMode="External"/><Relationship Id="rId120" Type="http://schemas.openxmlformats.org/officeDocument/2006/relationships/hyperlink" Target="http://www.sec.gov/Archives/edgar/data/723603/000156459020032587/culp-ex41_308.htm" TargetMode="External"/><Relationship Id="rId121" Type="http://schemas.openxmlformats.org/officeDocument/2006/relationships/hyperlink" Target="http://www.sec.gov/Archives/edgar/data/723603/000156459022024770/culp-ex101_97.htm" TargetMode="External"/><Relationship Id="rId122" Type="http://schemas.openxmlformats.org/officeDocument/2006/relationships/hyperlink" Target="http://www.sec.gov/Archives/edgar/data/723603/000156459021047568/culp-ex101_178.htm" TargetMode="External"/><Relationship Id="rId123" Type="http://schemas.openxmlformats.org/officeDocument/2006/relationships/hyperlink" Target="http://www.sec.gov/Archives/edgar/data/723603/000156459021047568/culp-ex102_179.htm" TargetMode="External"/><Relationship Id="rId124" Type="http://schemas.openxmlformats.org/officeDocument/2006/relationships/hyperlink" Target="http://www.sec.gov/Archives/edgar/data/723603/000156459020056795/culp-ex102_121.htm" TargetMode="External"/><Relationship Id="rId125" Type="http://schemas.openxmlformats.org/officeDocument/2006/relationships/hyperlink" Target="http://www.sec.gov/Archives/edgar/data/723603/000115752319000563/a519489143ex10_2.htm" TargetMode="External"/><Relationship Id="rId126" Type="http://schemas.openxmlformats.org/officeDocument/2006/relationships/hyperlink" Target="http://www.sec.gov/Archives/edgar/data/723603/000115752315002886/a51159198.htm" TargetMode="External"/><Relationship Id="rId127" Type="http://schemas.openxmlformats.org/officeDocument/2006/relationships/hyperlink" Target="http://www.sec.gov/Archives/edgar/data/723603/000115752315002386/a51138490_ex102.htm" TargetMode="External"/><Relationship Id="rId128" Type="http://schemas.openxmlformats.org/officeDocument/2006/relationships/hyperlink" Target="http://www.sec.gov/Archives/edgar/data/723603/000115752307012097/a5562888ex10_3.txt" TargetMode="External"/><Relationship Id="rId129" Type="http://schemas.openxmlformats.org/officeDocument/2006/relationships/hyperlink" Target="http://www.sec.gov/Archives/edgar/data/723603/000115752314001006/a50814862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2022-07-15T10:18:13Z</dcterms:created>
  <dcterms:modified xsi:type="dcterms:W3CDTF">2022-07-15T10:18:13Z</dcterms:modified>
</cp:coreProperties>
</file>