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November 1, 2020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03"/>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color w:val="auto"/>
              </w:rPr>
              <w:t>incorporation or other organization)</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41"/>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4"/>
        </w:trPr>
        <w:tc>
          <w:tcPr>
            <w:tcW w:w="4920" w:type="dxa"/>
            <w:vAlign w:val="bottom"/>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10"/>
        </w:trPr>
        <w:tc>
          <w:tcPr>
            <w:tcW w:w="492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(zip code)</w:t>
            </w:r>
          </w:p>
        </w:tc>
      </w:tr>
      <w:tr>
        <w:trPr>
          <w:trHeight w:val="361"/>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jc w:val="center"/>
              <w:ind w:right="107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8"/>
        </w:trPr>
        <w:tc>
          <w:tcPr>
            <w:tcW w:w="7760" w:type="dxa"/>
            <w:vAlign w:val="bottom"/>
            <w:gridSpan w:val="6"/>
          </w:tcPr>
          <w:p>
            <w:pPr>
              <w:jc w:val="center"/>
              <w:ind w:left="3395"/>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80" w:type="dxa"/>
            <w:vAlign w:val="bottom"/>
          </w:tcPr>
          <w:p>
            <w:pPr>
              <w:spacing w:after="0"/>
              <w:rPr>
                <w:sz w:val="22"/>
                <w:szCs w:val="22"/>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43"/>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40" w:type="dxa"/>
            <w:vAlign w:val="bottom"/>
            <w:gridSpan w:val="3"/>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12"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4378960</wp:posOffset>
            </wp:positionH>
            <wp:positionV relativeFrom="paragraph">
              <wp:posOffset>-146050</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-146050</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77"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-146050</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-146050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64"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45"/>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45"/>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1795145</wp:posOffset>
            </wp:positionH>
            <wp:positionV relativeFrom="paragraph">
              <wp:posOffset>-712470</wp:posOffset>
            </wp:positionV>
            <wp:extent cx="95250" cy="96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-712470</wp:posOffset>
            </wp:positionV>
            <wp:extent cx="95250" cy="96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-429895</wp:posOffset>
            </wp:positionV>
            <wp:extent cx="95250" cy="96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-429895</wp:posOffset>
            </wp:positionV>
            <wp:extent cx="95250" cy="96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-146685</wp:posOffset>
            </wp:positionV>
            <wp:extent cx="95250" cy="96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76" w:lineRule="exact"/>
        <w:rPr>
          <w:sz w:val="24"/>
          <w:szCs w:val="24"/>
          <w:color w:val="auto"/>
        </w:rPr>
      </w:pPr>
    </w:p>
    <w:p>
      <w:pPr>
        <w:spacing w:after="0" w:line="263"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6625590</wp:posOffset>
            </wp:positionH>
            <wp:positionV relativeFrom="paragraph">
              <wp:posOffset>-146685</wp:posOffset>
            </wp:positionV>
            <wp:extent cx="95250" cy="96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62"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6096635</wp:posOffset>
            </wp:positionH>
            <wp:positionV relativeFrom="paragraph">
              <wp:posOffset>-96520</wp:posOffset>
            </wp:positionV>
            <wp:extent cx="95250" cy="96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-96520</wp:posOffset>
            </wp:positionV>
            <wp:extent cx="95250" cy="96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at December 10, 2020: 12,303,795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INDEX TO FORM 10-Q</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period ended November 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740" w:type="dxa"/>
            <w:vAlign w:val="bottom"/>
            <w:gridSpan w:val="5"/>
          </w:tcPr>
          <w:p>
            <w:pPr>
              <w:jc w:val="center"/>
              <w:ind w:right="3300"/>
              <w:spacing w:after="0"/>
              <w:rPr>
                <w:sz w:val="20"/>
                <w:szCs w:val="20"/>
                <w:color w:val="auto"/>
              </w:rPr>
            </w:pPr>
            <w:r>
              <w:rPr>
                <w:rFonts w:ascii="Times New Roman" w:cs="Times New Roman" w:eastAsia="Times New Roman" w:hAnsi="Times New Roman"/>
                <w:sz w:val="20"/>
                <w:szCs w:val="20"/>
                <w:b w:val="1"/>
                <w:bCs w:val="1"/>
                <w:color w:val="auto"/>
                <w:w w:val="98"/>
              </w:rPr>
              <w:t>Part I -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85"/>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3580" w:type="dxa"/>
            <w:vAlign w:val="bottom"/>
            <w:gridSpan w:val="3"/>
          </w:tcPr>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Financial Statements: (Unaudited)</w:t>
              </w:r>
            </w:hyperlink>
          </w:p>
        </w:tc>
        <w:tc>
          <w:tcPr>
            <w:tcW w:w="2440" w:type="dxa"/>
            <w:vAlign w:val="bottom"/>
            <w:tcBorders>
              <w:top w:val="single" w:sz="8" w:color="auto"/>
            </w:tcBorders>
            <w:gridSpan w:val="3"/>
          </w:tcPr>
          <w:p>
            <w:pPr>
              <w:spacing w:after="0"/>
              <w:rPr>
                <w:sz w:val="24"/>
                <w:szCs w:val="24"/>
                <w:color w:val="auto"/>
              </w:rPr>
            </w:pPr>
          </w:p>
        </w:tc>
        <w:tc>
          <w:tcPr>
            <w:tcW w:w="330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413"/>
        </w:trPr>
        <w:tc>
          <w:tcPr>
            <w:tcW w:w="960" w:type="dxa"/>
            <w:vAlign w:val="bottom"/>
          </w:tcPr>
          <w:p>
            <w:pPr>
              <w:spacing w:after="0"/>
              <w:rPr>
                <w:sz w:val="24"/>
                <w:szCs w:val="24"/>
                <w:color w:val="auto"/>
              </w:rPr>
            </w:pPr>
          </w:p>
        </w:tc>
        <w:tc>
          <w:tcPr>
            <w:tcW w:w="9320" w:type="dxa"/>
            <w:vAlign w:val="bottom"/>
            <w:tcBorders>
              <w:bottom w:val="single" w:sz="8" w:color="0000EE"/>
            </w:tcBorders>
            <w:gridSpan w:val="8"/>
          </w:tcPr>
          <w:p>
            <w:pPr>
              <w:spacing w:after="0"/>
              <w:rPr>
                <w:rFonts w:ascii="Times New Roman" w:cs="Times New Roman" w:eastAsia="Times New Roman" w:hAnsi="Times New Roman"/>
                <w:sz w:val="20"/>
                <w:szCs w:val="20"/>
                <w:color w:val="0000EE"/>
                <w:w w:val="98"/>
              </w:rPr>
            </w:pPr>
            <w:hyperlink w:anchor="page3">
              <w:r>
                <w:rPr>
                  <w:rFonts w:ascii="Times New Roman" w:cs="Times New Roman" w:eastAsia="Times New Roman" w:hAnsi="Times New Roman"/>
                  <w:sz w:val="20"/>
                  <w:szCs w:val="20"/>
                  <w:color w:val="0000EE"/>
                  <w:w w:val="98"/>
                </w:rPr>
                <w:t>Consolidated Statements of Net Income (Loss) — Three and Six Months Ended November 1, 2020, and November 3,</w:t>
              </w:r>
            </w:hyperlink>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380" w:type="dxa"/>
            <w:vAlign w:val="bottom"/>
            <w:tcBorders>
              <w:bottom w:val="single" w:sz="8" w:color="0000EE"/>
            </w:tcBorders>
          </w:tcPr>
          <w:p>
            <w:pPr>
              <w:spacing w:after="0" w:line="209" w:lineRule="exact"/>
              <w:rPr>
                <w:rFonts w:ascii="Times New Roman" w:cs="Times New Roman" w:eastAsia="Times New Roman" w:hAnsi="Times New Roman"/>
                <w:sz w:val="20"/>
                <w:szCs w:val="20"/>
                <w:color w:val="0000EE"/>
                <w:w w:val="89"/>
              </w:rPr>
            </w:pPr>
            <w:hyperlink w:anchor="page3">
              <w:r>
                <w:rPr>
                  <w:rFonts w:ascii="Times New Roman" w:cs="Times New Roman" w:eastAsia="Times New Roman" w:hAnsi="Times New Roman"/>
                  <w:sz w:val="20"/>
                  <w:szCs w:val="20"/>
                  <w:color w:val="0000EE"/>
                  <w:w w:val="89"/>
                </w:rPr>
                <w:t>2019</w:t>
              </w:r>
            </w:hyperlink>
          </w:p>
        </w:tc>
        <w:tc>
          <w:tcPr>
            <w:tcW w:w="1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60" w:type="dxa"/>
            <w:vAlign w:val="bottom"/>
          </w:tcPr>
          <w:p>
            <w:pPr>
              <w:spacing w:after="0"/>
              <w:rPr>
                <w:sz w:val="24"/>
                <w:szCs w:val="24"/>
                <w:color w:val="auto"/>
              </w:rPr>
            </w:pPr>
          </w:p>
        </w:tc>
        <w:tc>
          <w:tcPr>
            <w:tcW w:w="9320" w:type="dxa"/>
            <w:vAlign w:val="bottom"/>
            <w:gridSpan w:val="8"/>
          </w:tcPr>
          <w:p>
            <w:pPr>
              <w:spacing w:after="0"/>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Consolidated Statements of Comprehensive Income (Loss) – Three and Six Months Ended November 1, 2020, and</w:t>
              </w:r>
            </w:hyperlink>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I-2</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2"/>
          </w:tcPr>
          <w:p>
            <w:pPr>
              <w:spacing w:after="0" w:line="209" w:lineRule="exact"/>
              <w:rPr>
                <w:rFonts w:ascii="Times New Roman" w:cs="Times New Roman" w:eastAsia="Times New Roman" w:hAnsi="Times New Roman"/>
                <w:sz w:val="20"/>
                <w:szCs w:val="20"/>
                <w:color w:val="0000EE"/>
                <w:w w:val="97"/>
              </w:rPr>
            </w:pPr>
            <w:hyperlink w:anchor="page4">
              <w:r>
                <w:rPr>
                  <w:rFonts w:ascii="Times New Roman" w:cs="Times New Roman" w:eastAsia="Times New Roman" w:hAnsi="Times New Roman"/>
                  <w:sz w:val="20"/>
                  <w:szCs w:val="20"/>
                  <w:color w:val="0000EE"/>
                  <w:w w:val="97"/>
                </w:rPr>
                <w:t>November 3, 2019</w:t>
              </w:r>
            </w:hyperlink>
          </w:p>
        </w:tc>
        <w:tc>
          <w:tcPr>
            <w:tcW w:w="7600" w:type="dxa"/>
            <w:vAlign w:val="bottom"/>
            <w:tcBorders>
              <w:top w:val="single" w:sz="8" w:color="0000EE"/>
            </w:tcBorders>
            <w:gridSpan w:val="5"/>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960" w:type="dxa"/>
            <w:vAlign w:val="bottom"/>
          </w:tcPr>
          <w:p>
            <w:pPr>
              <w:spacing w:after="0"/>
              <w:rPr>
                <w:sz w:val="24"/>
                <w:szCs w:val="24"/>
                <w:color w:val="auto"/>
              </w:rPr>
            </w:pP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5">
              <w:r>
                <w:rPr>
                  <w:rFonts w:ascii="Times New Roman" w:cs="Times New Roman" w:eastAsia="Times New Roman" w:hAnsi="Times New Roman"/>
                  <w:sz w:val="20"/>
                  <w:szCs w:val="20"/>
                  <w:u w:val="single" w:color="auto"/>
                  <w:color w:val="0000EE"/>
                </w:rPr>
                <w:t>Consolidated Balance Sheets — November 1, 2020, November 3, 2019, and May 3, 2020</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4"/>
                <w:szCs w:val="24"/>
                <w:color w:val="auto"/>
              </w:rPr>
            </w:pP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6">
              <w:r>
                <w:rPr>
                  <w:rFonts w:ascii="Times New Roman" w:cs="Times New Roman" w:eastAsia="Times New Roman" w:hAnsi="Times New Roman"/>
                  <w:sz w:val="20"/>
                  <w:szCs w:val="20"/>
                  <w:u w:val="single" w:color="auto"/>
                  <w:color w:val="0000EE"/>
                </w:rPr>
                <w:t>Consolidated Statements of Cash Flows — Six Months Ended November 1, 2020, and November 3, 2019</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4"/>
                <w:szCs w:val="24"/>
                <w:color w:val="auto"/>
              </w:rPr>
            </w:pP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7">
              <w:r>
                <w:rPr>
                  <w:rFonts w:ascii="Times New Roman" w:cs="Times New Roman" w:eastAsia="Times New Roman" w:hAnsi="Times New Roman"/>
                  <w:sz w:val="20"/>
                  <w:szCs w:val="20"/>
                  <w:u w:val="single" w:color="auto"/>
                  <w:color w:val="0000EE"/>
                </w:rPr>
                <w:t>Consolidated Statements of Shareholders’ Equity – Six Months Ended November 1, 2020</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4"/>
                <w:szCs w:val="24"/>
                <w:color w:val="auto"/>
              </w:rPr>
            </w:pP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8">
              <w:r>
                <w:rPr>
                  <w:rFonts w:ascii="Times New Roman" w:cs="Times New Roman" w:eastAsia="Times New Roman" w:hAnsi="Times New Roman"/>
                  <w:sz w:val="20"/>
                  <w:szCs w:val="20"/>
                  <w:u w:val="single" w:color="auto"/>
                  <w:color w:val="0000EE"/>
                </w:rPr>
                <w:t>Consolidated Statements of Shareholders’ Equity – Six Months Ended November 3, 2019</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4"/>
                <w:szCs w:val="24"/>
                <w:color w:val="auto"/>
              </w:rPr>
            </w:pP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9">
              <w:r>
                <w:rPr>
                  <w:rFonts w:ascii="Times New Roman" w:cs="Times New Roman" w:eastAsia="Times New Roman" w:hAnsi="Times New Roman"/>
                  <w:sz w:val="20"/>
                  <w:szCs w:val="20"/>
                  <w:u w:val="single" w:color="auto"/>
                  <w:color w:val="0000EE"/>
                </w:rPr>
                <w:t>Notes to Consolidated Financial Statements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4"/>
                <w:szCs w:val="24"/>
                <w:color w:val="auto"/>
              </w:rPr>
            </w:pP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34">
              <w:r>
                <w:rPr>
                  <w:rFonts w:ascii="Times New Roman" w:cs="Times New Roman" w:eastAsia="Times New Roman" w:hAnsi="Times New Roman"/>
                  <w:sz w:val="20"/>
                  <w:szCs w:val="20"/>
                  <w:u w:val="single" w:color="auto"/>
                  <w:color w:val="0000EE"/>
                </w:rPr>
                <w:t>Cautionary Statement Concerning Forward-Looking Information</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I-32</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35">
              <w:r>
                <w:rPr>
                  <w:rFonts w:ascii="Times New Roman" w:cs="Times New Roman" w:eastAsia="Times New Roman" w:hAnsi="Times New Roman"/>
                  <w:sz w:val="20"/>
                  <w:szCs w:val="20"/>
                  <w:u w:val="single" w:color="auto"/>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I-33</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49">
              <w:r>
                <w:rPr>
                  <w:rFonts w:ascii="Times New Roman" w:cs="Times New Roman" w:eastAsia="Times New Roman" w:hAnsi="Times New Roman"/>
                  <w:sz w:val="20"/>
                  <w:szCs w:val="20"/>
                  <w:u w:val="single" w:color="auto"/>
                  <w:color w:val="0000EE"/>
                </w:rPr>
                <w:t>Quantitative and Qualitative Disclosures About Market Risk</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I-47</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50">
              <w:r>
                <w:rPr>
                  <w:rFonts w:ascii="Times New Roman" w:cs="Times New Roman" w:eastAsia="Times New Roman" w:hAnsi="Times New Roman"/>
                  <w:sz w:val="20"/>
                  <w:szCs w:val="20"/>
                  <w:u w:val="single" w:color="auto"/>
                  <w:color w:val="0000EE"/>
                </w:rPr>
                <w:t>Controls and Procedures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I-48</w:t>
            </w:r>
          </w:p>
        </w:tc>
        <w:tc>
          <w:tcPr>
            <w:tcW w:w="0" w:type="dxa"/>
            <w:vAlign w:val="bottom"/>
          </w:tcPr>
          <w:p>
            <w:pPr>
              <w:spacing w:after="0"/>
              <w:rPr>
                <w:sz w:val="1"/>
                <w:szCs w:val="1"/>
                <w:color w:val="auto"/>
              </w:rPr>
            </w:pPr>
          </w:p>
        </w:tc>
      </w:tr>
      <w:tr>
        <w:trPr>
          <w:trHeight w:val="41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Part II - Other Information</w:t>
            </w:r>
          </w:p>
        </w:tc>
        <w:tc>
          <w:tcPr>
            <w:tcW w:w="334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51">
              <w:r>
                <w:rPr>
                  <w:rFonts w:ascii="Times New Roman" w:cs="Times New Roman" w:eastAsia="Times New Roman" w:hAnsi="Times New Roman"/>
                  <w:sz w:val="20"/>
                  <w:szCs w:val="20"/>
                  <w:u w:val="single" w:color="auto"/>
                  <w:color w:val="0000EE"/>
                </w:rPr>
                <w:t>Legal Proceedings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51">
              <w:r>
                <w:rPr>
                  <w:rFonts w:ascii="Times New Roman" w:cs="Times New Roman" w:eastAsia="Times New Roman" w:hAnsi="Times New Roman"/>
                  <w:sz w:val="20"/>
                  <w:szCs w:val="20"/>
                  <w:u w:val="single" w:color="auto"/>
                  <w:color w:val="0000EE"/>
                </w:rPr>
                <w:t>Risk Factors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51">
              <w:r>
                <w:rPr>
                  <w:rFonts w:ascii="Times New Roman" w:cs="Times New Roman" w:eastAsia="Times New Roman" w:hAnsi="Times New Roman"/>
                  <w:sz w:val="20"/>
                  <w:szCs w:val="20"/>
                  <w:u w:val="single" w:color="auto"/>
                  <w:color w:val="0000EE"/>
                </w:rPr>
                <w:t>Unregistered Sales of Equity Securities and Use of Proceeds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45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9320" w:type="dxa"/>
            <w:vAlign w:val="bottom"/>
            <w:gridSpan w:val="8"/>
          </w:tcPr>
          <w:p>
            <w:pPr>
              <w:spacing w:after="0"/>
              <w:rPr>
                <w:rFonts w:ascii="Times New Roman" w:cs="Times New Roman" w:eastAsia="Times New Roman" w:hAnsi="Times New Roman"/>
                <w:sz w:val="20"/>
                <w:szCs w:val="20"/>
                <w:u w:val="single" w:color="auto"/>
                <w:color w:val="0000EE"/>
              </w:rPr>
            </w:pPr>
            <w:hyperlink w:anchor="page52">
              <w:r>
                <w:rPr>
                  <w:rFonts w:ascii="Times New Roman" w:cs="Times New Roman" w:eastAsia="Times New Roman" w:hAnsi="Times New Roman"/>
                  <w:sz w:val="20"/>
                  <w:szCs w:val="20"/>
                  <w:u w:val="single" w:color="auto"/>
                  <w:color w:val="0000EE"/>
                </w:rPr>
                <w:t>Exhibits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59"/>
        </w:trPr>
        <w:tc>
          <w:tcPr>
            <w:tcW w:w="960" w:type="dxa"/>
            <w:vAlign w:val="bottom"/>
          </w:tcPr>
          <w:p>
            <w:pPr>
              <w:spacing w:after="0"/>
              <w:rPr>
                <w:rFonts w:ascii="Times New Roman" w:cs="Times New Roman" w:eastAsia="Times New Roman" w:hAnsi="Times New Roman"/>
                <w:sz w:val="20"/>
                <w:szCs w:val="20"/>
                <w:u w:val="single" w:color="auto"/>
                <w:color w:val="0000EE"/>
              </w:rPr>
            </w:pPr>
            <w:hyperlink w:anchor="page53">
              <w:r>
                <w:rPr>
                  <w:rFonts w:ascii="Times New Roman" w:cs="Times New Roman" w:eastAsia="Times New Roman" w:hAnsi="Times New Roman"/>
                  <w:sz w:val="20"/>
                  <w:szCs w:val="20"/>
                  <w:u w:val="single" w:color="auto"/>
                  <w:color w:val="0000EE"/>
                </w:rPr>
                <w:t>Signatures</w:t>
              </w:r>
            </w:hyperlink>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770"/>
        </w:trPr>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INCOME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SIX MONTHS ENDED NOVEMBER 1, 2020 AND NOVEMBER 3,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268"/>
              <w:spacing w:after="0" w:line="145"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88"/>
              <w:spacing w:after="0" w:line="145" w:lineRule="exact"/>
              <w:rPr>
                <w:sz w:val="20"/>
                <w:szCs w:val="20"/>
                <w:color w:val="auto"/>
              </w:rPr>
            </w:pPr>
            <w:r>
              <w:rPr>
                <w:rFonts w:ascii="Times New Roman" w:cs="Times New Roman" w:eastAsia="Times New Roman" w:hAnsi="Times New Roman"/>
                <w:sz w:val="14"/>
                <w:szCs w:val="14"/>
                <w:color w:val="auto"/>
              </w:rPr>
              <w:t>November 3,</w:t>
            </w:r>
          </w:p>
        </w:tc>
        <w:tc>
          <w:tcPr>
            <w:tcW w:w="0" w:type="dxa"/>
            <w:vAlign w:val="bottom"/>
          </w:tcPr>
          <w:p>
            <w:pPr>
              <w:spacing w:after="0"/>
              <w:rPr>
                <w:sz w:val="1"/>
                <w:szCs w:val="1"/>
                <w:color w:val="auto"/>
              </w:rPr>
            </w:pPr>
          </w:p>
        </w:tc>
      </w:tr>
      <w:tr>
        <w:trPr>
          <w:trHeight w:val="173"/>
        </w:trPr>
        <w:tc>
          <w:tcPr>
            <w:tcW w:w="5720" w:type="dxa"/>
            <w:vAlign w:val="bottom"/>
            <w:tcBorders>
              <w:bottom w:val="single" w:sz="8" w:color="CFF0FC"/>
            </w:tcBorders>
          </w:tcPr>
          <w:p>
            <w:pPr>
              <w:spacing w:after="0"/>
              <w:rPr>
                <w:sz w:val="15"/>
                <w:szCs w:val="15"/>
                <w:color w:val="auto"/>
              </w:rPr>
            </w:pPr>
          </w:p>
        </w:tc>
        <w:tc>
          <w:tcPr>
            <w:tcW w:w="20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sales</w:t>
            </w:r>
          </w:p>
        </w:tc>
        <w:tc>
          <w:tcPr>
            <w:tcW w:w="20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76,851</w:t>
            </w:r>
          </w:p>
        </w:tc>
        <w:tc>
          <w:tcPr>
            <w:tcW w:w="40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69,550</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(62,590)</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(56,024)</w:t>
            </w: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Gross profit from continuing operations</w:t>
            </w:r>
          </w:p>
        </w:tc>
        <w:tc>
          <w:tcPr>
            <w:tcW w:w="2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14,261</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13,526</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(9,743)</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(9,117)</w:t>
            </w: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Income from continuing operations</w:t>
            </w:r>
          </w:p>
        </w:tc>
        <w:tc>
          <w:tcPr>
            <w:tcW w:w="2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4,518</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4,409</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2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(680)</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Income before income taxes from continuing operations</w:t>
            </w:r>
          </w:p>
        </w:tc>
        <w:tc>
          <w:tcPr>
            <w:tcW w:w="2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3,897</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4,547</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(2,279)</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(loss) from investment in unconsolidated joint venture</w:t>
            </w:r>
          </w:p>
        </w:tc>
        <w:tc>
          <w:tcPr>
            <w:tcW w:w="20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100</w:t>
            </w:r>
          </w:p>
        </w:tc>
        <w:tc>
          <w:tcPr>
            <w:tcW w:w="1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Net income from continuing operations</w:t>
            </w:r>
          </w:p>
        </w:tc>
        <w:tc>
          <w:tcPr>
            <w:tcW w:w="2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2,384</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2,252</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Loss before income taxes from discontinued operation</w:t>
            </w:r>
          </w:p>
        </w:tc>
        <w:tc>
          <w:tcPr>
            <w:tcW w:w="2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loss from discontinued operation</w:t>
            </w:r>
          </w:p>
        </w:tc>
        <w:tc>
          <w:tcPr>
            <w:tcW w:w="20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20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2,384</w:t>
            </w:r>
          </w:p>
        </w:tc>
        <w:tc>
          <w:tcPr>
            <w:tcW w:w="400" w:type="dxa"/>
            <w:vAlign w:val="bottom"/>
            <w:tcBorders>
              <w:bottom w:val="single" w:sz="8" w:color="auto"/>
            </w:tcBorders>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143"/>
        </w:trPr>
        <w:tc>
          <w:tcPr>
            <w:tcW w:w="57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Net income from continuing operations per share - basic</w:t>
            </w:r>
          </w:p>
        </w:tc>
        <w:tc>
          <w:tcPr>
            <w:tcW w:w="20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b w:val="1"/>
                <w:bCs w:val="1"/>
                <w:color w:val="auto"/>
              </w:rPr>
              <w:t>0.19</w:t>
            </w:r>
          </w:p>
        </w:tc>
        <w:tc>
          <w:tcPr>
            <w:tcW w:w="40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Net income from continuing operations per share - diluted</w:t>
            </w:r>
          </w:p>
        </w:tc>
        <w:tc>
          <w:tcPr>
            <w:tcW w:w="222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0.19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from discontinued operation per share - basic</w:t>
            </w:r>
          </w:p>
        </w:tc>
        <w:tc>
          <w:tcPr>
            <w:tcW w:w="222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Net loss from discontinued operation per share - diluted</w:t>
            </w:r>
          </w:p>
        </w:tc>
        <w:tc>
          <w:tcPr>
            <w:tcW w:w="222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per share - basic</w:t>
            </w:r>
          </w:p>
        </w:tc>
        <w:tc>
          <w:tcPr>
            <w:tcW w:w="222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0.19</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Net income per share - diluted</w:t>
            </w:r>
          </w:p>
        </w:tc>
        <w:tc>
          <w:tcPr>
            <w:tcW w:w="222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0.19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2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12,298</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12,408</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12,324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12,408</w:t>
            </w:r>
          </w:p>
        </w:tc>
        <w:tc>
          <w:tcPr>
            <w:tcW w:w="0" w:type="dxa"/>
            <w:vAlign w:val="bottom"/>
          </w:tcPr>
          <w:p>
            <w:pPr>
              <w:spacing w:after="0"/>
              <w:rPr>
                <w:sz w:val="1"/>
                <w:szCs w:val="1"/>
                <w:color w:val="auto"/>
              </w:rPr>
            </w:pPr>
          </w:p>
        </w:tc>
      </w:tr>
      <w:tr>
        <w:trPr>
          <w:trHeight w:val="431"/>
        </w:trPr>
        <w:tc>
          <w:tcPr>
            <w:tcW w:w="5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268"/>
              <w:spacing w:after="0" w:line="145"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88"/>
              <w:spacing w:after="0" w:line="145" w:lineRule="exact"/>
              <w:rPr>
                <w:sz w:val="20"/>
                <w:szCs w:val="20"/>
                <w:color w:val="auto"/>
              </w:rPr>
            </w:pPr>
            <w:r>
              <w:rPr>
                <w:rFonts w:ascii="Times New Roman" w:cs="Times New Roman" w:eastAsia="Times New Roman" w:hAnsi="Times New Roman"/>
                <w:sz w:val="14"/>
                <w:szCs w:val="14"/>
                <w:color w:val="auto"/>
              </w:rPr>
              <w:t>November 3,</w:t>
            </w:r>
          </w:p>
        </w:tc>
        <w:tc>
          <w:tcPr>
            <w:tcW w:w="0" w:type="dxa"/>
            <w:vAlign w:val="bottom"/>
          </w:tcPr>
          <w:p>
            <w:pPr>
              <w:spacing w:after="0"/>
              <w:rPr>
                <w:sz w:val="1"/>
                <w:szCs w:val="1"/>
                <w:color w:val="auto"/>
              </w:rPr>
            </w:pPr>
          </w:p>
        </w:tc>
      </w:tr>
      <w:tr>
        <w:trPr>
          <w:trHeight w:val="173"/>
        </w:trPr>
        <w:tc>
          <w:tcPr>
            <w:tcW w:w="5720" w:type="dxa"/>
            <w:vAlign w:val="bottom"/>
            <w:tcBorders>
              <w:bottom w:val="single" w:sz="8" w:color="CFF0FC"/>
            </w:tcBorders>
          </w:tcPr>
          <w:p>
            <w:pPr>
              <w:spacing w:after="0"/>
              <w:rPr>
                <w:sz w:val="15"/>
                <w:szCs w:val="15"/>
                <w:color w:val="auto"/>
              </w:rPr>
            </w:pPr>
          </w:p>
        </w:tc>
        <w:tc>
          <w:tcPr>
            <w:tcW w:w="20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sales</w:t>
            </w:r>
          </w:p>
        </w:tc>
        <w:tc>
          <w:tcPr>
            <w:tcW w:w="20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141,315</w:t>
            </w:r>
          </w:p>
        </w:tc>
        <w:tc>
          <w:tcPr>
            <w:tcW w:w="40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140,269</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(117,153)</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(114,331)</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Gross profit from continuing operations</w:t>
            </w:r>
          </w:p>
        </w:tc>
        <w:tc>
          <w:tcPr>
            <w:tcW w:w="2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24,162</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25,938</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(17,761)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(18,266)</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Restructuring credit</w:t>
            </w:r>
          </w:p>
        </w:tc>
        <w:tc>
          <w:tcPr>
            <w:tcW w:w="20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5"/>
        </w:trPr>
        <w:tc>
          <w:tcPr>
            <w:tcW w:w="572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Income from continuing operations</w:t>
            </w: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6,401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7,707</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20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(1,046)</w:t>
            </w:r>
          </w:p>
        </w:tc>
        <w:tc>
          <w:tcPr>
            <w:tcW w:w="1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56"/>
        </w:trPr>
        <w:tc>
          <w:tcPr>
            <w:tcW w:w="572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Income before income taxes from continuing operations</w:t>
            </w: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5,421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8,010</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(5,937)</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(3,971)</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Income (loss) from investment in unconsolidated joint venture</w:t>
            </w:r>
          </w:p>
        </w:tc>
        <w:tc>
          <w:tcPr>
            <w:tcW w:w="2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167</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(loss) income from continuing operations</w:t>
            </w:r>
          </w:p>
        </w:tc>
        <w:tc>
          <w:tcPr>
            <w:tcW w:w="20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(349)</w:t>
            </w:r>
          </w:p>
        </w:tc>
        <w:tc>
          <w:tcPr>
            <w:tcW w:w="1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4,036</w:t>
            </w:r>
          </w:p>
        </w:tc>
        <w:tc>
          <w:tcPr>
            <w:tcW w:w="0" w:type="dxa"/>
            <w:vAlign w:val="bottom"/>
          </w:tcPr>
          <w:p>
            <w:pPr>
              <w:spacing w:after="0"/>
              <w:rPr>
                <w:sz w:val="1"/>
                <w:szCs w:val="1"/>
                <w:color w:val="auto"/>
              </w:rPr>
            </w:pPr>
          </w:p>
        </w:tc>
      </w:tr>
      <w:tr>
        <w:trPr>
          <w:trHeight w:val="155"/>
        </w:trPr>
        <w:tc>
          <w:tcPr>
            <w:tcW w:w="5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Loss before income taxes from discontinued operation</w:t>
            </w: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0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55"/>
        </w:trPr>
        <w:tc>
          <w:tcPr>
            <w:tcW w:w="57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Net loss from discontinued operation</w:t>
            </w:r>
          </w:p>
        </w:tc>
        <w:tc>
          <w:tcPr>
            <w:tcW w:w="2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(loss) income</w:t>
            </w:r>
          </w:p>
        </w:tc>
        <w:tc>
          <w:tcPr>
            <w:tcW w:w="20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(349)</w:t>
            </w:r>
          </w:p>
        </w:tc>
        <w:tc>
          <w:tcPr>
            <w:tcW w:w="400" w:type="dxa"/>
            <w:vAlign w:val="bottom"/>
            <w:tcBorders>
              <w:bottom w:val="single" w:sz="8" w:color="auto"/>
            </w:tcBorders>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3,366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 income from continuing operations per share - basic</w:t>
            </w:r>
          </w:p>
        </w:tc>
        <w:tc>
          <w:tcPr>
            <w:tcW w:w="22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(0.03)</w:t>
            </w:r>
          </w:p>
        </w:tc>
        <w:tc>
          <w:tcPr>
            <w:tcW w:w="400" w:type="dxa"/>
            <w:vAlign w:val="bottom"/>
            <w:tcBorders>
              <w:top w:val="single" w:sz="8" w:color="auto"/>
            </w:tcBorders>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income from continuing operations per share - diluted</w:t>
            </w:r>
          </w:p>
        </w:tc>
        <w:tc>
          <w:tcPr>
            <w:tcW w:w="222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Net loss from discontinued operation per share - basic</w:t>
            </w:r>
          </w:p>
        </w:tc>
        <w:tc>
          <w:tcPr>
            <w:tcW w:w="222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from discontinued operation per share - diluted</w:t>
            </w:r>
          </w:p>
        </w:tc>
        <w:tc>
          <w:tcPr>
            <w:tcW w:w="222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per share - basic</w:t>
            </w:r>
          </w:p>
        </w:tc>
        <w:tc>
          <w:tcPr>
            <w:tcW w:w="222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income per share - diluted</w:t>
            </w:r>
          </w:p>
        </w:tc>
        <w:tc>
          <w:tcPr>
            <w:tcW w:w="222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12,293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12,403</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2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12,293</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12,413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jc w:val="center"/>
        <w:spacing w:after="0"/>
        <w:rPr>
          <w:sz w:val="20"/>
          <w:szCs w:val="20"/>
          <w:color w:val="auto"/>
        </w:rPr>
      </w:pPr>
      <w:r>
        <w:rPr>
          <w:rFonts w:ascii="Times New Roman" w:cs="Times New Roman" w:eastAsia="Times New Roman" w:hAnsi="Times New Roman"/>
          <w:sz w:val="19"/>
          <w:szCs w:val="19"/>
          <w:b w:val="1"/>
          <w:bCs w:val="1"/>
          <w:color w:val="auto"/>
        </w:rPr>
        <w:t>FOR THE THREE AND SIX MONTHS ENDED NOVEMBER 1, 2020 AND NOVEMBER 3, 2019</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Unrealized holding (losses) gains on investments, net of tax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 adjustment for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Comprehensive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Plus: Comprehensive loss attributable to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associated with discontinued operation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Comprehensive income attributable to Culp, Inc.</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Unrealized holding gains on investments, net of tax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 adjustment for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Comprehensive (loss)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Plus: Comprehensive loss attributable to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associated with discontinued operation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Comprehensive (loss) income attributable to Culp, Inc.</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shareholders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November 3,</w:t>
            </w:r>
          </w:p>
        </w:tc>
      </w:tr>
      <w:tr>
        <w:trPr>
          <w:trHeight w:val="216"/>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w w:val="99"/>
              </w:rPr>
              <w:t>2019</w:t>
            </w:r>
          </w:p>
        </w:tc>
      </w:tr>
      <w:tr>
        <w:trPr>
          <w:trHeight w:val="209"/>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2,384</w:t>
            </w:r>
          </w:p>
        </w:tc>
        <w:tc>
          <w:tcPr>
            <w:tcW w:w="18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2,192</w:t>
            </w:r>
          </w:p>
        </w:tc>
      </w:tr>
      <w:tr>
        <w:trPr>
          <w:trHeight w:val="43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2,201</w:t>
            </w:r>
          </w:p>
        </w:tc>
      </w:tr>
      <w:tr>
        <w:trPr>
          <w:trHeight w:val="419"/>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108</w:t>
            </w:r>
          </w:p>
        </w:tc>
      </w:tr>
      <w:tr>
        <w:trPr>
          <w:trHeight w:val="452"/>
        </w:trPr>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2,351</w:t>
            </w:r>
          </w:p>
        </w:tc>
        <w:tc>
          <w:tcPr>
            <w:tcW w:w="180" w:type="dxa"/>
            <w:vAlign w:val="bottom"/>
          </w:tcPr>
          <w:p>
            <w:pPr>
              <w:spacing w:after="0"/>
              <w:rPr>
                <w:sz w:val="24"/>
                <w:szCs w:val="24"/>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2,309</w:t>
            </w:r>
          </w:p>
        </w:tc>
      </w:tr>
      <w:tr>
        <w:trPr>
          <w:trHeight w:val="413"/>
        </w:trPr>
        <w:tc>
          <w:tcPr>
            <w:tcW w:w="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280" w:type="dxa"/>
            <w:vAlign w:val="bottom"/>
            <w:tcBorders>
              <w:top w:val="single" w:sz="8" w:color="auto"/>
              <w:bottom w:val="single" w:sz="8" w:color="auto"/>
            </w:tcBorders>
            <w:gridSpan w:val="5"/>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November 3,</w:t>
            </w:r>
          </w:p>
        </w:tc>
      </w:tr>
      <w:tr>
        <w:trPr>
          <w:trHeight w:val="217"/>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w w:val="99"/>
              </w:rPr>
              <w:t>2019</w:t>
            </w:r>
          </w:p>
        </w:tc>
      </w:tr>
      <w:tr>
        <w:trPr>
          <w:trHeight w:val="209"/>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18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3,366</w:t>
            </w:r>
          </w:p>
        </w:tc>
      </w:tr>
      <w:tr>
        <w:trPr>
          <w:trHeight w:val="43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3,381</w:t>
            </w:r>
          </w:p>
        </w:tc>
      </w:tr>
      <w:tr>
        <w:trPr>
          <w:trHeight w:val="419"/>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272</w:t>
            </w:r>
          </w:p>
        </w:tc>
      </w:tr>
      <w:tr>
        <w:trPr>
          <w:trHeight w:val="432"/>
        </w:trPr>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180" w:type="dxa"/>
            <w:vAlign w:val="bottom"/>
          </w:tcPr>
          <w:p>
            <w:pPr>
              <w:spacing w:after="0"/>
              <w:rPr>
                <w:sz w:val="24"/>
                <w:szCs w:val="24"/>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3,653</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7060" w:space="720"/>
            <w:col w:w="346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NOVEMBER 1, 2020, NOVEMBER 3, 2019, AND MAY 3, 2020</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November 3</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 May 3,</w:t>
            </w:r>
          </w:p>
        </w:tc>
        <w:tc>
          <w:tcPr>
            <w:tcW w:w="0" w:type="dxa"/>
            <w:vAlign w:val="bottom"/>
          </w:tcPr>
          <w:p>
            <w:pPr>
              <w:spacing w:after="0"/>
              <w:rPr>
                <w:sz w:val="1"/>
                <w:szCs w:val="1"/>
                <w:color w:val="auto"/>
              </w:rPr>
            </w:pPr>
          </w:p>
        </w:tc>
      </w:tr>
      <w:tr>
        <w:trPr>
          <w:trHeight w:val="219"/>
        </w:trPr>
        <w:tc>
          <w:tcPr>
            <w:tcW w:w="604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rPr>
              <w:t>2019</w:t>
            </w: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45,288</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46,955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69,790</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5,005</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4,271</w:t>
            </w: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5,462</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32,960</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23,890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25,093</w:t>
            </w: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47,726</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51,443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47,907</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776</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assets - discontinued operation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4,760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6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3,509</w:t>
            </w:r>
          </w:p>
        </w:tc>
        <w:tc>
          <w:tcPr>
            <w:tcW w:w="164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2,745</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2,116</w:t>
            </w:r>
          </w:p>
        </w:tc>
        <w:tc>
          <w:tcPr>
            <w:tcW w:w="0" w:type="dxa"/>
            <w:vAlign w:val="bottom"/>
          </w:tcPr>
          <w:p>
            <w:pPr>
              <w:spacing w:after="0"/>
              <w:rPr>
                <w:sz w:val="1"/>
                <w:szCs w:val="1"/>
                <w:color w:val="auto"/>
              </w:rPr>
            </w:pPr>
          </w:p>
        </w:tc>
      </w:tr>
      <w:tr>
        <w:trPr>
          <w:trHeight w:val="208"/>
        </w:trPr>
        <w:tc>
          <w:tcPr>
            <w:tcW w:w="60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139,950</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130,569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151,685</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41,599</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45,221</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43,147</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13,569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3,192</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3,711</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8,060</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7,575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7,834</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759</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6,165</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4,883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income taxes receivable</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733</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645</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511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in unconsolidated joint venture</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1,859</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1,504</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1,602</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Long-term note receivable affiliated with discontinued operation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1,800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assets - discontinued operation</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22,950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547</w:t>
            </w:r>
          </w:p>
        </w:tc>
        <w:tc>
          <w:tcPr>
            <w:tcW w:w="1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496</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6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202,776</w:t>
            </w:r>
          </w:p>
        </w:tc>
        <w:tc>
          <w:tcPr>
            <w:tcW w:w="164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233,522</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215,084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Line of credit - China operations</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Paycheck Protection Program Loan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7,606</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 - trade</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38,247</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26,336</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23,002</w:t>
            </w: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68</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398</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2,316</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2,090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375</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375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11,684</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8,263</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5,687</w:t>
            </w: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restructuring costs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liabilities - Discontinued operation</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1,907</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6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1,413</w:t>
            </w:r>
          </w:p>
        </w:tc>
        <w:tc>
          <w:tcPr>
            <w:tcW w:w="1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1,539</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1"/>
        </w:trPr>
        <w:tc>
          <w:tcPr>
            <w:tcW w:w="6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54,103</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40,943</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40,119</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Line of credit - U.S. operations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29,750</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expenses - long-term</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333</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4,008</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2,614</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3,325</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3,442</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3,796</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6,089</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3,283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compensation</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8,000</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7,429</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7,720</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affiliated with discontinued operation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6,006</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 - discontinued operation</w:t>
            </w:r>
          </w:p>
        </w:tc>
        <w:tc>
          <w:tcPr>
            <w:tcW w:w="6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3,550</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6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75,525</w:t>
            </w:r>
          </w:p>
        </w:tc>
        <w:tc>
          <w:tcPr>
            <w:tcW w:w="1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67,600</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85,386</w:t>
            </w:r>
          </w:p>
        </w:tc>
        <w:tc>
          <w:tcPr>
            <w:tcW w:w="0" w:type="dxa"/>
            <w:vAlign w:val="bottom"/>
          </w:tcPr>
          <w:p>
            <w:pPr>
              <w:spacing w:after="0"/>
              <w:rPr>
                <w:sz w:val="1"/>
                <w:szCs w:val="1"/>
                <w:color w:val="auto"/>
              </w:rPr>
            </w:pPr>
          </w:p>
        </w:tc>
      </w:tr>
      <w:tr>
        <w:trPr>
          <w:trHeight w:val="211"/>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(Notes 10, 17 and 18)</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outstanding 12,303,023 at November 1, 2020; 12,411,957 at November 3,</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615</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2019; and 12,284,946 at May 3, 2020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621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43,031</w:t>
            </w:r>
          </w:p>
        </w:tc>
        <w:tc>
          <w:tcPr>
            <w:tcW w:w="16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44,109</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42,582</w:t>
            </w:r>
          </w:p>
        </w:tc>
        <w:tc>
          <w:tcPr>
            <w:tcW w:w="0" w:type="dxa"/>
            <w:vAlign w:val="bottom"/>
          </w:tcPr>
          <w:p>
            <w:pPr>
              <w:spacing w:after="0"/>
              <w:rPr>
                <w:sz w:val="1"/>
                <w:szCs w:val="1"/>
                <w:color w:val="auto"/>
              </w:rPr>
            </w:pPr>
          </w:p>
        </w:tc>
      </w:tr>
      <w:tr>
        <w:trPr>
          <w:trHeight w:val="214"/>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earnings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83,579</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116,735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86,511</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6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26</w:t>
            </w:r>
          </w:p>
        </w:tc>
        <w:tc>
          <w:tcPr>
            <w:tcW w:w="164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55</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8"/>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shareholders' equity attributable to Culp, Inc.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127,251</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161,520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129,698</w:t>
            </w:r>
          </w:p>
        </w:tc>
        <w:tc>
          <w:tcPr>
            <w:tcW w:w="0" w:type="dxa"/>
            <w:vAlign w:val="bottom"/>
          </w:tcPr>
          <w:p>
            <w:pPr>
              <w:spacing w:after="0"/>
              <w:rPr>
                <w:sz w:val="1"/>
                <w:szCs w:val="1"/>
                <w:color w:val="auto"/>
              </w:rPr>
            </w:pPr>
          </w:p>
        </w:tc>
      </w:tr>
      <w:tr>
        <w:trPr>
          <w:trHeight w:val="218"/>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Noncontrolling interest - discontinued operation</w:t>
            </w:r>
          </w:p>
        </w:tc>
        <w:tc>
          <w:tcPr>
            <w:tcW w:w="6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4,402</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6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127,251</w:t>
            </w:r>
          </w:p>
        </w:tc>
        <w:tc>
          <w:tcPr>
            <w:tcW w:w="1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165,922</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129,698</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6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202,776</w:t>
            </w:r>
          </w:p>
        </w:tc>
        <w:tc>
          <w:tcPr>
            <w:tcW w:w="164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233,522</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215,084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307"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NOVEMBER 1, 2020 AND NOVEMBER 3,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November 1,</w:t>
            </w: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November 3,</w:t>
            </w:r>
          </w:p>
        </w:tc>
        <w:tc>
          <w:tcPr>
            <w:tcW w:w="0" w:type="dxa"/>
            <w:vAlign w:val="bottom"/>
          </w:tcPr>
          <w:p>
            <w:pPr>
              <w:spacing w:after="0"/>
              <w:rPr>
                <w:sz w:val="1"/>
                <w:szCs w:val="1"/>
                <w:color w:val="auto"/>
              </w:rPr>
            </w:pPr>
          </w:p>
        </w:tc>
      </w:tr>
      <w:tr>
        <w:trPr>
          <w:trHeight w:val="217"/>
        </w:trPr>
        <w:tc>
          <w:tcPr>
            <w:tcW w:w="79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5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1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(349)</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3,366</w:t>
            </w:r>
          </w:p>
        </w:tc>
        <w:tc>
          <w:tcPr>
            <w:tcW w:w="0" w:type="dxa"/>
            <w:vAlign w:val="bottom"/>
          </w:tcPr>
          <w:p>
            <w:pPr>
              <w:spacing w:after="0"/>
              <w:rPr>
                <w:sz w:val="1"/>
                <w:szCs w:val="1"/>
                <w:color w:val="auto"/>
              </w:rPr>
            </w:pPr>
          </w:p>
        </w:tc>
      </w:tr>
      <w:tr>
        <w:trPr>
          <w:trHeight w:val="204"/>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activities: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3,538</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3,893</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235</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4"/>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474</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4,419</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4"/>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Gain on disposal of equipment</w:t>
            </w:r>
          </w:p>
        </w:tc>
        <w:tc>
          <w:tcPr>
            <w:tcW w:w="18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Realized loss on short-term investments available for sale</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(Income) loss from investment in unconsolidated joint venture</w:t>
            </w:r>
          </w:p>
        </w:tc>
        <w:tc>
          <w:tcPr>
            <w:tcW w:w="18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(167)</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Foreign currency exchange loss (gain)</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723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79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(7,663)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14"/>
        </w:trPr>
        <w:tc>
          <w:tcPr>
            <w:tcW w:w="7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602</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(1,175)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4"/>
        </w:trPr>
        <w:tc>
          <w:tcPr>
            <w:tcW w:w="7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(40)</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14,156</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3,564</w:t>
            </w:r>
          </w:p>
        </w:tc>
        <w:tc>
          <w:tcPr>
            <w:tcW w:w="0" w:type="dxa"/>
            <w:vAlign w:val="bottom"/>
          </w:tcPr>
          <w:p>
            <w:pPr>
              <w:spacing w:after="0"/>
              <w:rPr>
                <w:sz w:val="1"/>
                <w:szCs w:val="1"/>
                <w:color w:val="auto"/>
              </w:rPr>
            </w:pPr>
          </w:p>
        </w:tc>
      </w:tr>
      <w:tr>
        <w:trPr>
          <w:trHeight w:val="214"/>
        </w:trPr>
        <w:tc>
          <w:tcPr>
            <w:tcW w:w="7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(127)</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Accrued expenses and deferred compensation</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6,019</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1,620</w:t>
            </w:r>
          </w:p>
        </w:tc>
        <w:tc>
          <w:tcPr>
            <w:tcW w:w="0" w:type="dxa"/>
            <w:vAlign w:val="bottom"/>
          </w:tcPr>
          <w:p>
            <w:pPr>
              <w:spacing w:after="0"/>
              <w:rPr>
                <w:sz w:val="1"/>
                <w:szCs w:val="1"/>
                <w:color w:val="auto"/>
              </w:rPr>
            </w:pPr>
          </w:p>
        </w:tc>
      </w:tr>
      <w:tr>
        <w:trPr>
          <w:trHeight w:val="214"/>
        </w:trPr>
        <w:tc>
          <w:tcPr>
            <w:tcW w:w="79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Accrued restructuring costs</w:t>
            </w:r>
          </w:p>
        </w:tc>
        <w:tc>
          <w:tcPr>
            <w:tcW w:w="18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2,052</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08"/>
        </w:trPr>
        <w:tc>
          <w:tcPr>
            <w:tcW w:w="7900" w:type="dxa"/>
            <w:vAlign w:val="bottom"/>
            <w:tcBorders>
              <w:bottom w:val="single" w:sz="8" w:color="CFF0FC"/>
            </w:tcBorders>
          </w:tcPr>
          <w:p>
            <w:pPr>
              <w:ind w:left="1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22,703</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8,247</w:t>
            </w:r>
          </w:p>
        </w:tc>
        <w:tc>
          <w:tcPr>
            <w:tcW w:w="0" w:type="dxa"/>
            <w:vAlign w:val="bottom"/>
          </w:tcPr>
          <w:p>
            <w:pPr>
              <w:spacing w:after="0"/>
              <w:rPr>
                <w:sz w:val="1"/>
                <w:szCs w:val="1"/>
                <w:color w:val="auto"/>
              </w:rPr>
            </w:pPr>
          </w:p>
        </w:tc>
      </w:tr>
      <w:tr>
        <w:trPr>
          <w:trHeight w:val="211"/>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(2,041)</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the sale of equipment</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12</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Investment in unconsolidated joint venture</w:t>
            </w:r>
          </w:p>
        </w:tc>
        <w:tc>
          <w:tcPr>
            <w:tcW w:w="18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the maturity of short-term investments (Held to Maturity)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1,800</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short-term and long-term investments (Held to Maturity)</w:t>
            </w:r>
          </w:p>
        </w:tc>
        <w:tc>
          <w:tcPr>
            <w:tcW w:w="18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(1,245)</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 of short-term investments (Available for Sale)</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(5,010)</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the sale of short-term investments (Available for Sale)</w:t>
            </w:r>
          </w:p>
        </w:tc>
        <w:tc>
          <w:tcPr>
            <w:tcW w:w="18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455</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the sale of long-term investments (rabbi trust)</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77</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Purchase of long-term investments (rabbi trust)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(257)</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11"/>
        </w:trPr>
        <w:tc>
          <w:tcPr>
            <w:tcW w:w="79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(6,299)</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2,474</w:t>
            </w:r>
          </w:p>
        </w:tc>
        <w:tc>
          <w:tcPr>
            <w:tcW w:w="0" w:type="dxa"/>
            <w:vAlign w:val="bottom"/>
          </w:tcPr>
          <w:p>
            <w:pPr>
              <w:spacing w:after="0"/>
              <w:rPr>
                <w:sz w:val="1"/>
                <w:szCs w:val="1"/>
                <w:color w:val="auto"/>
              </w:rPr>
            </w:pPr>
          </w:p>
        </w:tc>
      </w:tr>
      <w:tr>
        <w:trPr>
          <w:trHeight w:val="206"/>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Payments associated with lines of credit</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(30,772)</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Payments associated with Paycheck Protection Program Loan</w:t>
            </w:r>
          </w:p>
        </w:tc>
        <w:tc>
          <w:tcPr>
            <w:tcW w:w="18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(7,606)</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Dividends paid</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(2,583)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0" w:type="dxa"/>
            <w:vAlign w:val="bottom"/>
          </w:tcPr>
          <w:p>
            <w:pPr>
              <w:spacing w:after="0"/>
              <w:rPr>
                <w:sz w:val="1"/>
                <w:szCs w:val="1"/>
                <w:color w:val="auto"/>
              </w:rPr>
            </w:pPr>
          </w:p>
        </w:tc>
      </w:tr>
      <w:tr>
        <w:trPr>
          <w:trHeight w:val="214"/>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acquisition of business</w:t>
            </w:r>
          </w:p>
        </w:tc>
        <w:tc>
          <w:tcPr>
            <w:tcW w:w="18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0" w:type="dxa"/>
            <w:vAlign w:val="bottom"/>
          </w:tcPr>
          <w:p>
            <w:pPr>
              <w:spacing w:after="0"/>
              <w:rPr>
                <w:sz w:val="1"/>
                <w:szCs w:val="1"/>
                <w:color w:val="auto"/>
              </w:rPr>
            </w:pPr>
          </w:p>
        </w:tc>
      </w:tr>
      <w:tr>
        <w:trPr>
          <w:trHeight w:val="204"/>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subordinated loan payable associated with the</w:t>
            </w:r>
          </w:p>
        </w:tc>
        <w:tc>
          <w:tcPr>
            <w:tcW w:w="180" w:type="dxa"/>
            <w:vAlign w:val="bottom"/>
            <w:shd w:val="clear" w:color="auto" w:fill="CFF0FC"/>
          </w:tcPr>
          <w:p>
            <w:pPr>
              <w:spacing w:after="0"/>
              <w:rPr>
                <w:sz w:val="17"/>
                <w:szCs w:val="17"/>
                <w:color w:val="auto"/>
              </w:rPr>
            </w:pPr>
          </w:p>
        </w:tc>
        <w:tc>
          <w:tcPr>
            <w:tcW w:w="1600" w:type="dxa"/>
            <w:vAlign w:val="bottom"/>
            <w:vMerge w:val="restart"/>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noncontrolling interest of discontinued operation</w:t>
            </w:r>
          </w:p>
        </w:tc>
        <w:tc>
          <w:tcPr>
            <w:tcW w:w="180" w:type="dxa"/>
            <w:vAlign w:val="bottom"/>
            <w:shd w:val="clear" w:color="auto" w:fill="CFF0FC"/>
          </w:tcPr>
          <w:p>
            <w:pPr>
              <w:spacing w:after="0"/>
              <w:rPr>
                <w:sz w:val="18"/>
                <w:szCs w:val="18"/>
                <w:color w:val="auto"/>
              </w:rPr>
            </w:pPr>
          </w:p>
        </w:tc>
        <w:tc>
          <w:tcPr>
            <w:tcW w:w="1600" w:type="dxa"/>
            <w:vAlign w:val="bottom"/>
            <w:vMerge w:val="continue"/>
            <w:shd w:val="clear" w:color="auto" w:fill="CFF0FC"/>
          </w:tcPr>
          <w:p>
            <w:pPr>
              <w:spacing w:after="0"/>
              <w:rPr>
                <w:sz w:val="18"/>
                <w:szCs w:val="18"/>
                <w:color w:val="auto"/>
              </w:rPr>
            </w:pP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2"/>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 contribution from noncontrolling interest associated</w:t>
            </w:r>
          </w:p>
        </w:tc>
        <w:tc>
          <w:tcPr>
            <w:tcW w:w="180" w:type="dxa"/>
            <w:vAlign w:val="bottom"/>
          </w:tcPr>
          <w:p>
            <w:pPr>
              <w:spacing w:after="0"/>
              <w:rPr>
                <w:sz w:val="17"/>
                <w:szCs w:val="17"/>
                <w:color w:val="auto"/>
              </w:rPr>
            </w:pPr>
          </w:p>
        </w:tc>
        <w:tc>
          <w:tcPr>
            <w:tcW w:w="16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with discontinued operation</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surrendered for withholding taxes payable</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(15)</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(41,001)</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Pr>
          <w:p>
            <w:pPr>
              <w:spacing w:after="0"/>
              <w:rPr>
                <w:sz w:val="18"/>
                <w:szCs w:val="18"/>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95</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8"/>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(24,502)</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7,175</w:t>
            </w:r>
          </w:p>
        </w:tc>
        <w:tc>
          <w:tcPr>
            <w:tcW w:w="0" w:type="dxa"/>
            <w:vAlign w:val="bottom"/>
          </w:tcPr>
          <w:p>
            <w:pPr>
              <w:spacing w:after="0"/>
              <w:rPr>
                <w:sz w:val="1"/>
                <w:szCs w:val="1"/>
                <w:color w:val="auto"/>
              </w:rPr>
            </w:pPr>
          </w:p>
        </w:tc>
      </w:tr>
      <w:tr>
        <w:trPr>
          <w:trHeight w:val="214"/>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69,790</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40,008</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 (1)</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45,288</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47,183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9" w:lineRule="exact"/>
        <w:rPr>
          <w:sz w:val="20"/>
          <w:szCs w:val="20"/>
          <w:color w:val="auto"/>
        </w:rPr>
      </w:pPr>
    </w:p>
    <w:p>
      <w:pPr>
        <w:jc w:val="both"/>
        <w:ind w:left="300" w:hanging="285"/>
        <w:spacing w:after="0" w:line="254" w:lineRule="auto"/>
        <w:tabs>
          <w:tab w:leader="none" w:pos="305"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November 3, 2019, cash and cash equivalents totaled $47.2 million, of which $47.0 million and $228,000 were classified as (i) cash and cash equivalents and (ii) within current assets – discontinued operation, respectively, in the accompanying Consolidated Balance Sheets.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158"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SIX-MONTH PERIOD ENDED NOVEMBER 1, 2020</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color w:val="auto"/>
              </w:rPr>
              <w:t>Contributed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4"/>
                <w:szCs w:val="14"/>
                <w:color w:val="auto"/>
              </w:rPr>
            </w:pP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508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rPr>
              <w:t>in Excess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Shareholders'</w:t>
            </w:r>
          </w:p>
        </w:tc>
      </w:tr>
      <w:tr>
        <w:trPr>
          <w:trHeight w:val="155"/>
        </w:trPr>
        <w:tc>
          <w:tcPr>
            <w:tcW w:w="50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52"/>
              <w:spacing w:after="0" w:line="155" w:lineRule="exact"/>
              <w:rPr>
                <w:sz w:val="20"/>
                <w:szCs w:val="20"/>
                <w:color w:val="auto"/>
              </w:rPr>
            </w:pPr>
            <w:r>
              <w:rPr>
                <w:rFonts w:ascii="Times New Roman" w:cs="Times New Roman" w:eastAsia="Times New Roman" w:hAnsi="Times New Roman"/>
                <w:sz w:val="14"/>
                <w:szCs w:val="14"/>
                <w:color w:val="auto"/>
                <w:w w:val="98"/>
              </w:rPr>
              <w:t>of Par Value</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auto"/>
              </w:rPr>
              <w:t>(Loss) Income</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May 3, 2020 *</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12,284,946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42,582</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86,511</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129,698</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Fully vested common stock award</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August 2, 2020</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12,291,946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42,708</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82,487</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125,869</w:t>
            </w: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2,384</w:t>
            </w:r>
          </w:p>
        </w:tc>
      </w:tr>
      <w:tr>
        <w:trPr>
          <w:trHeight w:val="22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Fully vested common stock award</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issued in connection with</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vesting of performance-based restricted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units</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surrendered for withholding</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4"/>
        </w:trPr>
        <w:tc>
          <w:tcPr>
            <w:tcW w:w="50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taxes payable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23"/>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November 1, 2020</w:t>
            </w:r>
          </w:p>
        </w:tc>
        <w:tc>
          <w:tcPr>
            <w:tcW w:w="10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12,303,023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43,031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83,579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127,251</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SIX-MONTH PERIOD ENDED NOVEMBER 3,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i w:val="1"/>
                <w:iCs w:val="1"/>
                <w:color w:val="auto"/>
              </w:rPr>
              <w:t>Shareholders’ equity attributable to Culp Inc.</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08"/>
        </w:trPr>
        <w:tc>
          <w:tcPr>
            <w:tcW w:w="3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Capital</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82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Noncontrolling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Contributed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left="121"/>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 Excess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Comprehensive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color w:val="auto"/>
              </w:rPr>
              <w:t>Discontinued</w:t>
            </w:r>
          </w:p>
        </w:tc>
        <w:tc>
          <w:tcPr>
            <w:tcW w:w="100" w:type="dxa"/>
            <w:vAlign w:val="bottom"/>
          </w:tcPr>
          <w:p>
            <w:pPr>
              <w:spacing w:after="0"/>
              <w:rPr>
                <w:sz w:val="14"/>
                <w:szCs w:val="14"/>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Total</w:t>
            </w:r>
          </w:p>
        </w:tc>
      </w:tr>
      <w:tr>
        <w:trPr>
          <w:trHeight w:val="156"/>
        </w:trPr>
        <w:tc>
          <w:tcPr>
            <w:tcW w:w="34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720" w:type="dxa"/>
            <w:vAlign w:val="bottom"/>
            <w:tcBorders>
              <w:bottom w:val="single" w:sz="8" w:color="auto"/>
            </w:tcBorders>
            <w:gridSpan w:val="2"/>
          </w:tcPr>
          <w:p>
            <w:pPr>
              <w:jc w:val="right"/>
              <w:ind w:right="91"/>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40" w:type="dxa"/>
            <w:vAlign w:val="bottom"/>
            <w:tcBorders>
              <w:bottom w:val="single" w:sz="8" w:color="auto"/>
            </w:tcBorders>
            <w:gridSpan w:val="4"/>
          </w:tcPr>
          <w:p>
            <w:pPr>
              <w:ind w:left="100"/>
              <w:spacing w:after="0" w:line="155" w:lineRule="exact"/>
              <w:rPr>
                <w:sz w:val="20"/>
                <w:szCs w:val="20"/>
                <w:color w:val="auto"/>
              </w:rPr>
            </w:pPr>
            <w:r>
              <w:rPr>
                <w:rFonts w:ascii="Times New Roman" w:cs="Times New Roman" w:eastAsia="Times New Roman" w:hAnsi="Times New Roman"/>
                <w:sz w:val="14"/>
                <w:szCs w:val="14"/>
                <w:color w:val="auto"/>
              </w:rPr>
              <w:t>of Par Value</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left="121"/>
              <w:spacing w:after="0" w:line="155" w:lineRule="exact"/>
              <w:rPr>
                <w:sz w:val="20"/>
                <w:szCs w:val="20"/>
                <w:color w:val="auto"/>
              </w:rPr>
            </w:pPr>
            <w:r>
              <w:rPr>
                <w:rFonts w:ascii="Times New Roman" w:cs="Times New Roman" w:eastAsia="Times New Roman" w:hAnsi="Times New Roman"/>
                <w:sz w:val="14"/>
                <w:szCs w:val="14"/>
                <w:color w:val="auto"/>
                <w:w w:val="99"/>
              </w:rPr>
              <w:t>Income</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72"/>
              <w:spacing w:after="0" w:line="155" w:lineRule="exact"/>
              <w:rPr>
                <w:sz w:val="20"/>
                <w:szCs w:val="20"/>
                <w:color w:val="auto"/>
              </w:rPr>
            </w:pPr>
            <w:r>
              <w:rPr>
                <w:rFonts w:ascii="Times New Roman" w:cs="Times New Roman" w:eastAsia="Times New Roman" w:hAnsi="Times New Roman"/>
                <w:sz w:val="14"/>
                <w:szCs w:val="14"/>
                <w:color w:val="auto"/>
              </w:rPr>
              <w:t>Operation</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color w:val="auto"/>
              </w:rPr>
              <w:t>Equity</w:t>
            </w:r>
          </w:p>
        </w:tc>
      </w:tr>
      <w:tr>
        <w:trPr>
          <w:trHeight w:val="22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April 28, 2019 *</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12,391,160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43,694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115,579</w:t>
            </w:r>
          </w:p>
        </w:tc>
        <w:tc>
          <w:tcPr>
            <w:tcW w:w="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4"/>
              </w:rPr>
              <w:t>$ 159,933</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4,314</w:t>
            </w:r>
          </w:p>
        </w:tc>
        <w:tc>
          <w:tcPr>
            <w:tcW w:w="9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$ 164,247</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9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1,174</w:t>
            </w:r>
          </w:p>
        </w:tc>
      </w:tr>
      <w:tr>
        <w:trPr>
          <w:trHeight w:val="229"/>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r>
      <w:tr>
        <w:trPr>
          <w:trHeight w:val="211"/>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issued in connection with</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vesting of performance based restricted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34"/>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units</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Fully vested common stock award</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surrendered for</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34"/>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11"/>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contribution from non-controlling</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associated with discontinued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34"/>
        </w:trPr>
        <w:tc>
          <w:tcPr>
            <w:tcW w:w="3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operation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9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Balance, August 4, 2019</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12,405,014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43,803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115,676</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4"/>
              </w:rPr>
              <w:t>$ 160,146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94"/>
              </w:rPr>
              <w:t>$ 164,336</w:t>
            </w:r>
          </w:p>
        </w:tc>
      </w:tr>
      <w:tr>
        <w:trPr>
          <w:trHeight w:val="230"/>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2,192</w:t>
            </w: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r>
      <w:tr>
        <w:trPr>
          <w:trHeight w:val="211"/>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issued in connection with</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vesting of performance based restricted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units</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Fully vested common stock award</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surrendered for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11"/>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contribution from non-controlling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associated with discontinued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9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November 3, 2019</w:t>
            </w:r>
          </w:p>
        </w:tc>
        <w:tc>
          <w:tcPr>
            <w:tcW w:w="10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12,411,957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44,109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4"/>
              </w:rPr>
              <w:t>$ 161,520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94"/>
              </w:rPr>
              <w:t>$ 165,922</w:t>
            </w:r>
          </w:p>
        </w:tc>
      </w:tr>
      <w:tr>
        <w:trPr>
          <w:trHeight w:val="20"/>
        </w:trPr>
        <w:tc>
          <w:tcPr>
            <w:tcW w:w="3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which are, in the opinion of management, necessary for fair presentation of the results of operations and financial position. All of these adjustments are of a normal recurring nature. Results of operations for interim periods may not be indicative of future results. The unaudited condensed consolidated financial statements should be read in conjunction with the audited consolidated financial statements, which are included in the company’s annual report on Form 10-K filed with the Securities and Exchange Commission on July 17, 2020, for the fiscal year ended May 3,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six-months ended November 1, 2020, and November 3, 2019, represent 26-week and 27-week periods,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November 1, 2020, there were no changes in the nature of our significant accounting policies or the application of those policies from those reported in our annual report on Form 10-K for the year then ended May 3, 2020.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Current Expected Credit Losses (“CECL”)</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June 2016, the FASB issued ASU No. 2016-13, “</w:t>
      </w:r>
      <w:r>
        <w:rPr>
          <w:rFonts w:ascii="Times New Roman" w:cs="Times New Roman" w:eastAsia="Times New Roman" w:hAnsi="Times New Roman"/>
          <w:sz w:val="20"/>
          <w:szCs w:val="20"/>
          <w:i w:val="1"/>
          <w:iCs w:val="1"/>
          <w:color w:val="auto"/>
        </w:rPr>
        <w:t>Financial Instruments – Credit Losses</w:t>
      </w:r>
      <w:r>
        <w:rPr>
          <w:rFonts w:ascii="Times New Roman" w:cs="Times New Roman" w:eastAsia="Times New Roman" w:hAnsi="Times New Roman"/>
          <w:sz w:val="20"/>
          <w:szCs w:val="20"/>
          <w:color w:val="auto"/>
        </w:rPr>
        <w:t xml:space="preserve"> (Topic 326): </w:t>
      </w:r>
      <w:r>
        <w:rPr>
          <w:rFonts w:ascii="Times New Roman" w:cs="Times New Roman" w:eastAsia="Times New Roman" w:hAnsi="Times New Roman"/>
          <w:sz w:val="20"/>
          <w:szCs w:val="20"/>
          <w:i w:val="1"/>
          <w:iCs w:val="1"/>
          <w:color w:val="auto"/>
        </w:rPr>
        <w:t>Measurement of Credit Losses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which requires entities to use a forward looking approach based on expected losses to estimate credit losses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types of financial instruments, including trade receivables. The FASB has subsequently issued updates to the standard to provide additional clarification on specific topics. Topic 326 is effective for fiscal years, and interim periods within those fiscal years, beginning after December 15, 2019. As a result, we adopted the provisions of Topic 326 on May 4, 2020 and applied this guidance through the second quarter of fiscal 2021. The adoption of Topic 326 did not have an impact on our financial position, results of operations, or cash flows. See Notes 4 and 11 of our consolidated financial statements for further details of the adoption of CECL as of May 4, 2020 and our assessments and conclusions as of November 1, 2020.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 December 2019, the FASB issued ASU No. 2019-12, </w:t>
      </w:r>
      <w:r>
        <w:rPr>
          <w:rFonts w:ascii="Times New Roman" w:cs="Times New Roman" w:eastAsia="Times New Roman" w:hAnsi="Times New Roman"/>
          <w:sz w:val="20"/>
          <w:szCs w:val="20"/>
          <w:i w:val="1"/>
          <w:iCs w:val="1"/>
          <w:color w:val="auto"/>
        </w:rPr>
        <w:t>Income Taxes (Topic 740): Simplifying the Accounting for Income Taxes</w:t>
      </w:r>
      <w:r>
        <w:rPr>
          <w:rFonts w:ascii="Times New Roman" w:cs="Times New Roman" w:eastAsia="Times New Roman" w:hAnsi="Times New Roman"/>
          <w:sz w:val="20"/>
          <w:szCs w:val="20"/>
          <w:color w:val="auto"/>
        </w:rPr>
        <w:t xml:space="preserve"> (“ASU 2019-12”), which is intended to simplify various aspects related to accounting for income taxes. ASU 2019-12 removes certain exceptions to the general principles in Topic 740 and clarifies and amends existing guidance to improve consistent application. This guidance is effective for fiscal years, and periods within those fiscal years, beginning after December 15, 2020, with early adoption permitted. We are required to apply this guidance in our fiscal 2022 interim and annual financial statements. Currently we do not expect this standard to affect our consolidated financial statements and related disclosures.</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are no other new recent accounting pronouncements that are expected to have a material impact on our consolidated financial statements.</w:t>
      </w:r>
    </w:p>
    <w:p>
      <w:pPr>
        <w:spacing w:after="0" w:line="115"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HOME ACCESSORIES SEGMENT – DISCONTINUED OPERATION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March 31, 2020, we sold our entire ownership interest in eLuxury, LLC (“eLuxury”) to eLuxury’s noncontrolling interest holder in consideration of an accelerated settlement of certain financial obligations due and payable by eLuxury to us and the entry into supply and royalty arrangements designed to preserve an additional sales channel for our core products. Also, this sale, which was part of our comprehensive response to the challenging business conditions arising from the COVID-19 global pandemic, has allowed us to focus on our core businesses of upholstery and mattress fabrics and has been a factor in the increase of our liquidity through the first half of fiscal 2021.</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sale of our entire ownership interest in eLuxury, (i) we received $509,500 at closing as an accelerated repayment of principal amounts previously loaned to eLuxury, together with outstanding interest, under a loan agreement between us and eLuxury; (ii) we forgave $300,000 of borrowings payable by eLuxury to us under this loan agreement; (iii) we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 w:name="page10"/>
    <w:bookmarkEnd w:id="9"/>
    <w:p>
      <w:pPr>
        <w:jc w:val="both"/>
        <w:spacing w:after="0" w:line="249" w:lineRule="auto"/>
        <w:rPr>
          <w:sz w:val="20"/>
          <w:szCs w:val="20"/>
          <w:color w:val="auto"/>
        </w:rPr>
      </w:pPr>
      <w:r>
        <w:rPr>
          <w:rFonts w:ascii="Times New Roman" w:cs="Times New Roman" w:eastAsia="Times New Roman" w:hAnsi="Times New Roman"/>
          <w:sz w:val="20"/>
          <w:szCs w:val="20"/>
          <w:color w:val="auto"/>
        </w:rPr>
        <w:t>entered into an amended and restated credit and security agreement with eLuxury and the buyer (the former noncontrolling interest holder) (together, the “Borrowers”), pursuant to which the Borrowers agreed to repay an additional $1 million previously loaned to eLuxury within thirty days of the closing of the sale transaction (and which amount was secured by the assets of both Borrowers); and (iv) eLuxury agreed to pay $613,000 within sixty days of the sale transaction in satisfaction of certain trade accounts payable due from eLuxury to us.</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remaining $1 million we previously loaned to eLuxury and the outstanding trade accounts payable balance of $613,000 due from eLuxury to us has been paid in full in accordance with the terms of the sale agreement outlined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Discontinued Operation Financial Statement Presentation and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Statement Presentation</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Due to the sale of our entire ownership interest in eLuxury, our home accessories segment was eliminated. Consequently, we determined that the results from operations and assets and liabilities associated with our home accessories segment were to be excluded from our continuing operations and presented as a discontinued operation in our consolidated financial statements in accordance with ASC Topic 205-20-45. As a result, we classified the results from operations of our home accessories segment separately in captions titled “Discontinued Operation” on our Consolidated Statement of Net Income for the three-month and six-month periods ending November 3, 2019. Additionally, assets and liabilities associated with our home accessories segment as of November 3, 2019, were reclassified from certain amounts reported in the prior period to present separately in captions titled “current assets – discontinued operation”, “noncurrent assets – discontinued operation”, “current liabilities - discontinued operation”, and “noncurrent liabilities – discontinued operation” to conform to current year financial statement presentation.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assets and liabilities of the disposal group that are presented separately as a discontinued operation on the Consolidated Balance Sheet as of November 3,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November 3</w:t>
            </w:r>
          </w:p>
        </w:tc>
        <w:tc>
          <w:tcPr>
            <w:tcW w:w="0" w:type="dxa"/>
            <w:vAlign w:val="bottom"/>
          </w:tcPr>
          <w:p>
            <w:pPr>
              <w:spacing w:after="0"/>
              <w:rPr>
                <w:sz w:val="1"/>
                <w:szCs w:val="1"/>
                <w:color w:val="auto"/>
              </w:rPr>
            </w:pPr>
          </w:p>
        </w:tc>
      </w:tr>
      <w:tr>
        <w:trPr>
          <w:trHeight w:val="238"/>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 - discontinued operation</w:t>
            </w:r>
          </w:p>
        </w:tc>
        <w:tc>
          <w:tcPr>
            <w:tcW w:w="32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4,760</w:t>
            </w:r>
          </w:p>
        </w:tc>
        <w:tc>
          <w:tcPr>
            <w:tcW w:w="0" w:type="dxa"/>
            <w:vAlign w:val="bottom"/>
          </w:tcPr>
          <w:p>
            <w:pPr>
              <w:spacing w:after="0"/>
              <w:rPr>
                <w:sz w:val="1"/>
                <w:szCs w:val="1"/>
                <w:color w:val="auto"/>
              </w:rPr>
            </w:pPr>
          </w:p>
        </w:tc>
      </w:tr>
      <w:tr>
        <w:trPr>
          <w:trHeight w:val="223"/>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13,653</w:t>
            </w:r>
          </w:p>
        </w:tc>
        <w:tc>
          <w:tcPr>
            <w:tcW w:w="0" w:type="dxa"/>
            <w:vAlign w:val="bottom"/>
          </w:tcPr>
          <w:p>
            <w:pPr>
              <w:spacing w:after="0"/>
              <w:rPr>
                <w:sz w:val="1"/>
                <w:szCs w:val="1"/>
                <w:color w:val="auto"/>
              </w:rPr>
            </w:pPr>
          </w:p>
        </w:tc>
      </w:tr>
      <w:tr>
        <w:trPr>
          <w:trHeight w:val="229"/>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intangible asset</w:t>
            </w:r>
          </w:p>
        </w:tc>
        <w:tc>
          <w:tcPr>
            <w:tcW w:w="32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6,549</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right of use asset</w:t>
            </w:r>
          </w:p>
        </w:tc>
        <w:tc>
          <w:tcPr>
            <w:tcW w:w="32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noncurrent assets - discontinued operation</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22,950</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27,710</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NET ASSETS</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 - discontinued operation</w:t>
            </w:r>
          </w:p>
        </w:tc>
        <w:tc>
          <w:tcPr>
            <w:tcW w:w="32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23"/>
        </w:trPr>
        <w:tc>
          <w:tcPr>
            <w:tcW w:w="9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payable - Culp Inc.</w:t>
            </w:r>
          </w:p>
        </w:tc>
        <w:tc>
          <w:tcPr>
            <w:tcW w:w="32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subordinated loan payable - noncontrolling interest</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operating lease liability - long-term</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noncurrent liabilities - discontinued operation</w:t>
            </w:r>
          </w:p>
        </w:tc>
        <w:tc>
          <w:tcPr>
            <w:tcW w:w="32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net assets of discontinued operation</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22,253</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Net Loss from Discontinued Operation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is a summary of the major classes of financial statement line items constituting loss before income taxes from discontinued operation that are presented in the Consolidated Statements of Net Income for the three-month and six-month periods ending November 3,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9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November 3,</w:t>
            </w:r>
          </w:p>
        </w:tc>
        <w:tc>
          <w:tcPr>
            <w:tcW w:w="0" w:type="dxa"/>
            <w:vAlign w:val="bottom"/>
          </w:tcPr>
          <w:p>
            <w:pPr>
              <w:spacing w:after="0"/>
              <w:rPr>
                <w:sz w:val="1"/>
                <w:szCs w:val="1"/>
                <w:color w:val="auto"/>
              </w:rPr>
            </w:pPr>
          </w:p>
        </w:tc>
      </w:tr>
      <w:tr>
        <w:trPr>
          <w:trHeight w:val="238"/>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3,276</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577</w:t>
            </w:r>
          </w:p>
        </w:tc>
        <w:tc>
          <w:tcPr>
            <w:tcW w:w="0" w:type="dxa"/>
            <w:vAlign w:val="bottom"/>
          </w:tcPr>
          <w:p>
            <w:pPr>
              <w:spacing w:after="0"/>
              <w:rPr>
                <w:sz w:val="1"/>
                <w:szCs w:val="1"/>
                <w:color w:val="auto"/>
              </w:rPr>
            </w:pP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(1)</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05"/>
        </w:trPr>
        <w:tc>
          <w:tcPr>
            <w:tcW w:w="9060" w:type="dxa"/>
            <w:vAlign w:val="bottom"/>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loss before income taxes from discontinued</w:t>
            </w:r>
          </w:p>
        </w:tc>
        <w:tc>
          <w:tcPr>
            <w:tcW w:w="140" w:type="dxa"/>
            <w:vAlign w:val="bottom"/>
            <w:shd w:val="clear" w:color="auto" w:fill="CFF0FC"/>
          </w:tcPr>
          <w:p>
            <w:pPr>
              <w:spacing w:after="0"/>
              <w:rPr>
                <w:sz w:val="17"/>
                <w:szCs w:val="17"/>
                <w:color w:val="auto"/>
              </w:rPr>
            </w:pPr>
          </w:p>
        </w:tc>
        <w:tc>
          <w:tcPr>
            <w:tcW w:w="2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0" w:type="dxa"/>
            <w:vAlign w:val="bottom"/>
          </w:tcPr>
          <w:p>
            <w:pPr>
              <w:spacing w:after="0"/>
              <w:rPr>
                <w:sz w:val="1"/>
                <w:szCs w:val="1"/>
                <w:color w:val="auto"/>
              </w:rPr>
            </w:pPr>
          </w:p>
        </w:tc>
      </w:tr>
      <w:tr>
        <w:trPr>
          <w:trHeight w:val="234"/>
        </w:trPr>
        <w:tc>
          <w:tcPr>
            <w:tcW w:w="9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operation</w:t>
            </w:r>
          </w:p>
        </w:tc>
        <w:tc>
          <w:tcPr>
            <w:tcW w:w="140" w:type="dxa"/>
            <w:vAlign w:val="bottom"/>
            <w:shd w:val="clear" w:color="auto" w:fill="CFF0FC"/>
          </w:tcPr>
          <w:p>
            <w:pPr>
              <w:spacing w:after="0"/>
              <w:rPr>
                <w:sz w:val="20"/>
                <w:szCs w:val="20"/>
                <w:color w:val="auto"/>
              </w:rPr>
            </w:pPr>
          </w:p>
        </w:tc>
        <w:tc>
          <w:tcPr>
            <w:tcW w:w="20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4"/>
        </w:trPr>
        <w:tc>
          <w:tcPr>
            <w:tcW w:w="9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November 3,</w:t>
            </w:r>
          </w:p>
        </w:tc>
        <w:tc>
          <w:tcPr>
            <w:tcW w:w="0" w:type="dxa"/>
            <w:vAlign w:val="bottom"/>
          </w:tcPr>
          <w:p>
            <w:pPr>
              <w:spacing w:after="0"/>
              <w:rPr>
                <w:sz w:val="1"/>
                <w:szCs w:val="1"/>
                <w:color w:val="auto"/>
              </w:rPr>
            </w:pPr>
          </w:p>
        </w:tc>
      </w:tr>
      <w:tr>
        <w:trPr>
          <w:trHeight w:val="238"/>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7,578</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(6,048)</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1,530</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(2,565)</w:t>
            </w: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(1)</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05"/>
        </w:trPr>
        <w:tc>
          <w:tcPr>
            <w:tcW w:w="9060" w:type="dxa"/>
            <w:vAlign w:val="bottom"/>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loss before income taxes from discontinued</w:t>
            </w:r>
          </w:p>
        </w:tc>
        <w:tc>
          <w:tcPr>
            <w:tcW w:w="140" w:type="dxa"/>
            <w:vAlign w:val="bottom"/>
            <w:shd w:val="clear" w:color="auto" w:fill="CFF0FC"/>
          </w:tcPr>
          <w:p>
            <w:pPr>
              <w:spacing w:after="0"/>
              <w:rPr>
                <w:sz w:val="17"/>
                <w:szCs w:val="17"/>
                <w:color w:val="auto"/>
              </w:rPr>
            </w:pPr>
          </w:p>
        </w:tc>
        <w:tc>
          <w:tcPr>
            <w:tcW w:w="2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0" w:type="dxa"/>
            <w:vAlign w:val="bottom"/>
          </w:tcPr>
          <w:p>
            <w:pPr>
              <w:spacing w:after="0"/>
              <w:rPr>
                <w:sz w:val="1"/>
                <w:szCs w:val="1"/>
                <w:color w:val="auto"/>
              </w:rPr>
            </w:pPr>
          </w:p>
        </w:tc>
      </w:tr>
      <w:tr>
        <w:trPr>
          <w:trHeight w:val="234"/>
        </w:trPr>
        <w:tc>
          <w:tcPr>
            <w:tcW w:w="9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operation</w:t>
            </w:r>
          </w:p>
        </w:tc>
        <w:tc>
          <w:tcPr>
            <w:tcW w:w="140" w:type="dxa"/>
            <w:vAlign w:val="bottom"/>
            <w:shd w:val="clear" w:color="auto" w:fill="CFF0FC"/>
          </w:tcPr>
          <w:p>
            <w:pPr>
              <w:spacing w:after="0"/>
              <w:rPr>
                <w:sz w:val="20"/>
                <w:szCs w:val="20"/>
                <w:color w:val="auto"/>
              </w:rPr>
            </w:pPr>
          </w:p>
        </w:tc>
        <w:tc>
          <w:tcPr>
            <w:tcW w:w="20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60" w:right="20" w:hanging="352"/>
        <w:spacing w:after="0" w:line="269"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is directly attributable to our discontinued operation as it pertains to the loans payable assumed by the buyer (the former noncontrolling interest holder) or required to be paid to Culp, Inc. based on the terms of the sale agreement.</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is a summary of net income (loss) from continuing operations, net loss from discontinued operation, and net income (loss) attributable to Culp, Inc. common shareholders and the noncontrolling interest associated with our discontinued operation for the three-month and six-month periods ending November 1, 2020, and November 3,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November 1,</w:t>
            </w:r>
          </w:p>
        </w:tc>
        <w:tc>
          <w:tcPr>
            <w:tcW w:w="34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November 3,</w:t>
            </w:r>
          </w:p>
        </w:tc>
        <w:tc>
          <w:tcPr>
            <w:tcW w:w="0" w:type="dxa"/>
            <w:vAlign w:val="bottom"/>
          </w:tcPr>
          <w:p>
            <w:pPr>
              <w:spacing w:after="0"/>
              <w:rPr>
                <w:sz w:val="1"/>
                <w:szCs w:val="1"/>
                <w:color w:val="auto"/>
              </w:rPr>
            </w:pPr>
          </w:p>
        </w:tc>
      </w:tr>
      <w:tr>
        <w:trPr>
          <w:trHeight w:val="238"/>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2,384</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income from continuing operations attributable</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2,384</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Culp, Inc. common shareholders</w:t>
            </w: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 attributable to</w:t>
            </w:r>
          </w:p>
        </w:tc>
        <w:tc>
          <w:tcPr>
            <w:tcW w:w="200" w:type="dxa"/>
            <w:vAlign w:val="bottom"/>
            <w:shd w:val="clear" w:color="auto" w:fill="CFF0FC"/>
          </w:tcPr>
          <w:p>
            <w:pPr>
              <w:spacing w:after="0"/>
              <w:rPr>
                <w:sz w:val="18"/>
                <w:szCs w:val="18"/>
                <w:color w:val="auto"/>
              </w:rPr>
            </w:pPr>
          </w:p>
        </w:tc>
        <w:tc>
          <w:tcPr>
            <w:tcW w:w="15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5"/>
        </w:trPr>
        <w:tc>
          <w:tcPr>
            <w:tcW w:w="7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income from discontinued operation attributable to Culp, Inc.</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20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2,384</w:t>
            </w:r>
          </w:p>
        </w:tc>
        <w:tc>
          <w:tcPr>
            <w:tcW w:w="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05"/>
        </w:trPr>
        <w:tc>
          <w:tcPr>
            <w:tcW w:w="7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 from noncontrolling interest associated with a</w:t>
            </w:r>
          </w:p>
        </w:tc>
        <w:tc>
          <w:tcPr>
            <w:tcW w:w="200" w:type="dxa"/>
            <w:vAlign w:val="bottom"/>
          </w:tcPr>
          <w:p>
            <w:pPr>
              <w:spacing w:after="0"/>
              <w:rPr>
                <w:sz w:val="17"/>
                <w:szCs w:val="17"/>
                <w:color w:val="auto"/>
              </w:rPr>
            </w:pPr>
          </w:p>
        </w:tc>
        <w:tc>
          <w:tcPr>
            <w:tcW w:w="15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income attributable to Culp, Inc.</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2,384</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November 1,</w:t>
            </w:r>
          </w:p>
        </w:tc>
        <w:tc>
          <w:tcPr>
            <w:tcW w:w="30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November 3,</w:t>
            </w:r>
          </w:p>
        </w:tc>
        <w:tc>
          <w:tcPr>
            <w:tcW w:w="0" w:type="dxa"/>
            <w:vAlign w:val="bottom"/>
          </w:tcPr>
          <w:p>
            <w:pPr>
              <w:spacing w:after="0"/>
              <w:rPr>
                <w:sz w:val="1"/>
                <w:szCs w:val="1"/>
                <w:color w:val="auto"/>
              </w:rPr>
            </w:pPr>
          </w:p>
        </w:tc>
      </w:tr>
      <w:tr>
        <w:trPr>
          <w:trHeight w:val="238"/>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income from continuing operations attributable</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Culp, Inc. common shareholders</w:t>
            </w: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5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 attributable to</w:t>
            </w:r>
          </w:p>
        </w:tc>
        <w:tc>
          <w:tcPr>
            <w:tcW w:w="200" w:type="dxa"/>
            <w:vAlign w:val="bottom"/>
            <w:shd w:val="clear" w:color="auto" w:fill="CFF0FC"/>
          </w:tcPr>
          <w:p>
            <w:pPr>
              <w:spacing w:after="0"/>
              <w:rPr>
                <w:sz w:val="18"/>
                <w:szCs w:val="18"/>
                <w:color w:val="auto"/>
              </w:rPr>
            </w:pPr>
          </w:p>
        </w:tc>
        <w:tc>
          <w:tcPr>
            <w:tcW w:w="154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5"/>
        </w:trPr>
        <w:tc>
          <w:tcPr>
            <w:tcW w:w="7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 from discontinued operation attributable to Culp, Inc.</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20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05"/>
        </w:trPr>
        <w:tc>
          <w:tcPr>
            <w:tcW w:w="7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 from noncontrolling interest associated with a</w:t>
            </w:r>
          </w:p>
        </w:tc>
        <w:tc>
          <w:tcPr>
            <w:tcW w:w="200" w:type="dxa"/>
            <w:vAlign w:val="bottom"/>
          </w:tcPr>
          <w:p>
            <w:pPr>
              <w:spacing w:after="0"/>
              <w:rPr>
                <w:sz w:val="17"/>
                <w:szCs w:val="17"/>
                <w:color w:val="auto"/>
              </w:rPr>
            </w:pPr>
          </w:p>
        </w:tc>
        <w:tc>
          <w:tcPr>
            <w:tcW w:w="15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income attributable to Culp, Inc.</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5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Disclosures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discontinued operation had net cash used in operating activities totaling $2.2 million during the six-months ending November 3, 2019. Our discontinued operation had net cash used in investing activities totaling $32,000 during the six-months ending November 3, 2019. Our discontinued operation had net cash provided by financing activities, all of which were loan proceeds and capital contributions from Culp, Inc. and the former noncontrolling interest holder of eLuxury, totaling $2.4 million during the six-months ending November 3, 2019. We believe our liquidity has improved during the first half of fiscal 2021 in the absence of our former home accessories segment due to the significant losses that were incurred by that segment and the funding of its working capital requirements primarily by us through loans and capital contributions that are no longer required.</w:t>
      </w:r>
    </w:p>
    <w:p>
      <w:pPr>
        <w:spacing w:after="0" w:line="155" w:lineRule="exact"/>
        <w:rPr>
          <w:sz w:val="20"/>
          <w:szCs w:val="20"/>
          <w:color w:val="auto"/>
        </w:rPr>
      </w:pPr>
    </w:p>
    <w:p>
      <w:pPr>
        <w:ind w:right="1680"/>
        <w:spacing w:after="0" w:line="424" w:lineRule="auto"/>
        <w:rPr>
          <w:sz w:val="20"/>
          <w:szCs w:val="20"/>
          <w:color w:val="auto"/>
        </w:rPr>
      </w:pPr>
      <w:r>
        <w:rPr>
          <w:rFonts w:ascii="Times New Roman" w:cs="Times New Roman" w:eastAsia="Times New Roman" w:hAnsi="Times New Roman"/>
          <w:sz w:val="20"/>
          <w:szCs w:val="20"/>
          <w:b w:val="1"/>
          <w:bCs w:val="1"/>
          <w:color w:val="auto"/>
        </w:rPr>
        <w:t xml:space="preserve">Continuing Obligations, Financial Commitments, and Continuing Relationships with the Discontinued Operation </w:t>
      </w:r>
      <w:r>
        <w:rPr>
          <w:rFonts w:ascii="Times New Roman" w:cs="Times New Roman" w:eastAsia="Times New Roman" w:hAnsi="Times New Roman"/>
          <w:sz w:val="20"/>
          <w:szCs w:val="20"/>
          <w:color w:val="auto"/>
        </w:rPr>
        <w:t>Supply and Royalty Agreements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connection with the sale of our entire ownership interest in eLuxury, we entered into supply and royalty agreements with eLuxury to preserve an additional sales channel for our core products – upholstery and mattress fabrics. The supply agreement requires eLuxury to purchase all its requirements at fair market prices for mattress and upholstery fabric products of the type we were supplying to eLuxury at the time of the sale transaction, as well as certain home accessories and soft good products, subject to our ability to provide competitive pricing and delivery terms for such products. The royalty agreement requires eLuxury to pay us a royalty fee based on a percentage of sales, as defined in the royalty agreement, for sales of eLuxury’s products to certain business-to-business customers, including customers which we referred to eLuxury prior to the sale transaction and new customer relationships we develop for eLuxury going forward, as well as sales of eLuxury products generated by sales representatives that we develop or introduce to eLuxury.</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There are no guarantees or provisions under either the supply or royalty agreements that require eLuxury to purchase a minimum amount of our products or sell a certain amount of eLuxury products to customers or through sales representatives developed or introduced by us. As a result, the success of these agreements and the period of time in which our involvement with eLuxury is expected to continue are based on eLuxury’s ability to sell products that require mattress and upholstery fabrics and our ability to provide an additional sales channel for eLuxury to grow its business-to-business sales platform.</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our continuing involvement with eLuxury, we reported net sales and the related cost of sales associated with our inventory shipments to eLuxury in accordance with Topic 205-20-50-4B, which requires us to report these transactions in continuing operations in our Consolidated Statement of Net Income for the three-month and six-month periods ending November 3, 2019. Therefore, we reported both net sales and cost of sales from continuing operations totaling $207,000 and $381,000 during the three-month and six-month periods ending November 3, 2019, respectively, that were previously eliminated in consolidation.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three-month and six-month periods ending November 1, 2020, shipments to eLuxury under the supply agreement totaled $41,000 and $285,000, respectively. During the three-month and six-month periods ending November 1, 2020, we received payments pursuant to the royalty agreement totaling $28,000 and $80,000,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Guarantee</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we have an agreement that guarantees 70% of any unpaid lease payments associated with eLuxury’s facility located in Evansville, Indiana. The lease agreement expires in September 2024 and requires monthly payments of $18,865. Under the terms of the sale of our controlling interest in eLuxury, the buyer (the former noncontrolling interest holder) must use commercially reasonable efforts to cause the lessor to release us from this financial guarantee of eLuxury’s lease agreement. Following the sale transaction, eLuxury and its sole owner have indemnified us from any liabilities and obligations that we would be required to pay regarding this lease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Allowance for Doubtful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November 1, 2020</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393</w:t>
            </w: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bad debts</w:t>
            </w:r>
          </w:p>
        </w:tc>
        <w:tc>
          <w:tcPr>
            <w:tcW w:w="14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123</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7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write-offs, net of recoveries</w:t>
            </w: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366</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six-month period ended November 1, 2020, we assessed the credit risk of our customers within our accounts receivable portfolio. Our risk assessment includes the respective customer’s (i) financial position; (ii) past payment history; (iii) management’s general ability; (iv) historical loss experience; and (v) the ongoing economic uncertainty associated with the COVID-19 global pandemic. After our risk assessment was completed, we assigned credit grades to our customers, which in turn, were used to determine our allowance for doubtful accounts totaling $595,000 as of November 1, 2020.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Revenue from Contracts with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Continuing Operations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continuing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Additionally, Read Window Products LLC (“Read”), a wholly-owned subsidiary, is a turn-key provider of window treatments and sourcing of upholstery fabrics and other products, as well as measuring and installation services of Read’s products for the hospitality and commercial industries. Read also supplies soft goods such as decorative top sheets, coverlets, duvet covers, bed skirts, bolsters, and pillows. Read is included in the upholstery fabrics segment.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of Read’s own products associated with window treatments.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Discontinued Operation – Home Accessories Segment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disclosed in Note 3 of the consolidated financial statements, we sold our entire ownership interest in eLuxury on March 31, 2020, and consequently our home accessories segment was eliminated at such time. Thus, the results of operations associated with our home accessories segment were excluded from our continuing operations and are presented as a discontinued operation in our consolidated financial statements.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home accessories segment was our finished products business that manufactured, sourced, and sold bedding accessories and home goods directly to consumers and businesses through global e-commerce, business-to-business, and other sales channels.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Prior to its disposal, our former home accessories segment reported net sales totaling $3.3 million and $7.6 million for the three-month and six-month periods ended November 3, 2019, respectively. Revenue associated with the sales of home accessories products was recognized at the point-in-time when control was transferred to the customer.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 – 60 days. For a limited time, extended terms were granted to certain customers in response to the challenging business conditions resulting from the COVID-19 global pandemic. Our customary terms, as well as the limited extended terms, are common within the industries in which we operate and are not considered financing arrangements. There were no contract assets recognized as of November 1, 2020, November 3, 2019, and May 3, 2020.</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summary of the activity associated with deferred revenue for the six-month periods ended November 1, 2020, and November 3, 2019,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380" w:type="dxa"/>
            <w:vAlign w:val="bottom"/>
            <w:gridSpan w:val="3"/>
          </w:tcPr>
          <w:p>
            <w:pPr>
              <w:jc w:val="right"/>
              <w:ind w:right="11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9"/>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November 1, 2020</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399</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4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(1,197)</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16"/>
        </w:trPr>
        <w:tc>
          <w:tcPr>
            <w:tcW w:w="5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1,070</w:t>
            </w: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1,512</w:t>
            </w:r>
          </w:p>
        </w:tc>
      </w:tr>
      <w:tr>
        <w:trPr>
          <w:trHeight w:val="209"/>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375</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Mattress</w:t>
            </w:r>
          </w:p>
        </w:tc>
        <w:tc>
          <w:tcPr>
            <w:tcW w:w="50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Fabrics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40,030</w:t>
            </w:r>
          </w:p>
        </w:tc>
        <w:tc>
          <w:tcPr>
            <w:tcW w:w="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34,666</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74,696</w:t>
            </w:r>
          </w:p>
        </w:tc>
      </w:tr>
      <w:tr>
        <w:trPr>
          <w:trHeight w:val="21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2,155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2,155</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40,030</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36,821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76,851</w:t>
            </w:r>
          </w:p>
        </w:tc>
      </w:tr>
    </w:tbl>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ending November 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76,133</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60,727</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136,860</w:t>
            </w:r>
          </w:p>
        </w:tc>
      </w:tr>
      <w:tr>
        <w:trPr>
          <w:trHeight w:val="21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4,455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4,455</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76,133</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65,182</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141,315</w:t>
            </w:r>
          </w:p>
        </w:tc>
      </w:tr>
    </w:tbl>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November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35,666</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30,964</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66,630</w:t>
            </w:r>
          </w:p>
        </w:tc>
      </w:tr>
      <w:tr>
        <w:trPr>
          <w:trHeight w:val="21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2,920</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2,920</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35,666</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33,884</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69,550</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ending November 3,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74,525</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60,792</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135,317</w:t>
            </w:r>
          </w:p>
        </w:tc>
      </w:tr>
      <w:tr>
        <w:trPr>
          <w:trHeight w:val="21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4,952</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4,952</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74,525</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65,744</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140,269</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6.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November 1,</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November 3,</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May 3,</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auto"/>
            </w:tcBorders>
            <w:vMerge w:val="continue"/>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8,594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7,823</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27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3,056</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1,958</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7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36,076</w:t>
            </w: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45,383</w:t>
            </w:r>
          </w:p>
        </w:tc>
        <w:tc>
          <w:tcPr>
            <w:tcW w:w="2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38,126</w:t>
            </w:r>
          </w:p>
        </w:tc>
        <w:tc>
          <w:tcPr>
            <w:tcW w:w="0" w:type="dxa"/>
            <w:vAlign w:val="bottom"/>
          </w:tcPr>
          <w:p>
            <w:pPr>
              <w:spacing w:after="0"/>
              <w:rPr>
                <w:sz w:val="1"/>
                <w:szCs w:val="1"/>
                <w:color w:val="auto"/>
              </w:rPr>
            </w:pPr>
          </w:p>
        </w:tc>
      </w:tr>
      <w:tr>
        <w:trPr>
          <w:trHeight w:val="212"/>
        </w:trPr>
        <w:tc>
          <w:tcPr>
            <w:tcW w:w="40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47,726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55,228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47,907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352"/>
        <w:spacing w:after="0" w:line="288"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3, 2019, inventory totaled $55.2 million, of which $51.4 million and $3.8 million were classified as (i) inventory and (ii) within current assets – discontinued operation, respectively, in the accompanying Consolidated Balance Sheet</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74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November 1, 2020</w:t>
            </w:r>
          </w:p>
        </w:tc>
        <w:tc>
          <w:tcPr>
            <w:tcW w:w="148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November 3, 2019</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Tradenames</w:t>
            </w:r>
          </w:p>
        </w:tc>
        <w:tc>
          <w:tcPr>
            <w:tcW w:w="28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r>
      <w:tr>
        <w:trPr>
          <w:trHeight w:val="21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8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2,087</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2,238</w:t>
            </w:r>
          </w:p>
        </w:tc>
      </w:tr>
      <w:tr>
        <w:trPr>
          <w:trHeight w:val="216"/>
        </w:trPr>
        <w:tc>
          <w:tcPr>
            <w:tcW w:w="4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Non-compete agreement, net</w:t>
            </w:r>
          </w:p>
        </w:tc>
        <w:tc>
          <w:tcPr>
            <w:tcW w:w="28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565</w:t>
            </w:r>
          </w:p>
        </w:tc>
        <w:tc>
          <w:tcPr>
            <w:tcW w:w="6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3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602</w:t>
            </w:r>
          </w:p>
        </w:tc>
      </w:tr>
      <w:tr>
        <w:trPr>
          <w:trHeight w:val="212"/>
        </w:trPr>
        <w:tc>
          <w:tcPr>
            <w:tcW w:w="4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3,192</w:t>
            </w:r>
          </w:p>
        </w:tc>
        <w:tc>
          <w:tcPr>
            <w:tcW w:w="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10,260</w:t>
            </w: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3,380</w:t>
            </w:r>
          </w:p>
        </w:tc>
      </w:tr>
    </w:tbl>
    <w:p>
      <w:pPr>
        <w:spacing w:after="0" w:line="193" w:lineRule="exact"/>
        <w:rPr>
          <w:sz w:val="20"/>
          <w:szCs w:val="20"/>
          <w:color w:val="auto"/>
        </w:rPr>
      </w:pPr>
    </w:p>
    <w:p>
      <w:pPr>
        <w:ind w:left="360" w:hanging="352"/>
        <w:spacing w:after="0" w:line="248"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As of November 3, 2019, intangible assets totaled $10.3 million, of which $3.7 million and $6.6 million were classified as (i) </w:t>
      </w:r>
      <w:r>
        <w:rPr>
          <w:rFonts w:ascii="Times New Roman" w:cs="Times New Roman" w:eastAsia="Times New Roman" w:hAnsi="Times New Roman"/>
          <w:sz w:val="17"/>
          <w:szCs w:val="17"/>
          <w:color w:val="auto"/>
        </w:rPr>
        <w:t>intangible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assets and (ii) within noncurrent assets – discontinued operation, respectively, in the accompanying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tradename totaling $540,000 as of November 1, 2020, pertained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November 1, 2020, no indicators of impairment existed.</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However, during our annual assessment as of May 3, 2020, we performed a qualitative assessment in which we concluded that it was more-likely-than-not that the fair value of Read’s tradename was less than its carrying amount. This conclusion was based on impairment indicators that existed, such as our unfavorable financial performance during the fourth quarter of fiscal 2020 and the significant decline in the price per share of our common stock and market capitalization stemming from the COVID-19 global pandemic. Since we determined it was more-likely-than-not that the fair market value of Read’s tradename was less than its carrying amount, we performed a quantitative impairment test. Our quantitative impairment test involved determining the fair value of Read’s tradename and comparing the respective fair value of Read’s tradename with its carrying amount. Consequently, based on our quantitative impairment test, we recorded an asset impairment charge totaling $143,000 during the fourth quarter of fiscal 2020.</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our quantitative impairment test, we determined the fair value of our tradename was $540,000 using the relief from royalty method. This method used significant unobservable inputs and therefore, the fair value of our tradename was classified as level 3 within the fair value hierarchy. Refer to Note 11 of the consolidated financial statements for further information about our determination to classify this tradename as level 3 within the fair value hierarchy in accordance with Topic 820.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jc w:val="right"/>
              <w:ind w:right="11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1"/>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November 1, 2020</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1"/>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2,238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2,538</w:t>
            </w:r>
          </w:p>
        </w:tc>
      </w:tr>
      <w:tr>
        <w:trPr>
          <w:trHeight w:val="213"/>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4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0"/>
        </w:trPr>
        <w:tc>
          <w:tcPr>
            <w:tcW w:w="3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4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2,087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2,388</w:t>
            </w:r>
          </w:p>
        </w:tc>
      </w:tr>
      <w:tr>
        <w:trPr>
          <w:trHeight w:val="637"/>
        </w:trPr>
        <w:tc>
          <w:tcPr>
            <w:tcW w:w="3440" w:type="dxa"/>
            <w:vAlign w:val="bottom"/>
          </w:tcPr>
          <w:p>
            <w:pPr>
              <w:spacing w:after="0"/>
              <w:rPr>
                <w:sz w:val="24"/>
                <w:szCs w:val="24"/>
                <w:color w:val="auto"/>
              </w:rPr>
            </w:pPr>
          </w:p>
        </w:tc>
        <w:tc>
          <w:tcPr>
            <w:tcW w:w="4420" w:type="dxa"/>
            <w:vAlign w:val="bottom"/>
          </w:tcPr>
          <w:p>
            <w:pPr>
              <w:jc w:val="right"/>
              <w:ind w:right="1993"/>
              <w:spacing w:after="0"/>
              <w:rPr>
                <w:sz w:val="20"/>
                <w:szCs w:val="20"/>
                <w:color w:val="auto"/>
              </w:rPr>
            </w:pPr>
            <w:r>
              <w:rPr>
                <w:rFonts w:ascii="Times New Roman" w:cs="Times New Roman" w:eastAsia="Times New Roman" w:hAnsi="Times New Roman"/>
                <w:sz w:val="20"/>
                <w:szCs w:val="20"/>
                <w:color w:val="auto"/>
              </w:rPr>
              <w:t>I-13</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9"/>
        </w:trPr>
        <w:tc>
          <w:tcPr>
            <w:tcW w:w="34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November 1, 2020, November 3, 2019, and May 3, 2020, respectively. Accumulated amortization for these customer relationships was $1.0 million, $727,000, and $877,000 as of November 1, 2020, November 3, 2019, and May 3, 2020, respectively.</w:t>
      </w:r>
    </w:p>
    <w:p>
      <w:pPr>
        <w:spacing w:after="0" w:line="14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follows: FY 2021 - $151,000; FY 2022 - $301,000; FY 2023 - $301,000; FY 2024 - $301,000; FY 2025 - $301,000; and thereafter - $732,000.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is 7.1 years as of November 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jc w:val="right"/>
              <w:ind w:right="11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1"/>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November 1, 2020</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678</w:t>
            </w:r>
          </w:p>
        </w:tc>
      </w:tr>
      <w:tr>
        <w:trPr>
          <w:trHeight w:val="21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4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565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640</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non-compete agreement is amortized on a straight-line basis over the fifteen-year life of the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November 1, 2020, November 3, 2019, and May 3, 2020, respectively. Accumulated amortization for our non-compete agreement was $1.5 million as of November 1, 2020, $1.4 million as of November 3, 2019, and $1.4 million as of May 3, 2020.</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2021 - $37,000; FY 2022 - $76,000; FY 2023 - $76,000; FY 2024 - $76,000; FY 2025 - $76,000, and thereafter - $224,000.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is 7.5 years as of November 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Investment in Unconsolidated Joint Venture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Culp International Holdings, Ltd. (“Culp International”), a wholly-owned subsidiary of the company, entered into a joint venture agreement pursuant to which Culp International owns fifty percent of Class International Holdings, Ltd. (“CLIH”). CLIH produces cut and sewn mattress covers in an 80,000 square foot facility located in a modern industrial park on the northeastern border of Haiti, which borders the Dominican Republic. CLIH complements our mattress fabric operations with a reactive platform that enhances our ability to meet customer demand while adding a lower cost operation to our platform.</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December 20, 2019, CLIH entered into an agreement to construct an additional plant facility totaling 40,000 square feet, which was completed during September 2020. This new plant facility is near our existing operations and provides additional capacity that enhances our ability to produce sewn covers. This agreement requires payments totaling $1.2 million, of which $600,000 was paid in February 2020, $180,000 was paid in May 2020, and $420,000 was paid in September 2020.</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CLIH reported net income totaling $334,000 for the six-month period ending November 1, 2020, and a net loss of $6,000 for the six-month period ending November 3, 2019. Our equity interest in CLIH’s net income was $167,000 for the six-month period ending November 1, 2020. Our equity interest in CLIH’s net loss was $3,000 for the six-month period ending November 3, 2019.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on assets, liabilities, and members’ equity of our equity method investment in CLIH:</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4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November 1, 2020</w:t>
            </w:r>
          </w:p>
        </w:tc>
        <w:tc>
          <w:tcPr>
            <w:tcW w:w="158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November 3, 2019</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1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3,951</w:t>
            </w:r>
          </w:p>
        </w:tc>
        <w:tc>
          <w:tcPr>
            <w:tcW w:w="6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3,190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3,338</w:t>
            </w: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1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232</w:t>
            </w:r>
          </w:p>
        </w:tc>
        <w:tc>
          <w:tcPr>
            <w:tcW w:w="6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r>
      <w:tr>
        <w:trPr>
          <w:trHeight w:val="216"/>
        </w:trPr>
        <w:tc>
          <w:tcPr>
            <w:tcW w:w="40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310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3,719</w:t>
            </w:r>
          </w:p>
        </w:tc>
        <w:tc>
          <w:tcPr>
            <w:tcW w:w="64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3,008</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3,205</w:t>
            </w:r>
          </w:p>
        </w:tc>
      </w:tr>
    </w:tbl>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November 1, 2020, November 3, 2019, and May 3, 2020, our investment in CLIH totaled $1.9 million, $1.5 million, and $1.6 million, respectively, which represents the company’s fifty percent ownership interest in CLIH.</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9. Accrued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1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November 1, 2020</w:t>
            </w:r>
          </w:p>
        </w:tc>
        <w:tc>
          <w:tcPr>
            <w:tcW w:w="158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November 3, 2019</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22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7,144</w:t>
            </w:r>
          </w:p>
        </w:tc>
        <w:tc>
          <w:tcPr>
            <w:tcW w:w="6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4,489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3,038</w:t>
            </w: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22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4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2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4,540</w:t>
            </w:r>
          </w:p>
        </w:tc>
        <w:tc>
          <w:tcPr>
            <w:tcW w:w="6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4,756</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2,807</w:t>
            </w:r>
          </w:p>
        </w:tc>
      </w:tr>
      <w:tr>
        <w:trPr>
          <w:trHeight w:val="210"/>
        </w:trPr>
        <w:tc>
          <w:tcPr>
            <w:tcW w:w="49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11,684</w:t>
            </w:r>
          </w:p>
        </w:tc>
        <w:tc>
          <w:tcPr>
            <w:tcW w:w="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9,248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5,854</w:t>
            </w:r>
          </w:p>
        </w:tc>
      </w:tr>
    </w:tbl>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November 1, 2020, our entire accrued expenses totaling $11.7 million were classified as current accrued expenses in the accompanying Consolidated Balance Sheets. As of November 3, 2019, we had accrued expenses totaling $9.2 million, of which $8.3 million, $333,000, and $652,000 were classified as (i) current accrued expenses, (ii) long-term accrued expenses, and (iii) within current liabilities – discontinued operation, respectively, in the accompanying Consolidated Balance Sheets. As of May 3, 2020, we had accrued expenses totaling $5.9 million, of which $5.7 million and $167,000 were classified as (i) current accrued expenses and (ii) long-term accrued expenses, respectively, in the accompanying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Lines of Credit and Paycheck Protection Program Loan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Credit Agreement (“Credit Agreement”) with Wells Fargo Bank, N.A. (“Wells Fargo”) provides a revolving loan commitment of $30 million, is set to expire on August 15, 2022, and allows us to issue letters of credit not to exceed $1 million.</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Interest is charged at a rate (applicable interest rate of 1.74%, 3.22%, and 1.75% as of November 1, 2020, November 3, 2019, and May 3, 2020, respectively) as a variable spread over LIBOR based on our ratio of debt to EBITDA. Outstanding borrowings are secured by a pledge of 65% of the common stock of Culp International Holdings Ltd. (our subsidiary located in the Cayman Islands).</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a result of the COVID-19 global pandemic and the uncertainty relating to the unknown duration and overall effect on the company, we proactively took a precautionary measure and borrowed the maximum amount available from this line of credit during the fourth quarter of fiscal 2020. Consequently, we had outstanding borrowings of $29.8 million under the Credit Agreement as of May 3, 2020. During June 2020, we repaid the entire $29.8 million outstanding balance and there were no additional borrowings made during the first half of fiscal 2021. As a result, there were no borrowings outstanding under the Credit Agreement as of November 1, 2020. Additionally, there were no borrowings outstanding under the Credit Agreement as of November 3, 2019.</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1, 2020, November 3, 2019, and May 3, 2020, there were $250,000 in outstanding letters of credit (all of which related to workers compensation) provided by the Credit Agreement. As of November 1, 2020, we had $750,000 remaining for the issuance of additional letters of credit.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Seventh Amendment to the Credit Agreement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Effective June 30, 2020, we entered into a Seventh Amendment to our Credit Agreement (the “Seventh Amendment”) which includes provisions that (i) modify the method for calculating the company’s debt to EBITDA covenant under the Credit Agreement solely during the temporary period beginning on the date of the Seventh Amendment and ending on the Rate Determination Date (as defined in the Credit Agreement), following the end of the company’s fiscal 2021 fourth quarter (such temporary period, the “Modification Period,”), and (ii) amend the pricing matrix used to determine the interest rate payable on loans made under the Credit Agreement solely during the Modification Period.</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Specifically, the Seventh Amendment provides that during Modification Period, the company’s ratio of debt to EBITDA shall be determined by excluding the fourth quarter of fiscal 2020 from the calculation thereof, such that the ratio shall be determined using the four most recent quarterly periods other than (i.e. excluding) the fourth quarter of fiscal 2020, rather than calculating on a rolling four-quarter basis. It further provides that during the Modification Period, the Applicable Margin (as defined in the Credit Agreement) set forth the pricing matrix is increased to 1.6% for price level I, 2.05% for price level II, 2.5% for price level III, and 3.0% for price level IV.</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Additionally, the Seventh Amendment (i) changes the capital expenditure covenant by reducing permitted annual capital expenditures to $10 million during fiscal year 2021, (ii) changes the liens and other indebtedness covenant to reduce the permitted amount of allowable liens and other indebtedness to 5% of consolidated net worth, and (iii) adds a new covenant that prohibits the company, solely during the Modification Period, from paying dividends or repurchasing stock in excess of $10 million in the aggregate during the Modification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i w:val="1"/>
          <w:iCs w:val="1"/>
          <w:color w:val="auto"/>
        </w:rPr>
        <w:t>Revolving Credit Agreements – China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an unsecured credit agreement denominated in Chinese Renminbi with a bank located in China that provides for a line of credit up to 40 million RMB’s ($6.0 million USD as of November 1, 2020). This agreement has an interest rate determined by the Chinese government at the time of borrowing and was set to expire on December 4, 2020. As of May 3, 2020, there were outstanding borrowings under this agreement totaling $1.0 million at an applicable interest rate of 2.41%. During June 2020, we repaid the entire $1.0 million and there were no additional borrowings made during the first half of fiscal 2021. As a result, there were no borrowing outstanding under this agreement as of November 1, 2020. Additionally, there were no borrowing outstanding under this agreement as of November 3, 2019.</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December 1, 2020, we renewed this agreement to extend the expiration date to December 1, 2021, and maintain our borrowing capacity of 40 million RMB’s.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United States Dollar (“USD”)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an unsecured credit agreement denominated in USD with another bank located in China that provides for a line of credit up to $2 million USD. This agreement has an interest rate determined by the Chinese government at the time of borrowing and is set to expire on July 7, 2021. As of November 1, 2020, there are no borrowings outstanding under this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Small Business Administration - Paycheck Protection Program</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April 15, 2020, we received a loan of $7.6 million (the “Loan”) pursuant to the U.S. Small Business Administration (the “SBA”) Paycheck Protection Program (the “PPP”) of the Coronavirus Aid, Relief and Economic Security Act of 2020 (the “CARES Act”). We planned to use the proceeds from the Loan for covered payroll costs, rent, and utilities in accordance with the applicable terms and conditions of the CARES Act. We believed the Loan would enable us to retain more of our employees, maintain payroll and benefits, and make lease and utility payments while producing and supplying critical products for essential businesses during the COVID-19 global pandemic.</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Following our application and receipt of the Loan, the SBA and U.S. Treasury Department issued new guidance regarding eligibility requirements under the PPP, raising questions regarding the eligibility of publicly traded companies to receive loans under the program. As a result, out of an abundance of caution, we voluntarily repaid the Loan in full on May 13, 2020.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November 1, 2020, we were in compliance with these financial covenants.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Fair Value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w:t>
      </w:r>
    </w:p>
    <w:p>
      <w:pPr>
        <w:spacing w:after="0" w:line="189" w:lineRule="exact"/>
        <w:rPr>
          <w:sz w:val="20"/>
          <w:szCs w:val="20"/>
          <w:color w:val="auto"/>
        </w:rPr>
      </w:pPr>
    </w:p>
    <w:p>
      <w:pPr>
        <w:ind w:left="34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information about assets measured at fair value on a recurring basis:</w:t>
      </w:r>
    </w:p>
    <w:p>
      <w:pPr>
        <w:spacing w:after="0" w:line="26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Fair value measurements as of November 1, 2020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Quoted prices</w:t>
            </w:r>
          </w:p>
        </w:tc>
        <w:tc>
          <w:tcPr>
            <w:tcW w:w="14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Significant</w:t>
            </w: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5"/>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8"/>
              </w:rPr>
              <w:t>in active</w:t>
            </w: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markets for</w:t>
            </w: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observable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8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
          </w:tcPr>
          <w:p>
            <w:pPr>
              <w:jc w:val="center"/>
              <w:ind w:left="1639"/>
              <w:spacing w:after="0"/>
              <w:rPr>
                <w:sz w:val="20"/>
                <w:szCs w:val="20"/>
                <w:color w:val="auto"/>
              </w:rPr>
            </w:pPr>
            <w:r>
              <w:rPr>
                <w:rFonts w:ascii="Times New Roman" w:cs="Times New Roman" w:eastAsia="Times New Roman" w:hAnsi="Times New Roman"/>
                <w:sz w:val="16"/>
                <w:szCs w:val="16"/>
                <w:color w:val="auto"/>
              </w:rPr>
              <w:t>identical assets</w:t>
            </w: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inputs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11"/>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Level 1</w:t>
            </w: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Level 2</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3</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20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Premier Money Market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7,665</w:t>
            </w:r>
          </w:p>
        </w:tc>
        <w:tc>
          <w:tcPr>
            <w:tcW w:w="14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7,665</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Bond Funds</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5,462</w:t>
            </w:r>
          </w:p>
        </w:tc>
        <w:tc>
          <w:tcPr>
            <w:tcW w:w="14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5,462</w:t>
            </w: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Growth Allocation Fund</w:t>
            </w:r>
          </w:p>
        </w:tc>
        <w:tc>
          <w:tcPr>
            <w:tcW w:w="20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255</w:t>
            </w:r>
          </w:p>
        </w:tc>
        <w:tc>
          <w:tcPr>
            <w:tcW w:w="14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Moderate Allocation Fund</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73</w:t>
            </w:r>
          </w:p>
        </w:tc>
        <w:tc>
          <w:tcPr>
            <w:tcW w:w="14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67</w:t>
            </w:r>
          </w:p>
        </w:tc>
        <w:tc>
          <w:tcPr>
            <w:tcW w:w="14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r>
      <w:tr>
        <w:trPr>
          <w:trHeight w:val="452"/>
        </w:trPr>
        <w:tc>
          <w:tcPr>
            <w:tcW w:w="38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November 3, 2019 using:</w:t>
            </w:r>
          </w:p>
        </w:tc>
        <w:tc>
          <w:tcPr>
            <w:tcW w:w="900" w:type="dxa"/>
            <w:vAlign w:val="bottom"/>
            <w:tcBorders>
              <w:bottom w:val="single" w:sz="8" w:color="auto"/>
            </w:tcBorders>
          </w:tcPr>
          <w:p>
            <w:pPr>
              <w:spacing w:after="0"/>
              <w:rPr>
                <w:sz w:val="24"/>
                <w:szCs w:val="24"/>
                <w:color w:val="auto"/>
              </w:rPr>
            </w:pPr>
          </w:p>
        </w:tc>
      </w:tr>
      <w:tr>
        <w:trPr>
          <w:trHeight w:val="207"/>
        </w:trPr>
        <w:tc>
          <w:tcPr>
            <w:tcW w:w="3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Significant</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in active</w:t>
            </w: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Significant</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observable</w:t>
            </w: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unobservable</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8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
          </w:tcPr>
          <w:p>
            <w:pPr>
              <w:jc w:val="center"/>
              <w:ind w:left="1599"/>
              <w:spacing w:after="0"/>
              <w:rPr>
                <w:sz w:val="20"/>
                <w:szCs w:val="20"/>
                <w:color w:val="auto"/>
              </w:rPr>
            </w:pPr>
            <w:r>
              <w:rPr>
                <w:rFonts w:ascii="Times New Roman" w:cs="Times New Roman" w:eastAsia="Times New Roman" w:hAnsi="Times New Roman"/>
                <w:sz w:val="16"/>
                <w:szCs w:val="16"/>
                <w:color w:val="auto"/>
              </w:rPr>
              <w:t>identical assets</w:t>
            </w:r>
          </w:p>
        </w:tc>
        <w:tc>
          <w:tcPr>
            <w:tcW w:w="14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7"/>
              </w:rPr>
              <w:t>inputs</w:t>
            </w: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inputs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11"/>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Level 1</w:t>
            </w:r>
          </w:p>
        </w:tc>
        <w:tc>
          <w:tcPr>
            <w:tcW w:w="14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Level 2</w:t>
            </w: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Level 3</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20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Premier Money Market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7,133</w:t>
            </w:r>
          </w:p>
        </w:tc>
        <w:tc>
          <w:tcPr>
            <w:tcW w:w="14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7,133</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Growth Allocation Fund</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222</w:t>
            </w:r>
          </w:p>
        </w:tc>
        <w:tc>
          <w:tcPr>
            <w:tcW w:w="14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222</w:t>
            </w: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Moderate Allocation Fund</w:t>
            </w:r>
          </w:p>
        </w:tc>
        <w:tc>
          <w:tcPr>
            <w:tcW w:w="20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132</w:t>
            </w:r>
          </w:p>
        </w:tc>
        <w:tc>
          <w:tcPr>
            <w:tcW w:w="14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w:t>
            </w:r>
          </w:p>
        </w:tc>
      </w:tr>
      <w:tr>
        <w:trPr>
          <w:trHeight w:val="216"/>
        </w:trPr>
        <w:tc>
          <w:tcPr>
            <w:tcW w:w="3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0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88</w:t>
            </w:r>
          </w:p>
        </w:tc>
        <w:tc>
          <w:tcPr>
            <w:tcW w:w="140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r>
      <w:tr>
        <w:trPr>
          <w:trHeight w:val="452"/>
        </w:trPr>
        <w:tc>
          <w:tcPr>
            <w:tcW w:w="38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Fair value measurements as of May 3, 2020 using:</w:t>
            </w:r>
          </w:p>
        </w:tc>
        <w:tc>
          <w:tcPr>
            <w:tcW w:w="900" w:type="dxa"/>
            <w:vAlign w:val="bottom"/>
            <w:tcBorders>
              <w:bottom w:val="single" w:sz="8" w:color="auto"/>
            </w:tcBorders>
          </w:tcPr>
          <w:p>
            <w:pPr>
              <w:spacing w:after="0"/>
              <w:rPr>
                <w:sz w:val="24"/>
                <w:szCs w:val="24"/>
                <w:color w:val="auto"/>
              </w:rPr>
            </w:pPr>
          </w:p>
        </w:tc>
      </w:tr>
      <w:tr>
        <w:trPr>
          <w:trHeight w:val="207"/>
        </w:trPr>
        <w:tc>
          <w:tcPr>
            <w:tcW w:w="3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Quoted prices</w:t>
            </w: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Significant</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8"/>
              </w:rPr>
              <w:t>in active</w:t>
            </w: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markets for</w:t>
            </w: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observable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8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
          </w:tcPr>
          <w:p>
            <w:pPr>
              <w:jc w:val="center"/>
              <w:ind w:left="1639"/>
              <w:spacing w:after="0"/>
              <w:rPr>
                <w:sz w:val="20"/>
                <w:szCs w:val="20"/>
                <w:color w:val="auto"/>
              </w:rPr>
            </w:pPr>
            <w:r>
              <w:rPr>
                <w:rFonts w:ascii="Times New Roman" w:cs="Times New Roman" w:eastAsia="Times New Roman" w:hAnsi="Times New Roman"/>
                <w:sz w:val="16"/>
                <w:szCs w:val="16"/>
                <w:color w:val="auto"/>
              </w:rPr>
              <w:t>identical assets</w:t>
            </w: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inputs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11"/>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Level 1</w:t>
            </w: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Level 2</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3</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r>
      <w:tr>
        <w:trPr>
          <w:trHeight w:val="21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20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Premier Money Market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7,496</w:t>
            </w:r>
          </w:p>
        </w:tc>
        <w:tc>
          <w:tcPr>
            <w:tcW w:w="14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7,496</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Bond Funds</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923</w:t>
            </w:r>
          </w:p>
        </w:tc>
        <w:tc>
          <w:tcPr>
            <w:tcW w:w="14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r>
      <w:tr>
        <w:trPr>
          <w:trHeight w:val="21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Growth Allocation Fund</w:t>
            </w:r>
          </w:p>
        </w:tc>
        <w:tc>
          <w:tcPr>
            <w:tcW w:w="20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219</w:t>
            </w:r>
          </w:p>
        </w:tc>
        <w:tc>
          <w:tcPr>
            <w:tcW w:w="14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Moderate Allocation Fund</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63</w:t>
            </w:r>
          </w:p>
        </w:tc>
        <w:tc>
          <w:tcPr>
            <w:tcW w:w="14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56</w:t>
            </w:r>
          </w:p>
        </w:tc>
        <w:tc>
          <w:tcPr>
            <w:tcW w:w="14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Investments – Available for Sale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short-term investments classified as available for sale consisted of short-term bond mutual funds and had an accumulated unrealized loss totaling $29,000 as of November 1, 2020, and $9,000 as of May 3, 2020. Our short-term investments classified as available for sale were recorded at their fair values of $5.5 million and $923,000 as of November 1, 2020, and May 3, 2020, respectively. As of November 1, 2020, and May 3, 2020, the fair value of our short-term investments approximated their cost basis. There were no short-term investments classified as available for sale as of November 3, 2019.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and Long-Term Investments - Held-To-Maturity</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investments classified as held-to-maturity consisted of investment grade U.S. corporate bonds, foreign bonds, and government bonds with original maturities that range from 2 to 10 years, all of which have remaining maturities of less than 2 years as of November 1, 2020. These investments were classified as held-to-maturity as we have the positive intent and ability to hold these investments until maturity. Our held-to-maturity investments were recorded as either current or noncurrent on our Consolidated Balance Sheets, based on the maturity date in relation to the respective reporting period, and were recorded at amortized cost.</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1, 2020, and May 3, 2020, our held-to-maturity investments recorded at amortized cost totaled $5.8 million and $6.3 million, respectively. The fair value of our held-to-maturity investments as of November 1, 2020, and May 3, 2020, totaled $5.8 million and $6.4 million, respectively. There were no investments classified as held-to-maturity on November 3, 2019.</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9" w:name="page20"/>
    <w:bookmarkEnd w:id="19"/>
    <w:p>
      <w:pPr>
        <w:jc w:val="both"/>
        <w:spacing w:after="0" w:line="249" w:lineRule="auto"/>
        <w:rPr>
          <w:sz w:val="20"/>
          <w:szCs w:val="20"/>
          <w:color w:val="auto"/>
        </w:rPr>
      </w:pPr>
      <w:r>
        <w:rPr>
          <w:rFonts w:ascii="Times New Roman" w:cs="Times New Roman" w:eastAsia="Times New Roman" w:hAnsi="Times New Roman"/>
          <w:sz w:val="20"/>
          <w:szCs w:val="20"/>
          <w:color w:val="auto"/>
        </w:rPr>
        <w:t>Our bond investments were classified as level 2 as they were traded over the counter within a broker network and not on an active market. The fair value of our bond investments was determined based on a published source that provided an average bid price. The average bid price was based on various broker prices that were determined based on market conditions, interest rates, and the rating of the respective bond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Current Expected Credit Loses (“CECL”)- Available for Sale and Held-To-Maturity Investments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May 4, 2020, we did not have an allowance for credit losses related to our short-term available for sale and held-to-maturity investments, which are comprised mostly of fixed income securities that are predominantly high-grade U.S. and foreign corporate bonds, U.S. Treasury bonds, and short-term mutual bond funds.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our adoption of Topic 326 effective May 4, 2020, we determined that our credit loss exposure was immaterial due to the short-term nature of our mutual bond funds, and we have experienced historically low unrealized losses and gains during past reporting periods. In addition, it is not our intention to sell, and it is not likely that we will be required to sell, our held-to-maturity investments before the recovery of their amortized cost basis.</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1, 2020, we reported an accumulated unrealized loss of $29,000 associated with our short-term investments classified as available for sale. As mentioned above, it is not our intention to sell nor is it likely that we will be required to sell, our held-to-maturity investments before the recovery of their amortized cost basis. Accordingly, we did not record any credit loss expense during the six-month period ending November 1,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Investments - Rabbi Trust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 rabbi trust to set aside funds for participants of our deferred compensation plan (the “Plan”), which enables its participants to credit their contributions to various investment options of the Plan. The investments associated with the rabbi trust consist of a money market fund and various mutual funds that are classified as available for sale.</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long-term investments associated with our rabbi trust were recorded at their fair values of $8.1 million, $7.6 million, and $7.8 million as of November 1, 2020, November 3, 2019, and May 3, 2020, respectively. The long-term investments associated with our rabbi trust had an accumulated unrealized gain of $55,000, $55,000, and $19,000 as of November 1, 2020, and November 3, 2019, and May 3, 2020, respectively. The fair value of our long-term investments associated with our rabbi trust approximates their cost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approximates fair value because of the short maturity of these financial instruments.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Nonrecurring Basis – Fourth Quarter Fiscal 2020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Continuing Operations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accordance with ASC Topic 350 </w:t>
      </w:r>
      <w:r>
        <w:rPr>
          <w:rFonts w:ascii="Times New Roman" w:cs="Times New Roman" w:eastAsia="Times New Roman" w:hAnsi="Times New Roman"/>
          <w:sz w:val="20"/>
          <w:szCs w:val="20"/>
          <w:i w:val="1"/>
          <w:iCs w:val="1"/>
          <w:color w:val="auto"/>
        </w:rPr>
        <w:t>Intangibles – Goodwill and Other,</w:t>
      </w:r>
      <w:r>
        <w:rPr>
          <w:rFonts w:ascii="Times New Roman" w:cs="Times New Roman" w:eastAsia="Times New Roman" w:hAnsi="Times New Roman"/>
          <w:sz w:val="20"/>
          <w:szCs w:val="20"/>
          <w:color w:val="auto"/>
        </w:rPr>
        <w:t xml:space="preserve"> we are required to assess our goodwill and tradename for impairment annually or between annual tests if we believe indicators of impairment exist. Accordingly, we performed our annual assessment of goodwill associated with our mattress fabrics segment and goodwill and tradename affiliated with Read as of May 3, 2020. Based on our qualitative assessment we concluded that impairment indicators existed, such as our unfavorable financial performance during the fourth quarter of fiscal 2020 and the significant decline in the price per share of our common stock and market capitalization stemming from the COVID-19 global pandemic. As a result, we determined it was more-likely-than-not that the goodwill associated with our mattress fabrics segment and the goodwill and tradename affiliated with Read were impaired, and therefore, we conducted quantitative asset impairment tests. Consequently, based on the results of our quantitative asset impairment tests as of May 3, 2020, we recorded an asset impairment charge totaling $13.6 million during our fourth quarter of fiscal 2020 for the entire carrying amount of our goodwill associated with our mattress fabrics segment and Read. Additionally, we recorded an asset impairment charge of $143,000 during the fourth quarter of fiscal 2020 which reduced the carrying amount of Read’s tradename to its fair value of $540,000.</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fair values associated with our goodwill and tradename were determined using a discounted cash flow and the relief from royalty methods, respectively. These methods used significant unobservable inputs, and therefore, the fair values of our goodwill and tradename were classified within level 3 of the fair value hierarchy.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auto"/>
        </w:rPr>
        <w:t>Discontinued Operation – Home Accessories Segment</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fourth quarter of fiscal 2020, we recorded asset impairment charges totaling $6.6 million, of which $4.2 million and $2.4 million were for the entire remaining carrying value associated with our former home accessories segment’s tradename and goodwill. These impairment charges were based on the expected selling price of our entire ownership interest in eLuxury in comparison to its carrying amount. As disclosed in Note 3 of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 eLuxury. We believe the expected selling price represents a significant observable input and therefore, the fair values of our former home accessories segment’s tradename and goodwill were classified within level 2 of the fair value hierarchy.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Cash Flow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and income taxes paid (refunded)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80" w:type="dxa"/>
            <w:vAlign w:val="bottom"/>
            <w:gridSpan w:val="3"/>
          </w:tcPr>
          <w:p>
            <w:pPr>
              <w:jc w:val="right"/>
              <w:ind w:right="11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9"/>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November 1, 2020</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w:t>
            </w:r>
          </w:p>
        </w:tc>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taxes (1) (2)</w:t>
            </w:r>
          </w:p>
        </w:tc>
        <w:tc>
          <w:tcPr>
            <w:tcW w:w="3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(556)</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2,782</w:t>
            </w:r>
          </w:p>
        </w:tc>
      </w:tr>
    </w:tbl>
    <w:p>
      <w:pPr>
        <w:spacing w:after="0" w:line="193" w:lineRule="exact"/>
        <w:rPr>
          <w:sz w:val="20"/>
          <w:szCs w:val="20"/>
          <w:color w:val="auto"/>
        </w:rPr>
      </w:pPr>
    </w:p>
    <w:p>
      <w:pPr>
        <w:jc w:val="both"/>
        <w:ind w:left="360" w:hanging="352"/>
        <w:spacing w:after="0" w:line="249" w:lineRule="auto"/>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of the 2017 Tax Cuts and Jobs Act (“TCJA”), corporate taxpayers were eligible to treat prior AMT credit carryforwards as refundable. Accordingly, we elected to treat our prior AMT credit carryforward balance of $1.5 million as refundable, and as a result, 50% of the $1.5 million refundable balance was expected to be received in each our fiscal years 2021 and 2022, respectively. We received our first 50% installment totaling $746,000 during the first quarter of fiscal 2021.</w:t>
      </w:r>
    </w:p>
    <w:p>
      <w:pPr>
        <w:spacing w:after="0" w:line="193" w:lineRule="exact"/>
        <w:rPr>
          <w:rFonts w:ascii="Times New Roman" w:cs="Times New Roman" w:eastAsia="Times New Roman" w:hAnsi="Times New Roman"/>
          <w:sz w:val="20"/>
          <w:szCs w:val="20"/>
          <w:color w:val="auto"/>
        </w:rPr>
      </w:pPr>
    </w:p>
    <w:p>
      <w:pPr>
        <w:jc w:val="both"/>
        <w:ind w:left="36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of the CARES Act, 100% of AMT credit carryforwards for tax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193" w:lineRule="exact"/>
        <w:rPr>
          <w:rFonts w:ascii="Times New Roman" w:cs="Times New Roman" w:eastAsia="Times New Roman" w:hAnsi="Times New Roman"/>
          <w:sz w:val="20"/>
          <w:szCs w:val="20"/>
          <w:color w:val="auto"/>
        </w:rPr>
      </w:pPr>
    </w:p>
    <w:p>
      <w:pPr>
        <w:jc w:val="both"/>
        <w:ind w:left="360" w:hanging="352"/>
        <w:spacing w:after="0" w:line="246" w:lineRule="auto"/>
        <w:tabs>
          <w:tab w:leader="none" w:pos="3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tax refund totaling $556,000 during the first six months of fiscal 2021 represented AMT refunds totaling $1.5 million as referenced in note (1) above that were partially offset by a U.S. federal transition tax payment of $227,000 as required by the TCJA, and income tax payments associated with our foreign jurisdictions totaling $726,000. The income tax payments totaling $2.8 million during the first half of fiscal 2020 represented income tax payments associated with our foreign jurisdictions totaling $1.9 million and a withholding tax payment of $838,000 paid to the Chinese government for earnings and profits repatriated to the U.S. parent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Income (Loss) from Continuing Operations Per Share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income (loss) from continuing operations per share is computed using the weighted-average number of shares outstanding during the period. Diluted net income (loss) from continuing operations per share uses the weighted-average number of shares outstanding during the period plus the dilutive effect of stock-based compensation calculated using the treasury stock method.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income (loss) from continuing operations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552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9"/>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November 1, 2020</w:t>
            </w:r>
          </w:p>
        </w:tc>
        <w:tc>
          <w:tcPr>
            <w:tcW w:w="1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7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12,298</w:t>
            </w:r>
          </w:p>
        </w:tc>
        <w:tc>
          <w:tcPr>
            <w:tcW w:w="1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12,408</w:t>
            </w:r>
          </w:p>
        </w:tc>
      </w:tr>
      <w:tr>
        <w:trPr>
          <w:trHeight w:val="213"/>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Dilutive effect of stock-based compensation</w:t>
            </w:r>
          </w:p>
        </w:tc>
        <w:tc>
          <w:tcPr>
            <w:tcW w:w="3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26</w:t>
            </w:r>
          </w:p>
        </w:tc>
        <w:tc>
          <w:tcPr>
            <w:tcW w:w="1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7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12,324</w:t>
            </w:r>
          </w:p>
        </w:tc>
        <w:tc>
          <w:tcPr>
            <w:tcW w:w="1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12,408</w:t>
            </w:r>
          </w:p>
        </w:tc>
      </w:tr>
    </w:tbl>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second quarter of fiscal 2021, 1,101 shares of unvested common stock were not included in the computation of diluted net income from continuing operations per share, as their effect would be antidilutive resulting from the decrease in the price per share of our common stock during the reporting period in relation to the price per share of our common stock as of the respective grant dates of our outstanding stock-based compensation awards.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second quarter of fiscal 2020, 6,938 shares of unvested common stock were not included in the computation of diluted net income from continuing operations per share, as their effect would be antidilutive as result of the decrease in the price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1" w:name="page22"/>
    <w:bookmarkEnd w:id="21"/>
    <w:p>
      <w:pPr>
        <w:jc w:val="both"/>
        <w:spacing w:after="0" w:line="269" w:lineRule="auto"/>
        <w:rPr>
          <w:sz w:val="20"/>
          <w:szCs w:val="20"/>
          <w:color w:val="auto"/>
        </w:rPr>
      </w:pPr>
      <w:r>
        <w:rPr>
          <w:rFonts w:ascii="Times New Roman" w:cs="Times New Roman" w:eastAsia="Times New Roman" w:hAnsi="Times New Roman"/>
          <w:sz w:val="20"/>
          <w:szCs w:val="20"/>
          <w:color w:val="auto"/>
        </w:rPr>
        <w:t>per share of our common stock during the reporting period in relation to the price per share of our common stock as of the respective grant dates of our outstanding stock-based compensation awards.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Borders>
              <w:top w:val="single" w:sz="8" w:color="auto"/>
            </w:tcBorders>
          </w:tcPr>
          <w:p>
            <w:pPr>
              <w:spacing w:after="0"/>
              <w:rPr>
                <w:sz w:val="19"/>
                <w:szCs w:val="19"/>
                <w:color w:val="auto"/>
              </w:rPr>
            </w:pPr>
          </w:p>
        </w:tc>
        <w:tc>
          <w:tcPr>
            <w:tcW w:w="5520" w:type="dxa"/>
            <w:vAlign w:val="bottom"/>
            <w:tcBorders>
              <w:top w:val="single" w:sz="8" w:color="auto"/>
            </w:tcBorders>
            <w:gridSpan w:val="2"/>
          </w:tcPr>
          <w:p>
            <w:pPr>
              <w:jc w:val="right"/>
              <w:ind w:right="11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9"/>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November 1, 2020</w:t>
            </w:r>
          </w:p>
        </w:tc>
        <w:tc>
          <w:tcPr>
            <w:tcW w:w="1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7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12,293</w:t>
            </w:r>
          </w:p>
        </w:tc>
        <w:tc>
          <w:tcPr>
            <w:tcW w:w="1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12,403</w:t>
            </w:r>
          </w:p>
        </w:tc>
      </w:tr>
      <w:tr>
        <w:trPr>
          <w:trHeight w:val="213"/>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Dilutive effect of stock-based compensation</w:t>
            </w:r>
          </w:p>
        </w:tc>
        <w:tc>
          <w:tcPr>
            <w:tcW w:w="3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5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7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12,293</w:t>
            </w:r>
          </w:p>
        </w:tc>
        <w:tc>
          <w:tcPr>
            <w:tcW w:w="1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12,413</w:t>
            </w:r>
          </w:p>
        </w:tc>
      </w:tr>
    </w:tbl>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first half of fiscal 2021, we did not include a total of 38,313 shares of unvested common stock in the computation of diluted net loss from continuing operations per share. Of the total 38,313 shares of unvested common stock, (i) 26,099 shares were antidilutive resulting from the decrease in the price per share of our common stock during the reporting period in relation to the price per share of our common stock as of the respective grant dates of our outstanding stock-based compensation awards and (ii) 12,214 shares were antidilutive as we incurred a net loss during the reporting period.</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half of fiscal 2020, 1,407 shares of unvested common stock were not included in the computation of diluted net income from continuing operations per share, as their effect would be antidilutive, as result of the decrease in the price per share of our common stock during the reporting period in relation to the price per share of our common stock as of the respective grant dates of our outstanding stock-based compensation awards.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Continuing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continuing operations are classified into two business segments: mattress fabrics and upholstery fabrics.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upholstery fabrics segment develops, manufactures, sources, and sells fabrics primarily to residential and commercial furniture manufacturers. Additionally, the segment includes Read, a wholly-owned subsidiary, which is a turn-key provider of window treatments and sourcing of upholstery fabrics and other products, as well as measuring and installation services of Read’s products for the hospitality and commercial industries. Read also supplies soft goods such as decorative top sheets, coverlets, duvet covers, bed skirts, bolsters, and pillows.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Discontinued Operation – Home Accessories Segment</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disclosed in Note 3 of the consolidated financial statements, we sold our entire ownership interest in eLuxury on March 31, 2020, and consequently our home accessories segment was eliminated at such time. Thus, the results of operations associated with our home accessories segment were excluded from our continuing operations and presented as a discontinued operation in our consolidated financial statements.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former home accessories segment was our finished products business that manufactured, sourced, and sold bedding accessories and home goods directly to consumers and businesses through global e-commerce, business-to-business, and other sales channels.</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See Note 3 of the consolidated financial statements for detailed financial information of our former home accessories segment. As disclosed in Note 3, a reconciliation is provided that has detailed balance sheet information as of November 3, 2019, that is reconciled to captions titled “current assets – discontinued operation”, “noncurrent assets – discontinued operation”, current liabilities – discontinued operation”, and “noncurrent liabilities – discontinued operation” presented in the Consolidated Balance Sheet as of November 3, 2019. Also, a reconciliation is provided that pertains to detailed income statement information disclosed in Note 3 and is reconciled to net loss from discontinued operation presented in the Consolidated Statements of Net Income for the three-month and six-month periods ending November 3, 2019.</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evaluate the operating performance of our current business segments based upon income (loss) from continuing operations before certain unallocated corporate expenses, asset impairments, restructuring credit (expense) and restructuring related charges, and other non-recurring items.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 officers and their staff, all costs associated with being a public company, and other miscellaneous expenses. Segment assets include assets used in the operations of each segment and primarily consist of accounts receivable, inventories, property, plant, and equipment, and right of use assets. The mattress fabrics segment also includes in segment assets its investment in an unconsolidated joint venture. Goodwill and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operations for our current operating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November 1, 2020</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by segment:</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40,030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35,666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36,821</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33,884</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76,851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69,550</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from continuing operations by segment:</w:t>
            </w: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7,584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6,247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6,677</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7,279</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14,261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13,526</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2,953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3,390</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3,806</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3,151</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2,358</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9,743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9,117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(loss) from continuing operations by segment:</w:t>
            </w: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4,382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3,294</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3,287</w:t>
            </w:r>
          </w:p>
        </w:tc>
        <w:tc>
          <w:tcPr>
            <w:tcW w:w="22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3,473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(3,151)</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income from continuing operations</w:t>
            </w:r>
          </w:p>
        </w:tc>
        <w:tc>
          <w:tcPr>
            <w:tcW w:w="140" w:type="dxa"/>
            <w:vAlign w:val="bottom"/>
          </w:tcPr>
          <w:p>
            <w:pPr>
              <w:spacing w:after="0"/>
              <w:rPr>
                <w:sz w:val="17"/>
                <w:szCs w:val="17"/>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4,518</w:t>
            </w:r>
          </w:p>
        </w:tc>
        <w:tc>
          <w:tcPr>
            <w:tcW w:w="2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4,409</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expense</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(680)</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 from continuing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4,547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4"/>
          </w:tcPr>
          <w:p>
            <w:pPr>
              <w:jc w:val="right"/>
              <w:ind w:right="115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November 1, 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by segment: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76,133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74,525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65,182</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65,744</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141,315</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140,269</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from continuing operations by segment:</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12,191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11,938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11,971</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14,000</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24,162</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25,938</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5,964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6,025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7,652</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5,227</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4,589</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17,761</w:t>
            </w: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18,266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(loss) from continuing operations by segment:</w:t>
            </w: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5,913</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6,348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0" w:type="dxa"/>
            <w:vAlign w:val="bottom"/>
          </w:tcPr>
          <w:p>
            <w:pPr>
              <w:spacing w:after="0"/>
              <w:rPr>
                <w:sz w:val="1"/>
                <w:szCs w:val="1"/>
                <w:color w:val="auto"/>
              </w:rPr>
            </w:pPr>
          </w:p>
        </w:tc>
      </w:tr>
      <w:tr>
        <w:trPr>
          <w:trHeight w:val="207"/>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subtotal</w:t>
            </w:r>
          </w:p>
        </w:tc>
        <w:tc>
          <w:tcPr>
            <w:tcW w:w="14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7,672</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restructuring credit</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income from continuing operations</w:t>
            </w: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6,401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7,707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expense</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 from continuing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5,421</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8,010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Balance sheet information for our current operating segments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November 1, 2020</w:t>
            </w:r>
          </w:p>
        </w:tc>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November 3, 2019</w:t>
            </w: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4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15,914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11,224</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12,212</w:t>
            </w:r>
          </w:p>
        </w:tc>
      </w:tr>
      <w:tr>
        <w:trPr>
          <w:trHeight w:val="213"/>
        </w:trPr>
        <w:tc>
          <w:tcPr>
            <w:tcW w:w="4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24,200</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27,751</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26,620</w:t>
            </w:r>
          </w:p>
        </w:tc>
      </w:tr>
      <w:tr>
        <w:trPr>
          <w:trHeight w:val="219"/>
        </w:trPr>
        <w:tc>
          <w:tcPr>
            <w:tcW w:w="4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38,818</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42,899</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40,682</w:t>
            </w:r>
          </w:p>
        </w:tc>
      </w:tr>
      <w:tr>
        <w:trPr>
          <w:trHeight w:val="213"/>
        </w:trPr>
        <w:tc>
          <w:tcPr>
            <w:tcW w:w="4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Right of use assets (2)</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1,186</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w:t>
            </w:r>
          </w:p>
        </w:tc>
      </w:tr>
      <w:tr>
        <w:trPr>
          <w:trHeight w:val="219"/>
        </w:trPr>
        <w:tc>
          <w:tcPr>
            <w:tcW w:w="4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Investment in unconsolidated joint venture</w:t>
            </w:r>
          </w:p>
        </w:tc>
        <w:tc>
          <w:tcPr>
            <w:tcW w:w="1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1,859</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1,504</w:t>
            </w:r>
          </w:p>
        </w:tc>
        <w:tc>
          <w:tcPr>
            <w:tcW w:w="3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1,602</w:t>
            </w:r>
          </w:p>
        </w:tc>
      </w:tr>
      <w:tr>
        <w:trPr>
          <w:trHeight w:val="207"/>
        </w:trPr>
        <w:tc>
          <w:tcPr>
            <w:tcW w:w="49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12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81,977</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83,548</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81,478</w:t>
            </w:r>
          </w:p>
        </w:tc>
      </w:tr>
      <w:tr>
        <w:trPr>
          <w:trHeight w:val="212"/>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Upholstery Fabrics</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4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17,046</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12,666</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12,881</w:t>
            </w:r>
          </w:p>
        </w:tc>
      </w:tr>
      <w:tr>
        <w:trPr>
          <w:trHeight w:val="219"/>
        </w:trPr>
        <w:tc>
          <w:tcPr>
            <w:tcW w:w="4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23,526</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23,692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21,287</w:t>
            </w:r>
          </w:p>
        </w:tc>
      </w:tr>
      <w:tr>
        <w:trPr>
          <w:trHeight w:val="213"/>
        </w:trPr>
        <w:tc>
          <w:tcPr>
            <w:tcW w:w="4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Property, plant and equipment (3)</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2,014</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1,774</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r>
      <w:tr>
        <w:trPr>
          <w:trHeight w:val="219"/>
        </w:trPr>
        <w:tc>
          <w:tcPr>
            <w:tcW w:w="4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Right of use assets (4)</w:t>
            </w:r>
          </w:p>
        </w:tc>
        <w:tc>
          <w:tcPr>
            <w:tcW w:w="1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3,269</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2,610</w:t>
            </w:r>
          </w:p>
        </w:tc>
        <w:tc>
          <w:tcPr>
            <w:tcW w:w="3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r>
      <w:tr>
        <w:trPr>
          <w:trHeight w:val="207"/>
        </w:trPr>
        <w:tc>
          <w:tcPr>
            <w:tcW w:w="49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12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45,855</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40,742</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37,434</w:t>
            </w:r>
          </w:p>
        </w:tc>
      </w:tr>
      <w:tr>
        <w:trPr>
          <w:trHeight w:val="212"/>
        </w:trPr>
        <w:tc>
          <w:tcPr>
            <w:tcW w:w="49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Total segment assets</w:t>
            </w:r>
          </w:p>
        </w:tc>
        <w:tc>
          <w:tcPr>
            <w:tcW w:w="12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127,832</w:t>
            </w:r>
          </w:p>
        </w:tc>
        <w:tc>
          <w:tcPr>
            <w:tcW w:w="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124,290</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118,912</w:t>
            </w:r>
          </w:p>
        </w:tc>
      </w:tr>
      <w:tr>
        <w:trPr>
          <w:trHeight w:val="20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Non-segment assets: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45,288</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46,955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69,790</w:t>
            </w: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 - available for sale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5,462</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Short-term investments - held-to-maturity</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5,005</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4,271</w:t>
            </w: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776</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1,585</w:t>
            </w: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assets - discontinued operation</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4,760</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3,509</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2,745</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2,116</w:t>
            </w: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645</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511</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793</w:t>
            </w: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plant and equipment (5)</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767</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548</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832</w:t>
            </w: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Right of use assets (6)</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1,710</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2,103</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1,908</w:t>
            </w: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13,569</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Intangible assets</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3,192</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3,711</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3,380</w:t>
            </w: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8,060</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7,575</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7,834</w:t>
            </w: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Long-term investments - held-to-maturity</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759</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2,076</w:t>
            </w: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Noncurrent income taxes receivable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733</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assets</w:t>
            </w: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547</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664</w:t>
            </w:r>
          </w:p>
        </w:tc>
      </w:tr>
      <w:tr>
        <w:trPr>
          <w:trHeight w:val="213"/>
        </w:trPr>
        <w:tc>
          <w:tcPr>
            <w:tcW w:w="4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note receivable affiliated with discontinued operation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1,800</w:t>
            </w:r>
          </w:p>
        </w:tc>
        <w:tc>
          <w:tcPr>
            <w:tcW w:w="3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Noncurrent assets - discontinued operation</w:t>
            </w:r>
          </w:p>
        </w:tc>
        <w:tc>
          <w:tcPr>
            <w:tcW w:w="1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22,950</w:t>
            </w:r>
          </w:p>
        </w:tc>
        <w:tc>
          <w:tcPr>
            <w:tcW w:w="3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assets</w:t>
            </w:r>
          </w:p>
        </w:tc>
        <w:tc>
          <w:tcPr>
            <w:tcW w:w="12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202,776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233,522</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215,084</w:t>
            </w:r>
          </w:p>
        </w:tc>
      </w:tr>
      <w:tr>
        <w:trPr>
          <w:trHeight w:val="20"/>
        </w:trPr>
        <w:tc>
          <w:tcPr>
            <w:tcW w:w="4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29"/>
        </w:trPr>
        <w:tc>
          <w:tcPr>
            <w:tcW w:w="4960" w:type="dxa"/>
            <w:vAlign w:val="bottom"/>
          </w:tcPr>
          <w:p>
            <w:pPr>
              <w:spacing w:after="0"/>
              <w:rPr>
                <w:sz w:val="24"/>
                <w:szCs w:val="24"/>
                <w:color w:val="auto"/>
              </w:rPr>
            </w:pPr>
          </w:p>
        </w:tc>
        <w:tc>
          <w:tcPr>
            <w:tcW w:w="1360" w:type="dxa"/>
            <w:vAlign w:val="bottom"/>
            <w:gridSpan w:val="2"/>
          </w:tcPr>
          <w:p>
            <w:pPr>
              <w:jc w:val="right"/>
              <w:ind w:right="459"/>
              <w:spacing w:after="0"/>
              <w:rPr>
                <w:sz w:val="20"/>
                <w:szCs w:val="20"/>
                <w:color w:val="auto"/>
              </w:rPr>
            </w:pPr>
            <w:r>
              <w:rPr>
                <w:rFonts w:ascii="Times New Roman" w:cs="Times New Roman" w:eastAsia="Times New Roman" w:hAnsi="Times New Roman"/>
                <w:sz w:val="20"/>
                <w:szCs w:val="20"/>
                <w:color w:val="auto"/>
              </w:rPr>
              <w:t>I-22</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8"/>
        </w:trPr>
        <w:tc>
          <w:tcPr>
            <w:tcW w:w="4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4" w:right="339" w:bottom="609"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380" w:type="dxa"/>
            <w:vAlign w:val="bottom"/>
            <w:gridSpan w:val="3"/>
          </w:tcPr>
          <w:p>
            <w:pPr>
              <w:jc w:val="right"/>
              <w:ind w:right="11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9"/>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November 1, 2020</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 (7):</w:t>
            </w:r>
          </w:p>
        </w:tc>
        <w:tc>
          <w:tcPr>
            <w:tcW w:w="28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3"/>
        </w:trPr>
        <w:tc>
          <w:tcPr>
            <w:tcW w:w="4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1,710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2,212</w:t>
            </w:r>
          </w:p>
        </w:tc>
      </w:tr>
      <w:tr>
        <w:trPr>
          <w:trHeight w:val="21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8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181</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229</w:t>
            </w:r>
          </w:p>
        </w:tc>
      </w:tr>
      <w:tr>
        <w:trPr>
          <w:trHeight w:val="213"/>
        </w:trPr>
        <w:tc>
          <w:tcPr>
            <w:tcW w:w="4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Unallocated Corporate</w:t>
            </w:r>
          </w:p>
        </w:tc>
        <w:tc>
          <w:tcPr>
            <w:tcW w:w="288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266</w:t>
            </w:r>
          </w:p>
        </w:tc>
      </w:tr>
      <w:tr>
        <w:trPr>
          <w:trHeight w:val="216"/>
        </w:trPr>
        <w:tc>
          <w:tcPr>
            <w:tcW w:w="49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Discontinued Operation</w:t>
            </w:r>
          </w:p>
        </w:tc>
        <w:tc>
          <w:tcPr>
            <w:tcW w:w="28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w:t>
            </w:r>
          </w:p>
        </w:tc>
      </w:tr>
      <w:tr>
        <w:trPr>
          <w:trHeight w:val="209"/>
        </w:trPr>
        <w:tc>
          <w:tcPr>
            <w:tcW w:w="4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2,002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2,740</w:t>
            </w:r>
          </w:p>
        </w:tc>
      </w:tr>
      <w:tr>
        <w:trPr>
          <w:trHeight w:val="212"/>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28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3"/>
        </w:trPr>
        <w:tc>
          <w:tcPr>
            <w:tcW w:w="4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Mattress Fabrics</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3,132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3,321</w:t>
            </w:r>
          </w:p>
        </w:tc>
      </w:tr>
      <w:tr>
        <w:trPr>
          <w:trHeight w:val="21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Upholstery Fabrics</w:t>
            </w:r>
          </w:p>
        </w:tc>
        <w:tc>
          <w:tcPr>
            <w:tcW w:w="28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382</w:t>
            </w:r>
          </w:p>
        </w:tc>
      </w:tr>
      <w:tr>
        <w:trPr>
          <w:trHeight w:val="213"/>
        </w:trPr>
        <w:tc>
          <w:tcPr>
            <w:tcW w:w="4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Discontinued Operation</w:t>
            </w:r>
          </w:p>
        </w:tc>
        <w:tc>
          <w:tcPr>
            <w:tcW w:w="2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190</w:t>
            </w:r>
          </w:p>
        </w:tc>
      </w:tr>
      <w:tr>
        <w:trPr>
          <w:trHeight w:val="209"/>
        </w:trPr>
        <w:tc>
          <w:tcPr>
            <w:tcW w:w="498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3,538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3,893</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60" w:hanging="352"/>
        <w:spacing w:after="0" w:line="249"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$38.8 million as of November 1, 2020, represents property, plant, and equipment of $26.5 million and $12.3 million located in the U.S. and Canada, respectively. The $42.9 million as of November 3, 2019, represents property, plant, and equipment of $30.5 million and $12.4 million located in the U.S. and Canada, respectively. The $40.7 million as of May 3, 2020, represents property, plant, and equipment of $27.7 million and $13.0 million located in the U.S. and Canada, respectively.</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$1.2 million as of November 1, 2020, represents right of use assets of $696,000 and $490,000 located in the U.S. and Canada, respectively. The $170,000 as of November 3, 2019, and the $362,000 as of May 3, 2020, represents right of use assets located in the U.S.</w:t>
      </w:r>
    </w:p>
    <w:p>
      <w:pPr>
        <w:spacing w:after="0" w:line="13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 million as of November 1, 2020, represents property, plant, and equipment of $1.1 million and $904,000 located in the U.S. and China, respectively. The $1.8 million as of November 3, 2019, represents property, plant, and equipment of $1.3 million and $500,000 located in the U.S. and China, respectively. The $1.6 million as of May 3, 2020, represents property, plant, and equipment of $1.2 million and $471,000 located in the U.S. and China, respectively.</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$3.3 million as of November 1, 2020, represents right of use assets of $2.7 million and $561,000 located in China and the U.S., respectively. The $2.6 million as of November 3, 2019, represents right of use assets of $1.5 million and $1.1 million located in China and the U.S., respectively. The $1.6 million as of May 3, 2020, represents right of use assets of $857,000 and $776,000 located in the U.S. and China, respectively.</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$767,000, $548,000, and $832,000 as of November 1, 2020, November 3, 2019, and May 3, 2020,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33"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$1.7 million, $2.1 million, and $1.9 million as of November 1, 2020, November 3, 2019, and May 3, 2020, respectively, represents right of use assets located in the U.S.</w:t>
      </w:r>
    </w:p>
    <w:p>
      <w:pPr>
        <w:spacing w:after="0" w:line="118"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the accrual basis. See Consolidated Statements of Cash Flows for capital expenditure amounts on a cash basis.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income tax expense (benefit) for the six-month periods ending November 1, 2020, and November 3, 2019, were allocated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0" w:type="dxa"/>
            <w:vAlign w:val="bottom"/>
          </w:tcPr>
          <w:p>
            <w:pPr>
              <w:spacing w:after="0"/>
              <w:rPr>
                <w:sz w:val="18"/>
                <w:szCs w:val="18"/>
                <w:color w:val="auto"/>
              </w:rPr>
            </w:pPr>
          </w:p>
        </w:tc>
        <w:tc>
          <w:tcPr>
            <w:tcW w:w="1460" w:type="dxa"/>
            <w:vAlign w:val="bottom"/>
          </w:tcPr>
          <w:p>
            <w:pPr>
              <w:jc w:val="right"/>
              <w:ind w:right="414"/>
              <w:spacing w:after="0"/>
              <w:rPr>
                <w:sz w:val="20"/>
                <w:szCs w:val="20"/>
                <w:color w:val="auto"/>
              </w:rPr>
            </w:pPr>
            <w:r>
              <w:rPr>
                <w:rFonts w:ascii="Times New Roman" w:cs="Times New Roman" w:eastAsia="Times New Roman" w:hAnsi="Times New Roman"/>
                <w:sz w:val="16"/>
                <w:szCs w:val="16"/>
                <w:color w:val="auto"/>
              </w:rPr>
              <w:t>November 1,</w:t>
            </w:r>
          </w:p>
        </w:tc>
        <w:tc>
          <w:tcPr>
            <w:tcW w:w="380" w:type="dxa"/>
            <w:vAlign w:val="bottom"/>
          </w:tcPr>
          <w:p>
            <w:pPr>
              <w:spacing w:after="0"/>
              <w:rPr>
                <w:sz w:val="18"/>
                <w:szCs w:val="18"/>
                <w:color w:val="auto"/>
              </w:rPr>
            </w:pPr>
          </w:p>
        </w:tc>
        <w:tc>
          <w:tcPr>
            <w:tcW w:w="1460" w:type="dxa"/>
            <w:vAlign w:val="bottom"/>
          </w:tcPr>
          <w:p>
            <w:pPr>
              <w:jc w:val="right"/>
              <w:ind w:right="394"/>
              <w:spacing w:after="0"/>
              <w:rPr>
                <w:sz w:val="20"/>
                <w:szCs w:val="20"/>
                <w:color w:val="auto"/>
              </w:rPr>
            </w:pPr>
            <w:r>
              <w:rPr>
                <w:rFonts w:ascii="Times New Roman" w:cs="Times New Roman" w:eastAsia="Times New Roman" w:hAnsi="Times New Roman"/>
                <w:sz w:val="16"/>
                <w:szCs w:val="16"/>
                <w:color w:val="auto"/>
              </w:rPr>
              <w:t>November 3,</w:t>
            </w:r>
          </w:p>
        </w:tc>
        <w:tc>
          <w:tcPr>
            <w:tcW w:w="0" w:type="dxa"/>
            <w:vAlign w:val="bottom"/>
          </w:tcPr>
          <w:p>
            <w:pPr>
              <w:spacing w:after="0"/>
              <w:rPr>
                <w:sz w:val="1"/>
                <w:szCs w:val="1"/>
                <w:color w:val="auto"/>
              </w:rPr>
            </w:pPr>
          </w:p>
        </w:tc>
      </w:tr>
      <w:tr>
        <w:trPr>
          <w:trHeight w:val="235"/>
        </w:trPr>
        <w:tc>
          <w:tcPr>
            <w:tcW w:w="5140" w:type="dxa"/>
            <w:vAlign w:val="bottom"/>
            <w:tcBorders>
              <w:bottom w:val="single" w:sz="8" w:color="auto"/>
            </w:tcBorders>
            <w:vMerge w:val="continue"/>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color w:val="auto"/>
              </w:rPr>
              <w:t>2020</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5,937</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5,937</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3,579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$5.9 million, or 109.5% of income before income taxes from continuing operations, for the six-month period ended November 1, 2020, compared with income tax expense of $4.0 million, or 49.6% of income before income taxes from continuing operations, for the six-month period ended November 3, 2019.</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effective income tax rates associated with our continuing operations for the six-month periods ended November 1, 2020, and November 3, 2019, were based upon the estimated effective income tax rate applicable for the full year after giving effect to any significant items related specifically to interim periods. When calculating the annual estimated effective income tax rate for the six-months ended November 1, 2020, we were subject to a loss limitation rule in accordance with ASC Topic 740-270-30-36(a). This loss limitation rule required the taxable loss associated with our U.S. operations to be excluded from the annual estimated effective income tax rate calculation as it was determined that no tax benefit could be recognized resulting from the full valuation allowance against our U.S. income tax loss carryforward that is expected to originate during the current fiscal year. The effective income tax rate can be affected over the fiscal year by the mix and timing of actual earnings from our U.S. operations and foreign subsidiaries located in China and Canada versus annual projections, as well as changes in foreign currency exchange rates in relation to the U.S. dollar.</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from continuing operations at the U.S. federal income tax rate and the effective income tax rate from continuing operations reflected in the consolidated financial statements for the six-month periods ending November 1, 2020 and November 3,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82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November 1,</w:t>
            </w:r>
          </w:p>
        </w:tc>
        <w:tc>
          <w:tcPr>
            <w:tcW w:w="1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November 3,</w:t>
            </w:r>
          </w:p>
        </w:tc>
      </w:tr>
      <w:tr>
        <w:trPr>
          <w:trHeight w:val="219"/>
        </w:trPr>
        <w:tc>
          <w:tcPr>
            <w:tcW w:w="58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2020</w:t>
            </w:r>
          </w:p>
        </w:tc>
        <w:tc>
          <w:tcPr>
            <w:tcW w:w="16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2019</w:t>
            </w:r>
          </w:p>
        </w:tc>
      </w:tr>
      <w:tr>
        <w:trPr>
          <w:trHeight w:val="21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21.0%</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8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141.6</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income tax law change</w:t>
            </w:r>
          </w:p>
        </w:tc>
        <w:tc>
          <w:tcPr>
            <w:tcW w:w="382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(65.1)</w:t>
            </w:r>
          </w:p>
        </w:tc>
        <w:tc>
          <w:tcPr>
            <w:tcW w:w="16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8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8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8.4</w:t>
            </w:r>
          </w:p>
        </w:tc>
        <w:tc>
          <w:tcPr>
            <w:tcW w:w="16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8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6.6</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effects of foreign exchange rate (losses) gains</w:t>
            </w:r>
          </w:p>
        </w:tc>
        <w:tc>
          <w:tcPr>
            <w:tcW w:w="382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(4.0)</w:t>
            </w:r>
          </w:p>
        </w:tc>
        <w:tc>
          <w:tcPr>
            <w:tcW w:w="16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3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1.0</w:t>
            </w:r>
          </w:p>
        </w:tc>
        <w:tc>
          <w:tcPr>
            <w:tcW w:w="1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r>
      <w:tr>
        <w:trPr>
          <w:trHeight w:val="209"/>
        </w:trPr>
        <w:tc>
          <w:tcPr>
            <w:tcW w:w="5800" w:type="dxa"/>
            <w:vAlign w:val="bottom"/>
            <w:tcBorders>
              <w:bottom w:val="single" w:sz="8" w:color="auto"/>
            </w:tcBorders>
            <w:shd w:val="clear" w:color="auto" w:fill="CFF0FC"/>
          </w:tcPr>
          <w:p>
            <w:pPr>
              <w:spacing w:after="0"/>
              <w:rPr>
                <w:sz w:val="18"/>
                <w:szCs w:val="18"/>
                <w:color w:val="auto"/>
              </w:rPr>
            </w:pPr>
          </w:p>
        </w:tc>
        <w:tc>
          <w:tcPr>
            <w:tcW w:w="38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109.5%</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Tax Law Change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Effective July 20, 2020, the U.S Treasury Department finalized and enacted previously proposed regulations regarding the GILTI tax provisions of the TCJA. Prior to this enactment, GILTI represented a significant U.S. income tax on our foreign earnings during fiscal 2019 ($2.1 million) and fiscal 2020 ($1.9 million). With the enactment of these final regulations, we are now eligible for an exclusion from GILTI since we meet the provisions for the GILTI High-Tax exception included in the final regulations. In addition, the enactment of the new regulations and our eligibility for the GILTI High-Tax exception are retroactive to the original enactment of the GILTI tax provision, which includes our 2019 and 2020 fiscal years.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the newly enacted regulations,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and the six-month year-to-date period of fiscal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Allowance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a result of the U.S. tax law change relating to the GILTI tax provisions of the TCJA, we assessed the need for an additional valuation allowance against our U.S. net deferred income taxes, as GILTI represented a significant source of our U.S. taxable income during fiscal 2019 and 2020 that offset our U.S. pre-tax losses during such years, and which offset is now reversed as a result of the retroactivity of the new regulations. Consequently, due to the retroactivity of the new regulations, we experienced a recent history of cumulative U.S. taxable losses during our last two fiscal years and we currently expect our history of U.S. pre-tax losses to continue into fiscal 2021, as a result of the continuing economic uncertainty associated with the COVID-19 global pandemic. As a result of the significant weight of this negative evidence, we believe it is more-likely-than-not that our U.S. net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26" w:name="page27"/>
    <w:bookmarkEnd w:id="26"/>
    <w:p>
      <w:pPr>
        <w:jc w:val="both"/>
        <w:spacing w:after="0" w:line="274" w:lineRule="auto"/>
        <w:rPr>
          <w:sz w:val="20"/>
          <w:szCs w:val="20"/>
          <w:color w:val="auto"/>
        </w:rPr>
      </w:pPr>
      <w:r>
        <w:rPr>
          <w:rFonts w:ascii="Times New Roman" w:cs="Times New Roman" w:eastAsia="Times New Roman" w:hAnsi="Times New Roman"/>
          <w:sz w:val="19"/>
          <w:szCs w:val="19"/>
          <w:color w:val="auto"/>
        </w:rPr>
        <w:t>deferred income tax assets will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and the six-month year-to-date period of fiscal 2021.</w:t>
      </w:r>
    </w:p>
    <w:p>
      <w:pPr>
        <w:spacing w:after="0" w:line="1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Additionally, we recorded a $713,000 income tax charge to provide for a full valuation allowance against a U.S. income tax loss carryforward that originated during the first half of fiscal 2021.</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November 1, 2020, November 1, 2019, and May 3, 2020, valuation allowances against our net deferred income taxes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November 1,</w:t>
            </w:r>
          </w:p>
        </w:tc>
        <w:tc>
          <w:tcPr>
            <w:tcW w:w="1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2020</w:t>
            </w: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November 3, 2019</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May 3, 2020</w:t>
            </w:r>
          </w:p>
        </w:tc>
        <w:tc>
          <w:tcPr>
            <w:tcW w:w="0" w:type="dxa"/>
            <w:vAlign w:val="bottom"/>
          </w:tcPr>
          <w:p>
            <w:pPr>
              <w:spacing w:after="0"/>
              <w:rPr>
                <w:sz w:val="1"/>
                <w:szCs w:val="1"/>
                <w:color w:val="auto"/>
              </w:rPr>
            </w:pPr>
          </w:p>
        </w:tc>
      </w:tr>
      <w:tr>
        <w:trPr>
          <w:trHeight w:val="21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8,543</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711</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2,281</w:t>
            </w: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10,824</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711</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3,148</w:t>
            </w: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accordance with ASC Topic 740, we assess whether the undistributed earnings from our foreign subsidiaries will be reinvested indefinitely or eventually distributed to our U.S. parent company. As of November 1, 2020, we assessed the liquidity requirements of our U.S. parent company and determined that our undistributed earnings from our foreign subsidiaries would not be reinvested indefinitely and would be eventually distributed to our U.S. parent company. The conclusion reached from our assessment has been consistent with prior years. ASC Topic 740 requires that a deferred income tax liability should be recorded for undistributed earnings from foreign subsidiaries that will not be reinvested indefinitely, and as a result we recorded a deferred income tax liability associated with undistributed earnings from our foreign subsidiaries.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TCJA, a U.S. corporation is allowed a 100% dividend received deduction for earnings and profits received from a 10% owned foreign corporation. Therefore, a deferred income tax liability will be required only for withholding taxes that are incurred by our foreign subsidiaries. As a result, as of November 1, 2020, November 3, 2019, and May 3, 2020, we recorded a deferred income tax liability of $3.9 million, $3.2 million, and $3.4 million, respectively, for withholding taxes on undistributed earnings and profits from our foreign subsidiaries.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ASC Topic 740, an unrecognized income tax benefit for an uncertain income tax position can be recognized in the first interim period during which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benefits will be recorded at that time.</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November 1, 2020, we had a $1.4 million total gross unrecognized income tax benefit, of which $1.1 million and $380,000 were recorded to income taxes payable-long-term and noncurrent deferred income taxes, respectively, in the accompanying Consolidated Balance Sheets. As of November 3, 2019, we had a $914,000 total gross unrecognized income tax benefit of which the entire amount was recorded to income taxes payable-long-term in the accompanying Consolidated Balance Sheets. As of May 3, 2020, we had a $1.3 million total gross income tax benefit of which the entire amount was recorded to income taxes payable-long term in the accompanying Consolidated Balance Sheets.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1, 2020, we had a $1.4 million total gross unrecognized income tax benefit, of which $1.1 million would favorably affect the income tax rate in future periods. As of November 3, 2019, the entire $914,000 total gross unrecognized income tax benefit would have favorably affected the income tax rate in future periods. As of May 3, 2020, the entire $1.3 million total gross unrecognized income would have favorably affected the income tax rate in future periods.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gross unrecognized income tax benefit of $1.4 million relates to income tax positions for which significant change is currently not expected within the next year. This amount primarily relates to double taxation under applicable income tax treaties with foreign tax jurisdictions.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1, 2020, there were 548,729 shares available for future equity-based grants under our 2015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Executives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certain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the performance targets that have been achieved may be adjusted based on a market-based total shareholder return component as defined in the related restricted stock unit agreements.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Compensation cost for share-based awards is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were no performance-based restricted stock units granted to certain senior executives during the six-months ended November 1, 2020.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units granted to certain senior executives on July 18, 2019 and August 2,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80" w:type="dxa"/>
            <w:vAlign w:val="bottom"/>
          </w:tcPr>
          <w:p>
            <w:pPr>
              <w:jc w:val="right"/>
              <w:ind w:right="1030"/>
              <w:spacing w:after="0"/>
              <w:rPr>
                <w:sz w:val="20"/>
                <w:szCs w:val="20"/>
                <w:color w:val="auto"/>
              </w:rPr>
            </w:pPr>
            <w:r>
              <w:rPr>
                <w:rFonts w:ascii="Times New Roman" w:cs="Times New Roman" w:eastAsia="Times New Roman" w:hAnsi="Times New Roman"/>
                <w:sz w:val="18"/>
                <w:szCs w:val="18"/>
                <w:i w:val="1"/>
                <w:iCs w:val="1"/>
                <w:color w:val="auto"/>
              </w:rPr>
              <w:t>July 18,</w:t>
            </w:r>
          </w:p>
        </w:tc>
        <w:tc>
          <w:tcPr>
            <w:tcW w:w="500" w:type="dxa"/>
            <w:vAlign w:val="bottom"/>
          </w:tcPr>
          <w:p>
            <w:pPr>
              <w:spacing w:after="0"/>
              <w:rPr>
                <w:sz w:val="19"/>
                <w:szCs w:val="19"/>
                <w:color w:val="auto"/>
              </w:rPr>
            </w:pPr>
          </w:p>
        </w:tc>
        <w:tc>
          <w:tcPr>
            <w:tcW w:w="2000" w:type="dxa"/>
            <w:vAlign w:val="bottom"/>
          </w:tcPr>
          <w:p>
            <w:pPr>
              <w:jc w:val="right"/>
              <w:ind w:right="870"/>
              <w:spacing w:after="0"/>
              <w:rPr>
                <w:sz w:val="20"/>
                <w:szCs w:val="20"/>
                <w:color w:val="auto"/>
              </w:rPr>
            </w:pPr>
            <w:r>
              <w:rPr>
                <w:rFonts w:ascii="Times New Roman" w:cs="Times New Roman" w:eastAsia="Times New Roman" w:hAnsi="Times New Roman"/>
                <w:sz w:val="18"/>
                <w:szCs w:val="18"/>
                <w:i w:val="1"/>
                <w:iCs w:val="1"/>
                <w:color w:val="auto"/>
              </w:rPr>
              <w:t>August 2,</w:t>
            </w:r>
          </w:p>
        </w:tc>
      </w:tr>
      <w:tr>
        <w:trPr>
          <w:trHeight w:val="236"/>
        </w:trPr>
        <w:tc>
          <w:tcPr>
            <w:tcW w:w="48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i w:val="1"/>
                <w:iCs w:val="1"/>
                <w:color w:val="auto"/>
              </w:rPr>
              <w:t>2019</w:t>
            </w: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i w:val="1"/>
                <w:iCs w:val="1"/>
                <w:color w:val="auto"/>
              </w:rPr>
              <w:t>2018</w:t>
            </w: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18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18.49</w:t>
            </w:r>
          </w:p>
        </w:tc>
        <w:tc>
          <w:tcPr>
            <w:tcW w:w="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24.35</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18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peer companies (1) (2)</w:t>
            </w:r>
          </w:p>
        </w:tc>
        <w:tc>
          <w:tcPr>
            <w:tcW w:w="1820" w:type="dxa"/>
            <w:vAlign w:val="bottom"/>
            <w:shd w:val="clear" w:color="auto" w:fill="CFF0FC"/>
          </w:tcPr>
          <w:p>
            <w:pPr>
              <w:spacing w:after="0"/>
              <w:rPr>
                <w:sz w:val="19"/>
                <w:szCs w:val="19"/>
                <w:color w:val="auto"/>
              </w:rPr>
            </w:pPr>
          </w:p>
        </w:tc>
        <w:tc>
          <w:tcPr>
            <w:tcW w:w="20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29.9% - 82.3%</w:t>
            </w:r>
          </w:p>
        </w:tc>
        <w:tc>
          <w:tcPr>
            <w:tcW w:w="5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Correlation coefficient of peer companies (1) (2)</w:t>
            </w:r>
          </w:p>
        </w:tc>
        <w:tc>
          <w:tcPr>
            <w:tcW w:w="18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0.00 - 0.43</w:t>
            </w:r>
          </w:p>
        </w:tc>
        <w:tc>
          <w:tcPr>
            <w:tcW w:w="5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207" w:lineRule="exact"/>
        <w:rPr>
          <w:sz w:val="20"/>
          <w:szCs w:val="20"/>
          <w:color w:val="auto"/>
        </w:rPr>
      </w:pPr>
    </w:p>
    <w:p>
      <w:pPr>
        <w:jc w:val="both"/>
        <w:ind w:left="360" w:hanging="352"/>
        <w:spacing w:after="0" w:line="249"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volatility and correlation coefficient of our peer companies for the July 18, 2019 grant date were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52"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volatility and correlation coefficient of our peer companies for the August 2, 2018 grant date were based on the Russell 2000 Index, which was approved by the Compensation Committee of our board of directors as the benchmark for determining the market-based total shareholder return component. Since the Russell 2000 Index was the only benchmark for determining the market-based total shareholder return component, no ranges were disclosed for these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Employees and a Non-Employee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grant performance-based restricted stock units which could earn up to a certain number of shares of common stock if certain performance targets are met over a three-fiscal year performance period as defined in the related restricted stock unit agreements.</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performance-based restricted stock units granted to key employees were measured based on the fair market value (the closing price of our common stock) on the date of grant. No market-based total shareholder return component was included in these awards. Our performance-based restricted stock units granted to a non-employee, which vested during the first quarter of fiscal 2020, were measured based on the fair market value (closing price of our common stock) on the date when the performance criteria were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28" w:name="page29"/>
    <w:bookmarkEnd w:id="28"/>
    <w:p>
      <w:pPr>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granted to our key employees or any non-employees during the six-months ended November 1, 2020.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Overall</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certain senior executives and key employees that are currently unvested as of 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(4)</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Performance-Based</w:t>
            </w: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Restricted Stock</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rPr>
              <w:t>Restricted Stock</w:t>
            </w: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Units Expected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3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8"/>
              </w:rPr>
              <w:t>Units Awarded</w:t>
            </w:r>
          </w:p>
        </w:tc>
        <w:tc>
          <w:tcPr>
            <w:tcW w:w="1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to Vest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Price Per Share</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12"/>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18, 2019 (1)</w:t>
            </w:r>
          </w:p>
        </w:tc>
        <w:tc>
          <w:tcPr>
            <w:tcW w:w="30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93,653</w:t>
            </w:r>
          </w:p>
        </w:tc>
        <w:tc>
          <w:tcPr>
            <w:tcW w:w="1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1,725</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5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1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July 18, 2019 (2)</w:t>
            </w:r>
          </w:p>
        </w:tc>
        <w:tc>
          <w:tcPr>
            <w:tcW w:w="30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29,227</w:t>
            </w:r>
          </w:p>
        </w:tc>
        <w:tc>
          <w:tcPr>
            <w:tcW w:w="1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1,489</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5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w:t>
            </w:r>
          </w:p>
        </w:tc>
        <w:tc>
          <w:tcPr>
            <w:tcW w:w="16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1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2, 2018 (1)</w:t>
            </w:r>
          </w:p>
        </w:tc>
        <w:tc>
          <w:tcPr>
            <w:tcW w:w="30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86,599</w:t>
            </w:r>
          </w:p>
        </w:tc>
        <w:tc>
          <w:tcPr>
            <w:tcW w:w="1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3,509</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5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w:t>
            </w:r>
          </w:p>
        </w:tc>
        <w:tc>
          <w:tcPr>
            <w:tcW w:w="1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August 2, 2018 (2)</w:t>
            </w:r>
          </w:p>
        </w:tc>
        <w:tc>
          <w:tcPr>
            <w:tcW w:w="30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47,800</w:t>
            </w:r>
          </w:p>
        </w:tc>
        <w:tc>
          <w:tcPr>
            <w:tcW w:w="1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2,101</w:t>
            </w: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w:t>
            </w:r>
          </w:p>
        </w:tc>
        <w:tc>
          <w:tcPr>
            <w:tcW w:w="16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3 years</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certain senior executives.</w:t>
      </w:r>
    </w:p>
    <w:p>
      <w:pPr>
        <w:spacing w:after="0" w:line="17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key employees.</w:t>
      </w:r>
    </w:p>
    <w:p>
      <w:pPr>
        <w:spacing w:after="0" w:line="175"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18"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as of the end of the vesting period, and in turn the number of shares that are expected to be awarded at the end vesting period. These amounts represent the number of shares that were expected to vest as of November 1, 2020.</w:t>
      </w:r>
    </w:p>
    <w:p>
      <w:pPr>
        <w:spacing w:after="0" w:line="133"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($1.03 per $1, or an increase of $0.55 to the closing price of our common stock on the date of grant) determined using the Monte Carlo simulation model for the market-based total shareholder return component and the closing price of our common stock ($18.49) for the performance-based component of the performance-based restricted stock units granted to certain senior executives on July 18, 2019.</w:t>
      </w:r>
    </w:p>
    <w:p>
      <w:pPr>
        <w:spacing w:after="0" w:line="139"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($0.76 per $1, or a reduction of $5.84 to the closing price of the common stock on the date of grant) determined using the Monte Carlo simulation model for the market-based total shareholder return component and the closing price of our common stock ($24.35) for the performance-based component of the performance-based restricted stock units granted to certain senior executives on August 2, 2018.</w:t>
      </w:r>
    </w:p>
    <w:p>
      <w:pPr>
        <w:spacing w:after="0" w:line="13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of grant.</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performance-based restricted stock units that vested during the six-month periods ending November 1, 2020 and November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96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Performance-Based</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3340" w:type="dxa"/>
            <w:vAlign w:val="bottom"/>
          </w:tcPr>
          <w:p>
            <w:pPr>
              <w:spacing w:after="0"/>
              <w:rPr>
                <w:sz w:val="18"/>
                <w:szCs w:val="18"/>
                <w:color w:val="auto"/>
              </w:rPr>
            </w:pPr>
          </w:p>
        </w:tc>
        <w:tc>
          <w:tcPr>
            <w:tcW w:w="3960" w:type="dxa"/>
            <w:vAlign w:val="bottom"/>
          </w:tcPr>
          <w:p>
            <w:pPr>
              <w:jc w:val="center"/>
              <w:ind w:left="1939"/>
              <w:spacing w:after="0"/>
              <w:rPr>
                <w:sz w:val="20"/>
                <w:szCs w:val="20"/>
                <w:color w:val="auto"/>
              </w:rPr>
            </w:pPr>
            <w:r>
              <w:rPr>
                <w:rFonts w:ascii="Times New Roman" w:cs="Times New Roman" w:eastAsia="Times New Roman" w:hAnsi="Times New Roman"/>
                <w:sz w:val="16"/>
                <w:szCs w:val="16"/>
                <w:color w:val="auto"/>
              </w:rPr>
              <w:t>Restricted Stock</w:t>
            </w: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7"/>
              </w:rPr>
              <w:t>Price</w:t>
            </w:r>
          </w:p>
        </w:tc>
      </w:tr>
      <w:tr>
        <w:trPr>
          <w:trHeight w:val="21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960" w:type="dxa"/>
            <w:vAlign w:val="bottom"/>
            <w:tcBorders>
              <w:bottom w:val="single" w:sz="8" w:color="auto"/>
            </w:tcBorders>
          </w:tcPr>
          <w:p>
            <w:pPr>
              <w:jc w:val="center"/>
              <w:ind w:left="1939"/>
              <w:spacing w:after="0"/>
              <w:rPr>
                <w:sz w:val="20"/>
                <w:szCs w:val="20"/>
                <w:color w:val="auto"/>
              </w:rPr>
            </w:pPr>
            <w:r>
              <w:rPr>
                <w:rFonts w:ascii="Times New Roman" w:cs="Times New Roman" w:eastAsia="Times New Roman" w:hAnsi="Times New Roman"/>
                <w:sz w:val="16"/>
                <w:szCs w:val="16"/>
                <w:color w:val="auto"/>
                <w:w w:val="98"/>
              </w:rPr>
              <w:t>Units Vested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Fair Value</w:t>
            </w: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Per Share</w:t>
            </w:r>
          </w:p>
        </w:tc>
      </w:tr>
      <w:tr>
        <w:trPr>
          <w:trHeight w:val="21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2021 (1)</w:t>
            </w:r>
          </w:p>
        </w:tc>
        <w:tc>
          <w:tcPr>
            <w:tcW w:w="3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3,277</w:t>
            </w:r>
          </w:p>
        </w:tc>
        <w:tc>
          <w:tcPr>
            <w:tcW w:w="142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w:t>
            </w:r>
          </w:p>
        </w:tc>
        <w:tc>
          <w:tcPr>
            <w:tcW w:w="4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9.96</w:t>
            </w: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Fiscal 2021 (1)</w:t>
            </w:r>
          </w:p>
        </w:tc>
        <w:tc>
          <w:tcPr>
            <w:tcW w:w="3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3,710</w:t>
            </w:r>
          </w:p>
        </w:tc>
        <w:tc>
          <w:tcPr>
            <w:tcW w:w="142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9.96</w:t>
            </w:r>
          </w:p>
        </w:tc>
      </w:tr>
      <w:tr>
        <w:trPr>
          <w:trHeight w:val="21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2020 (1)</w:t>
            </w:r>
          </w:p>
        </w:tc>
        <w:tc>
          <w:tcPr>
            <w:tcW w:w="3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11,351</w:t>
            </w:r>
          </w:p>
        </w:tc>
        <w:tc>
          <w:tcPr>
            <w:tcW w:w="142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w:t>
            </w:r>
          </w:p>
        </w:tc>
        <w:tc>
          <w:tcPr>
            <w:tcW w:w="4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17.36</w:t>
            </w:r>
          </w:p>
        </w:tc>
      </w:tr>
      <w:tr>
        <w:trPr>
          <w:trHeight w:val="21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2020 (2)</w:t>
            </w:r>
          </w:p>
        </w:tc>
        <w:tc>
          <w:tcPr>
            <w:tcW w:w="3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4,961</w:t>
            </w:r>
          </w:p>
        </w:tc>
        <w:tc>
          <w:tcPr>
            <w:tcW w:w="142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86</w:t>
            </w: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17.36</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senior executives and key employees.</w:t>
      </w:r>
    </w:p>
    <w:p>
      <w:pPr>
        <w:spacing w:after="0" w:line="18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Non-employee</w:t>
      </w:r>
    </w:p>
    <w:p>
      <w:pPr>
        <w:spacing w:after="0" w:line="17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60" w:hanging="352"/>
        <w:spacing w:after="0" w:line="269" w:lineRule="auto"/>
        <w:tabs>
          <w:tab w:leader="none" w:pos="3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is derived from the closing price of our common stock on the date the respective performance-based restricted stock units vested.</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$89,000 and $275,000 within selling, general, and administrative expenses for the six-month periods ending November 1, 2020, and November 3, 2019, respectively. Compensation cost is recorded based on 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20"/>
          <w:szCs w:val="20"/>
          <w:color w:val="auto"/>
        </w:rPr>
        <w:t>assessment each reporting period to determine the probability of whether or not certain performance targets will be met as of the end of the vesting period. If certain performance goals are not expected to be achieved, compensation cost would not be recorded, and any previously recognized compensation cost would be reversed.</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1, 2020, the remaining unrecognized compensation cost related to our performance-based restricted stock units was $73,698, which is expected to be recognized over a weighted average vesting period of 1.5 years. As of November 1, 2020, the performance-based restricted stock units that were expected to vest had a fair value totaling $110,000.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time-based restricted stock unit awards associated with certain senior executives and key members of management that are unvested as of 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388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w w:val="99"/>
              </w:rPr>
              <w:t>Time-Based</w:t>
            </w: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388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rPr>
              <w:t>Restricted Stock</w:t>
            </w:r>
          </w:p>
        </w:tc>
        <w:tc>
          <w:tcPr>
            <w:tcW w:w="380" w:type="dxa"/>
            <w:vAlign w:val="bottom"/>
          </w:tcPr>
          <w:p>
            <w:pPr>
              <w:spacing w:after="0"/>
              <w:rPr>
                <w:sz w:val="18"/>
                <w:szCs w:val="18"/>
                <w:color w:val="auto"/>
              </w:rPr>
            </w:pPr>
          </w:p>
        </w:tc>
        <w:tc>
          <w:tcPr>
            <w:tcW w:w="172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(1)</w:t>
            </w:r>
          </w:p>
        </w:tc>
        <w:tc>
          <w:tcPr>
            <w:tcW w:w="1860" w:type="dxa"/>
            <w:vAlign w:val="bottom"/>
          </w:tcPr>
          <w:p>
            <w:pPr>
              <w:spacing w:after="0"/>
              <w:rPr>
                <w:sz w:val="18"/>
                <w:szCs w:val="18"/>
                <w:color w:val="auto"/>
              </w:rPr>
            </w:pPr>
          </w:p>
        </w:tc>
      </w:tr>
      <w:tr>
        <w:trPr>
          <w:trHeight w:val="219"/>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3880" w:type="dxa"/>
            <w:vAlign w:val="bottom"/>
            <w:tcBorders>
              <w:bottom w:val="single" w:sz="8" w:color="auto"/>
            </w:tcBorders>
          </w:tcPr>
          <w:p>
            <w:pPr>
              <w:jc w:val="center"/>
              <w:ind w:left="1859"/>
              <w:spacing w:after="0"/>
              <w:rPr>
                <w:sz w:val="20"/>
                <w:szCs w:val="20"/>
                <w:color w:val="auto"/>
              </w:rPr>
            </w:pPr>
            <w:r>
              <w:rPr>
                <w:rFonts w:ascii="Times New Roman" w:cs="Times New Roman" w:eastAsia="Times New Roman" w:hAnsi="Times New Roman"/>
                <w:sz w:val="16"/>
                <w:szCs w:val="16"/>
                <w:color w:val="auto"/>
              </w:rPr>
              <w:t>Units Awarded</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Price Per Share</w:t>
            </w:r>
          </w:p>
        </w:tc>
        <w:tc>
          <w:tcPr>
            <w:tcW w:w="1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August 6, 2020</w:t>
            </w:r>
          </w:p>
        </w:tc>
        <w:tc>
          <w:tcPr>
            <w:tcW w:w="3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129,896</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11.01</w:t>
            </w:r>
          </w:p>
        </w:tc>
        <w:tc>
          <w:tcPr>
            <w:tcW w:w="186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3 years</w:t>
            </w:r>
          </w:p>
        </w:tc>
      </w:tr>
      <w:tr>
        <w:trPr>
          <w:trHeight w:val="21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18, 2019</w:t>
            </w:r>
          </w:p>
        </w:tc>
        <w:tc>
          <w:tcPr>
            <w:tcW w:w="3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34,399</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18.49</w:t>
            </w:r>
          </w:p>
        </w:tc>
        <w:tc>
          <w:tcPr>
            <w:tcW w:w="18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August 2, 2018</w:t>
            </w:r>
          </w:p>
        </w:tc>
        <w:tc>
          <w:tcPr>
            <w:tcW w:w="3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10,000</w:t>
            </w: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24.35</w:t>
            </w:r>
          </w:p>
        </w:tc>
        <w:tc>
          <w:tcPr>
            <w:tcW w:w="18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5 years</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720" w:firstLine="8"/>
        <w:spacing w:after="0" w:line="422" w:lineRule="auto"/>
        <w:tabs>
          <w:tab w:leader="none" w:pos="35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Price per share represents closing price of common stock on the date the respective award was granted. </w:t>
      </w:r>
      <w:r>
        <w:rPr>
          <w:rFonts w:ascii="Times New Roman" w:cs="Times New Roman" w:eastAsia="Times New Roman" w:hAnsi="Times New Roman"/>
          <w:sz w:val="20"/>
          <w:szCs w:val="20"/>
          <w:u w:val="single" w:color="auto"/>
          <w:color w:val="auto"/>
        </w:rPr>
        <w:t>Overall</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$245,000 and $52,000 within selling, general, and administrative expenses associated with our time-based restricted stock unit awards for the six-month periods ending November 1, 2020, and November 3, 2019,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November 1, 2020, the remaining unrecognized compensation cost related to our time-based restricted stock units was $1.8 million, which is expected to be recognized over a weighted average vesting period of 2.5 years. As of November 1, 2020, the time-based restricted stock units that are expected to vest had a fair value totaling $2.2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Award</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granted a total of 5,193 and 7,000 shares of common stock to our outside directors on October 1, 2020 and July 1, 2020, respectively. These shares of common stock vested immediately and were measured at their fair value on the date of grant. The fair value of these awards was $13.48 and $10.00 per share on October 1, 2020 and July 1, 2020, respectively, which represents the closing price of our common stock on the date of grant.</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granted a total of 4,519 and 3,659 shares of common stock to our outside directors on October 1, 2019 and July 1, 2019, respectively. These shares of common stock vested immediately and were measured at their fair value on the date of grant. The fair value of these awards was $15.49 and $19.21 per share on October 1, 2019 and July 1, 2019, respectively, which represents the closing price of our common stock on the date of grant.</w:t>
      </w:r>
    </w:p>
    <w:p>
      <w:pPr>
        <w:spacing w:after="0" w:line="13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$140,000 of compensation expense within selling, general, and administrative expenses for common stock awards to our outside directors for each of the six-month periods ending November 1, 2020, and November 3, 2019.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twelve months or less are not recognized in our Consolidated Balance Sheets. For leases of more than twelve months, we recognize a right of use asset and lease liability on the commencement date of a lease arrangement based on the present value of lease payments over the lease term.</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operating leases have remaining lease terms of one to six years, with renewal options for additional periods ranging up to ten years. A lease term may include renewal options if it is reasonably certain that the option to renew a lease period will be exercised. A renewal option is considered reasonably certain to be exercised if there is a significant economic incentive, as defined in ASC Topic 842, to exercise the renewal option on the date a lease arrangement is commenced. Currently, renewal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0" w:name="page31"/>
    <w:bookmarkEnd w:id="30"/>
    <w:p>
      <w:pPr>
        <w:jc w:val="both"/>
        <w:spacing w:after="0" w:line="269" w:lineRule="auto"/>
        <w:rPr>
          <w:sz w:val="20"/>
          <w:szCs w:val="20"/>
          <w:color w:val="auto"/>
        </w:rPr>
      </w:pPr>
      <w:r>
        <w:rPr>
          <w:rFonts w:ascii="Times New Roman" w:cs="Times New Roman" w:eastAsia="Times New Roman" w:hAnsi="Times New Roman"/>
          <w:sz w:val="20"/>
          <w:szCs w:val="20"/>
          <w:color w:val="auto"/>
        </w:rPr>
        <w:t>options are not included in the lease terms for any of our leases, as there is not a significant economic incentive for us to exercise any of our renewal options.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Most of our leases do not provide an implicit interest rate, and as a result, we use our incremental borrowing rate, which approximates a collateralized rate, based on information available on the commencement date of a lease arrangement in determining the present value of lease our payments.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November 1, 2020, November 3, 2019, and May 3,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80" w:type="dxa"/>
            <w:vAlign w:val="bottom"/>
          </w:tcPr>
          <w:p>
            <w:pPr>
              <w:spacing w:after="0"/>
              <w:rPr>
                <w:sz w:val="18"/>
                <w:szCs w:val="18"/>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November 1,</w:t>
            </w:r>
          </w:p>
        </w:tc>
        <w:tc>
          <w:tcPr>
            <w:tcW w:w="28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November 3,</w:t>
            </w:r>
          </w:p>
        </w:tc>
        <w:tc>
          <w:tcPr>
            <w:tcW w:w="38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May 3,</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2019</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212"/>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6,165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5,879</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228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2,316</w:t>
            </w:r>
          </w:p>
        </w:tc>
        <w:tc>
          <w:tcPr>
            <w:tcW w:w="28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2,282</w:t>
            </w:r>
          </w:p>
        </w:tc>
        <w:tc>
          <w:tcPr>
            <w:tcW w:w="3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2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4,008</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3,439</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60" w:hanging="352"/>
        <w:spacing w:after="0" w:line="245"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November 3, 2019, right of use assets totaled $5.9 million, of which $4.9 million and $1.0 million were classified as (i) right of use asset and (ii) within noncurrent assets – discontinued operation, respectively, in the accompanying Consolidated Balance Sheets. At November 3, 2019, operating lease liabilities totaled $5.7 million, of which $2.1 million, $192,000, $2.6 million, and $825,000 were classified as (i) operating lease liability – current, (ii) within current liabilities – discontinued operation, (iii) operating lease liability – long-term, and (iv) within noncurrent liabilities – discontinued operation, respectively, in the accompanying Consolidated Balance Sheets.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Six Months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Six Months</w:t>
            </w:r>
          </w:p>
        </w:tc>
      </w:tr>
      <w:tr>
        <w:trPr>
          <w:trHeight w:val="210"/>
        </w:trPr>
        <w:tc>
          <w:tcPr>
            <w:tcW w:w="5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7"/>
              </w:rPr>
              <w:t>Ended</w:t>
            </w:r>
          </w:p>
        </w:tc>
        <w:tc>
          <w:tcPr>
            <w:tcW w:w="260" w:type="dxa"/>
            <w:vAlign w:val="bottom"/>
          </w:tcPr>
          <w:p>
            <w:pPr>
              <w:spacing w:after="0"/>
              <w:rPr>
                <w:sz w:val="18"/>
                <w:szCs w:val="18"/>
                <w:color w:val="auto"/>
              </w:rPr>
            </w:pPr>
          </w:p>
        </w:tc>
        <w:tc>
          <w:tcPr>
            <w:tcW w:w="15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Ended</w:t>
            </w:r>
          </w:p>
        </w:tc>
      </w:tr>
      <w:tr>
        <w:trPr>
          <w:trHeight w:val="21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November 1, 2020</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1,232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1,408</w:t>
            </w:r>
          </w:p>
        </w:tc>
      </w:tr>
      <w:tr>
        <w:trPr>
          <w:trHeight w:val="21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2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3,618</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r>
    </w:tbl>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Operating lease expense for the three-months ended November 1, 2020, and November 3, 2019, was $696,000 and $706,000, respectively. Operating lease expense for each of the six-month periods ended November 1, 2020, and November 3, 2019, was $1.4 million. Short-term lease and variable lease expenses were immaterial for the three-months and six-months ended November 1, 2020, and November 3, 2019.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2021,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57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1,244</w:t>
            </w:r>
          </w:p>
        </w:tc>
      </w:tr>
      <w:tr>
        <w:trPr>
          <w:trHeight w:val="21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574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1,955</w:t>
            </w:r>
          </w:p>
        </w:tc>
      </w:tr>
      <w:tr>
        <w:trPr>
          <w:trHeight w:val="21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57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1,536</w:t>
            </w:r>
          </w:p>
        </w:tc>
      </w:tr>
      <w:tr>
        <w:trPr>
          <w:trHeight w:val="21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574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1,172</w:t>
            </w:r>
          </w:p>
        </w:tc>
      </w:tr>
      <w:tr>
        <w:trPr>
          <w:trHeight w:val="21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57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679</w:t>
            </w:r>
          </w:p>
        </w:tc>
      </w:tr>
      <w:tr>
        <w:trPr>
          <w:trHeight w:val="21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5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760" w:type="dxa"/>
            <w:vAlign w:val="bottom"/>
            <w:shd w:val="clear" w:color="auto" w:fill="CFF0FC"/>
          </w:tcPr>
          <w:p>
            <w:pPr>
              <w:spacing w:after="0"/>
              <w:rPr>
                <w:sz w:val="18"/>
                <w:szCs w:val="18"/>
                <w:color w:val="auto"/>
              </w:rPr>
            </w:pPr>
          </w:p>
        </w:tc>
        <w:tc>
          <w:tcPr>
            <w:tcW w:w="57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6,586</w:t>
            </w:r>
          </w:p>
        </w:tc>
      </w:tr>
      <w:tr>
        <w:trPr>
          <w:trHeight w:val="21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5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09"/>
        </w:trPr>
        <w:tc>
          <w:tcPr>
            <w:tcW w:w="3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57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6,324</w:t>
            </w:r>
          </w:p>
        </w:tc>
      </w:tr>
      <w:tr>
        <w:trPr>
          <w:trHeight w:val="20"/>
        </w:trPr>
        <w:tc>
          <w:tcPr>
            <w:tcW w:w="9500" w:type="dxa"/>
            <w:vAlign w:val="bottom"/>
            <w:tcBorders>
              <w:bottom w:val="single" w:sz="8" w:color="auto"/>
            </w:tcBorders>
            <w:gridSpan w:val="2"/>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35"/>
        </w:trPr>
        <w:tc>
          <w:tcPr>
            <w:tcW w:w="95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As of November 1, 2020, the weighted average remaining lease term and discount rate for our operating leases follows:</w:t>
            </w:r>
          </w:p>
        </w:tc>
        <w:tc>
          <w:tcPr>
            <w:tcW w:w="1740" w:type="dxa"/>
            <w:vAlign w:val="bottom"/>
          </w:tcPr>
          <w:p>
            <w:pPr>
              <w:spacing w:after="0"/>
              <w:rPr>
                <w:sz w:val="24"/>
                <w:szCs w:val="24"/>
                <w:color w:val="auto"/>
              </w:rPr>
            </w:pPr>
          </w:p>
        </w:tc>
      </w:tr>
      <w:tr>
        <w:trPr>
          <w:trHeight w:val="210"/>
        </w:trPr>
        <w:tc>
          <w:tcPr>
            <w:tcW w:w="376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r>
      <w:tr>
        <w:trPr>
          <w:trHeight w:val="233"/>
        </w:trPr>
        <w:tc>
          <w:tcPr>
            <w:tcW w:w="3760" w:type="dxa"/>
            <w:vAlign w:val="bottom"/>
            <w:tcBorders>
              <w:bottom w:val="single" w:sz="8" w:color="auto"/>
            </w:tcBorders>
          </w:tcPr>
          <w:p>
            <w:pPr>
              <w:spacing w:after="0"/>
              <w:rPr>
                <w:sz w:val="20"/>
                <w:szCs w:val="20"/>
                <w:color w:val="auto"/>
              </w:rPr>
            </w:pPr>
          </w:p>
        </w:tc>
        <w:tc>
          <w:tcPr>
            <w:tcW w:w="57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November 1, 2020</w:t>
            </w:r>
          </w:p>
        </w:tc>
      </w:tr>
      <w:tr>
        <w:trPr>
          <w:trHeight w:val="21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lease term</w:t>
            </w:r>
          </w:p>
        </w:tc>
        <w:tc>
          <w:tcPr>
            <w:tcW w:w="57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 years</w:t>
            </w:r>
          </w:p>
        </w:tc>
      </w:tr>
      <w:tr>
        <w:trPr>
          <w:trHeight w:val="21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664"/>
        </w:trPr>
        <w:tc>
          <w:tcPr>
            <w:tcW w:w="3760" w:type="dxa"/>
            <w:vAlign w:val="bottom"/>
          </w:tcPr>
          <w:p>
            <w:pPr>
              <w:spacing w:after="0"/>
              <w:rPr>
                <w:sz w:val="24"/>
                <w:szCs w:val="24"/>
                <w:color w:val="auto"/>
              </w:rPr>
            </w:pPr>
          </w:p>
        </w:tc>
        <w:tc>
          <w:tcPr>
            <w:tcW w:w="5740" w:type="dxa"/>
            <w:vAlign w:val="bottom"/>
          </w:tcPr>
          <w:p>
            <w:pPr>
              <w:jc w:val="right"/>
              <w:ind w:right="3635"/>
              <w:spacing w:after="0"/>
              <w:rPr>
                <w:sz w:val="20"/>
                <w:szCs w:val="20"/>
                <w:color w:val="auto"/>
              </w:rPr>
            </w:pPr>
            <w:r>
              <w:rPr>
                <w:rFonts w:ascii="Times New Roman" w:cs="Times New Roman" w:eastAsia="Times New Roman" w:hAnsi="Times New Roman"/>
                <w:sz w:val="20"/>
                <w:szCs w:val="20"/>
                <w:color w:val="auto"/>
              </w:rPr>
              <w:t>I-29</w:t>
            </w:r>
          </w:p>
        </w:tc>
        <w:tc>
          <w:tcPr>
            <w:tcW w:w="1740" w:type="dxa"/>
            <w:vAlign w:val="bottom"/>
          </w:tcPr>
          <w:p>
            <w:pPr>
              <w:spacing w:after="0"/>
              <w:rPr>
                <w:sz w:val="24"/>
                <w:szCs w:val="24"/>
                <w:color w:val="auto"/>
              </w:rPr>
            </w:pPr>
          </w:p>
        </w:tc>
      </w:tr>
      <w:tr>
        <w:trPr>
          <w:trHeight w:val="339"/>
        </w:trPr>
        <w:tc>
          <w:tcPr>
            <w:tcW w:w="376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As of November 3, 2019, the weighted average remaining lease term and discount rate for our operating leases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2"/>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lease term</w:t>
            </w:r>
          </w:p>
        </w:tc>
        <w:tc>
          <w:tcPr>
            <w:tcW w:w="5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 years</w:t>
            </w:r>
          </w:p>
        </w:tc>
      </w:tr>
      <w:tr>
        <w:trPr>
          <w:trHeight w:val="213"/>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Litigation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Payable – Capital Expenditures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1, 2020, November 3, 2019, and May 3, 2020, we had total amounts due regarding capital expenditures totaling $68,000, $402,000, and $107,000, respectively, which pertained to outstanding vendor invoices, none of which were financed. As of November 3, 2019, the total amount due of $402,000 consisted of $398,000 and $4,000 that were classified as (i) accounts payable – capital expenditures and (ii) within current liabilities – discontinued operation, respectively. These total outstanding amounts were required to be paid based on normal credit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Commitments – Capital Expenditures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1, 2020, we had open purchase commitments to acquire equipment for our mattress fabrics segment totaling $5.0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Statutory Reserves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reaches 50% of the company’s registered capital. As of November 1, 2020, the statutory surplus reserve fund represents the 50% registered capital limit, and therefore, our subsidiary in China is not required to transfer 10% of its net income in accordance with PRC accounting rules and regulations.</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November 1, 2020, the company’s statutory surplus reserve was $4.3 million. The surplus reserve fund is non-distributable other than during liquidation and can be used to fund previous years’ losses, if any. The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subsidiaries located in China can transfer funds to the parent company except for the statutory surplus reserve of $4.3 million to assist with debt repayment, capital expenditures, and other expenses of the company’s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part of our comprehensive response to the COVID-19 pandemic, we announced on April 3, 2020, that our board of directors temporarily suspended the share repurchase program given the ongoing economic disruption and uncertainty. Accordingly, we did not purchase any shares of our common stock during the six-month period ending November 1, 2020. Additionally, we did not purchase any shares of our common stock during the six-month period ending November 3,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1, 2020, we had $5.0 million available for repurchases of our common stock.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21. Dividend Program</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December 3, 2020, we announced that our board of directors approved a quarterly cash dividend of $0.11 per share. This payment will be made on January 18, 2021, to shareholders of record as of January 8, 2021.</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six-months ended November 1, 2020, dividend payments totaled $2.6 million, which represented quarterly dividend payments of $0.105 per share. During the six-months ended November 3, 2019, dividend payments totaled $2.5 million, which represented quarterly dividend payments of $0.10 per share.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and economic conditions, and other factors we consider relevant.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the company will realize these expectations, meet its guidance, or that these beliefs will prove correct.</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the strengthening of currencies in Canada and China can have a negative impact on our sales of products produced in those places. Also, economic and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or valuation allowances could affect our financial results. Finally, increases in market prices for petrochemical products can significantly affect the prices we pay for raw materials, and in turn, increase our operating costs and decrease our profitability.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4" w:name="page35"/>
    <w:bookmarkEnd w:id="34"/>
    <w:p>
      <w:pPr>
        <w:spacing w:after="0"/>
        <w:tabs>
          <w:tab w:leader="none" w:pos="1060" w:val="left"/>
        </w:tabs>
        <w:rPr>
          <w:sz w:val="20"/>
          <w:szCs w:val="20"/>
          <w:color w:val="auto"/>
        </w:rPr>
      </w:pPr>
      <w:r>
        <w:rPr>
          <w:rFonts w:ascii="Times New Roman" w:cs="Times New Roman" w:eastAsia="Times New Roman" w:hAnsi="Times New Roman"/>
          <w:sz w:val="20"/>
          <w:szCs w:val="20"/>
          <w:u w:val="single" w:color="auto"/>
          <w:color w:val="auto"/>
        </w:rPr>
        <w:t>ITEM 2.</w:t>
      </w:r>
      <w:r>
        <w:rPr>
          <w:sz w:val="20"/>
          <w:szCs w:val="20"/>
          <w:color w:val="auto"/>
        </w:rPr>
        <w:tab/>
      </w:r>
      <w:r>
        <w:rPr>
          <w:rFonts w:ascii="Times New Roman" w:cs="Times New Roman" w:eastAsia="Times New Roman" w:hAnsi="Times New Roman"/>
          <w:sz w:val="19"/>
          <w:szCs w:val="19"/>
          <w:u w:val="single" w:color="auto"/>
          <w:color w:val="auto"/>
        </w:rPr>
        <w:t>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Financial Statements and Notes and other exhibits included elsewhere in this report.</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sold our majority ownership interest in eLuxury, LLC (“eLuxury”) on March 31, 2020, resulting in the elimination of our home accessories segment at such time. Accordingly, the results of operations and assets and liabilities for this segment are excluded from the company’s continuing operations for the three-month and six-month periods ended November 3, 2019 and presented as a discontinued operation in this report. See Note 3 - Home Accessories Segment - Discontinued Operation, of the consolidated financial statements for further details.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six months ended November 1, 2020, and November 3, 2019, represent 26-week and 27-week periods, respectively.</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continuing operations are classified into two business segments: mattress fabrics and upholstery fabrics. The mattress fabrics segment manufactures, sources, and sells fabrics and mattress covers primarily to bedding manufacturers. We have wholly owned mattress fabric operations located in Stokesdale, NC, High Point, NC, and Quebec, Canada, as well as a fifty-percent owned cut and sew mattress cover operation located in Haiti.</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upholstery fabrics segment develops, sources, manufactures, and sells fabrics primarily to residential and commercial furniture manufacturers. We have wholly owned upholstery fabric operations located in Shanghai, China, and Burlington, NC. Additionally, Read Window Products, LLC (“Read”), a wholly owned subsidiary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current business segments based upon income (loss) from continuing operations before certain unallocated corporate expenses, asset impairments, restructuring credit (expense) and related charges, and other non-recurring items. Cost of sales in each segment includes costs to develop, manufacture, or source our products, including costs such as raw material costs and finished goods purchases, direct and indirect labor, overhead, and incoming freight charges. Unallocated corporate expenses primarily represent compensation and benefits for certain executive officers and their support staff, all costs associated with being a public company, and other miscellaneous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Results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80" w:type="dxa"/>
            <w:vAlign w:val="bottom"/>
            <w:gridSpan w:val="3"/>
          </w:tcPr>
          <w:p>
            <w:pPr>
              <w:jc w:val="right"/>
              <w:ind w:right="1359"/>
              <w:spacing w:after="0"/>
              <w:rPr>
                <w:sz w:val="20"/>
                <w:szCs w:val="20"/>
                <w:color w:val="auto"/>
              </w:rPr>
            </w:pPr>
            <w:r>
              <w:rPr>
                <w:rFonts w:ascii="Times New Roman" w:cs="Times New Roman" w:eastAsia="Times New Roman" w:hAnsi="Times New Roman"/>
                <w:sz w:val="16"/>
                <w:szCs w:val="16"/>
                <w:color w:val="auto"/>
              </w:rPr>
              <w:t>Three Months Ended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November 1, 2020</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November 3, 2019</w:t>
            </w:r>
          </w:p>
        </w:tc>
        <w:tc>
          <w:tcPr>
            <w:tcW w:w="15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1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76,851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69,550</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12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14,261</w:t>
            </w:r>
          </w:p>
        </w:tc>
        <w:tc>
          <w:tcPr>
            <w:tcW w:w="22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13,526</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1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19.4%</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8"/>
              </w:rPr>
              <w:t>(80)bp</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60" w:type="dxa"/>
            <w:vAlign w:val="bottom"/>
          </w:tcPr>
          <w:p>
            <w:pPr>
              <w:spacing w:after="0"/>
              <w:rPr>
                <w:sz w:val="18"/>
                <w:szCs w:val="18"/>
                <w:color w:val="auto"/>
              </w:rPr>
            </w:pPr>
          </w:p>
        </w:tc>
        <w:tc>
          <w:tcPr>
            <w:tcW w:w="16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9,743</w:t>
            </w:r>
          </w:p>
        </w:tc>
        <w:tc>
          <w:tcPr>
            <w:tcW w:w="220" w:type="dxa"/>
            <w:vAlign w:val="bottom"/>
          </w:tcPr>
          <w:p>
            <w:pPr>
              <w:spacing w:after="0"/>
              <w:rPr>
                <w:sz w:val="18"/>
                <w:szCs w:val="18"/>
                <w:color w:val="auto"/>
              </w:rPr>
            </w:pPr>
          </w:p>
        </w:tc>
        <w:tc>
          <w:tcPr>
            <w:tcW w:w="184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9,117</w:t>
            </w:r>
          </w:p>
        </w:tc>
        <w:tc>
          <w:tcPr>
            <w:tcW w:w="15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57"/>
        </w:trPr>
        <w:tc>
          <w:tcPr>
            <w:tcW w:w="48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4,518</w:t>
            </w: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4,409</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1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8"/>
                <w:szCs w:val="18"/>
                <w:color w:val="auto"/>
              </w:rPr>
            </w:pPr>
          </w:p>
        </w:tc>
        <w:tc>
          <w:tcPr>
            <w:tcW w:w="1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6.3%</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(40)bp</w:t>
            </w: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taxes from continuing operations</w:t>
            </w:r>
          </w:p>
        </w:tc>
        <w:tc>
          <w:tcPr>
            <w:tcW w:w="1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3,897</w:t>
            </w: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4,547</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1,613</w:t>
            </w:r>
          </w:p>
        </w:tc>
        <w:tc>
          <w:tcPr>
            <w:tcW w:w="22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2,279</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2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2,384</w:t>
            </w:r>
          </w:p>
        </w:tc>
        <w:tc>
          <w:tcPr>
            <w:tcW w:w="2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2,252</w:t>
            </w:r>
          </w:p>
        </w:tc>
        <w:tc>
          <w:tcPr>
            <w:tcW w:w="1500" w:type="dxa"/>
            <w:vAlign w:val="bottom"/>
            <w:tcBorders>
              <w:bottom w:val="single" w:sz="8" w:color="auto"/>
            </w:tcBorders>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5"/>
        </w:trPr>
        <w:tc>
          <w:tcPr>
            <w:tcW w:w="4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80" w:type="dxa"/>
            <w:vAlign w:val="bottom"/>
            <w:gridSpan w:val="3"/>
          </w:tcPr>
          <w:p>
            <w:pPr>
              <w:jc w:val="right"/>
              <w:ind w:right="1439"/>
              <w:spacing w:after="0"/>
              <w:rPr>
                <w:sz w:val="20"/>
                <w:szCs w:val="20"/>
                <w:color w:val="auto"/>
              </w:rPr>
            </w:pPr>
            <w:r>
              <w:rPr>
                <w:rFonts w:ascii="Times New Roman" w:cs="Times New Roman" w:eastAsia="Times New Roman" w:hAnsi="Times New Roman"/>
                <w:sz w:val="16"/>
                <w:szCs w:val="16"/>
                <w:color w:val="auto"/>
              </w:rPr>
              <w:t>Six Months Ended</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November 1, 2020</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November 3, 2019</w:t>
            </w:r>
          </w:p>
        </w:tc>
        <w:tc>
          <w:tcPr>
            <w:tcW w:w="15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1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141,315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140,269</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12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24,162</w:t>
            </w:r>
          </w:p>
        </w:tc>
        <w:tc>
          <w:tcPr>
            <w:tcW w:w="22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25,938</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1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18.5%</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8"/>
              </w:rPr>
              <w:t>(140)bp</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17,761</w:t>
            </w:r>
          </w:p>
        </w:tc>
        <w:tc>
          <w:tcPr>
            <w:tcW w:w="22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18,266</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6,401</w:t>
            </w: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7,707</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1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1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5.5%</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(100)bp</w:t>
            </w: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taxes from continuing operations</w:t>
            </w:r>
          </w:p>
        </w:tc>
        <w:tc>
          <w:tcPr>
            <w:tcW w:w="1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5,421</w:t>
            </w: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8,010</w:t>
            </w:r>
          </w:p>
        </w:tc>
        <w:tc>
          <w:tcPr>
            <w:tcW w:w="15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5,937</w:t>
            </w:r>
          </w:p>
        </w:tc>
        <w:tc>
          <w:tcPr>
            <w:tcW w:w="22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3,971</w:t>
            </w: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from continuing operations</w:t>
            </w:r>
          </w:p>
        </w:tc>
        <w:tc>
          <w:tcPr>
            <w:tcW w:w="12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(349)</w:t>
            </w:r>
          </w:p>
        </w:tc>
        <w:tc>
          <w:tcPr>
            <w:tcW w:w="2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4,036</w:t>
            </w:r>
          </w:p>
        </w:tc>
        <w:tc>
          <w:tcPr>
            <w:tcW w:w="1500" w:type="dxa"/>
            <w:vAlign w:val="bottom"/>
            <w:tcBorders>
              <w:bottom w:val="single" w:sz="8" w:color="auto"/>
            </w:tcBorders>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Overall, our net sales for the second quarter of fiscal 2021 increased by 10.5% compared with the same period a year ago, with mattress fabrics sales increasing 12.2% and upholstery fabrics sales increasing 8.7%. Our net sales for the first half of fiscal 2021 increased by 0.7% compared with the same period a year ago, with mattress fabrics sales increasing 2.2% and upholstery fabrics sales decreasing 0.9%. The first half of fiscal 2021 had 26 weeks compared to 27 weeks for the first half of fiscal 2020.</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net sales for both our mattress and upholstery fabrics segments for the second quarter reflects a surge in demand driven by a greater consumer focus on the home environment. It also reflects our ability to service this increase in demand and respond quickly to meet the needs of our customers through our flexible global platform and the support of our long-term supplier relationships.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increase in net sales for the second quarter reversed a decrease in net sales for both segments during the first quarter of fiscal 2021 that resulted from the economic disruption caused by the COVID-19 pandemic, especially in the beginning of the first quarter as customers and retail stores began to resume operations following pandemic-related shutdowns. The net result was an increase in mattress fabrics net sales and a decrease in upholstery fabrics net sales for the first half of fiscal 2021 compared with the prior-year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Before Income Taxes from Continuing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income before income taxes from continuing operations for the second quarter was $3.9 million, compared with $4.5 million for the prior-year period, while income before income taxes from continuing operations for the first six months of fiscal 2021 was $5.4 million, compared with $8.0 million for the prior year period.</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Operating performance for the second quarter of fiscal 2021 was materially affected by unfavorable foreign exchange rate fluctuations associated with our operations in China. It was also pressured by an increase in SG&amp;A expense primarily due to higher accrued incentive compensation expense, offset somewhat by reduced spending on travel and entertainment and marketing expenses, as compared with the same period a year ago. In addition to these factors, operating performance for the first half of fiscal 2020 was affected by the disruption form the COVID-19 pandemic during the first quarter, as well as significant inventory reductions and manufacturing inefficiencies associated with the dramatic ramp up in operations for our mattress fabrics segment during the first quarter.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recorded income tax expense of $5.9 million, or 109.5% of income before income tax expense from continuing operations for the six-month period ending November 1, 2020, compared with income tax expense of $4.0 million, or 49.6% of income before income tax expense from continuing operations for the prior year period. Income tax expense during the first half of fiscal 2021 included a $4.1 million net income tax charge, which consists of a $7.6 million non-cash income tax charge to record a full valuation allowance against the company’s U.S. net deferred income tax assets, partially offset by a $3.5 million non-cash income tax benefit resulting from the re-establishing of certain U.S. federal net operating loss carryforwards in connection with U.S. Treasury regulations enacted during the first quarter of fiscal 2021 regarding the Global Intangible Low Taxed Income (“GILTI”) tax provisions of the Tax Cuts and Jobs Act of 2017. Income tax expense during the first half of fiscal 2020 included $1.0 million of GILTI tax that did not recur in fiscal 2021 due to the recent change in the GILTI tax regulations as noted above. Additionally, our effective income tax rates for the first half of fiscal 2021 and fiscal 2020 were adversely affected by the continued shift in the mix of our taxable income that has been mostly earned by our foreign operations located in China and Canada, which have higher income tax rates than the U.S.</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15 of the consolidated financial statements for further details regarding our provision for income taxes from continuing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November 1, 2020, our cash and cash equivalents, short-term investments (available for sale), and short-term and long-term investments (held-to-maturity) (collectively “cash and investments”) totaled $56.5 million compared with $77.1 million as of May 3, 2020.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6" w:name="page37"/>
    <w:bookmarkEnd w:id="36"/>
    <w:p>
      <w:pPr>
        <w:jc w:val="both"/>
        <w:spacing w:after="0" w:line="244" w:lineRule="auto"/>
        <w:rPr>
          <w:sz w:val="20"/>
          <w:szCs w:val="20"/>
          <w:color w:val="auto"/>
        </w:rPr>
      </w:pPr>
      <w:r>
        <w:rPr>
          <w:rFonts w:ascii="Times New Roman" w:cs="Times New Roman" w:eastAsia="Times New Roman" w:hAnsi="Times New Roman"/>
          <w:sz w:val="20"/>
          <w:szCs w:val="20"/>
          <w:color w:val="auto"/>
        </w:rPr>
        <w:t>The decrease in our cash and investments from the end of fiscal 2020 is attributable to repayment of all of the outstanding borrowings associated with our U.S. and China lines of credit and the loan we received under the Paycheck Protection Program of the Coronavirus Aid, Relief and Economic Security Act (“CARES Act”) of 2020 (such loan, the “PPP loan”), which borrowings totaled $38.4 million. Excluding the repayments made on our lines of credit and the PPP loan, our cash and investments as of November 1, 2020, would have increased $17.8 million as compared to May 3, 2020. This increase was mostly due to (i) net cash provided by operating activities totaling $22.7 million, partially offset by (ii) cash payments of $2.6 million in the form of a regular quarterly dividend payment to shareholders; and (iii) $2.0 million of capital expenditures that were primarily related to our mattress fabrics segment.</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net cash provided by operating activities was $22.7 million during the first half of fiscal 2021, compared with $8.2 million during the first half of fiscal 2020. This increase reflects a focused attention on working capital management. Additionally, our discontinued operation had net cash used in operating activities totaling $2.2 million and net cash used in investing activities totaling $32,000 during the first half of fiscal 2020. Our discontinued operation had net cash provided by financing activities, all of which were loan proceeds and capital contributions from the company and the former non-controlling interest holder of eLuxury, totaling $2.4 million during the first half of fiscal 2020. We believe our liquidity has improved in the absence of the former home accessories segment due to the significant losses incurred by that segment and the funding of its working capital requirements primarily by us through loans and capital contributions that are no longer required.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1, 2020, there were no outstanding borrowings under our lines of credit.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Program</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December 3, 2020, we announced that our board of directors approved a quarterly cash dividend of $0.11 per share, or $0.44 per share on an annualized basis. This payment will be made on January 18, 2021, to shareholders of record as of January 8, 2021.</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six-month period ended November 1, 2020, dividend payments totaled $2.6 million, which represented quarterly dividend payments of $0.105 per share. During the six-month period ended November 3, 2019, dividend payments totaled $2.5 million, which represented quarterly dividend payments of $0.10 per share.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and economic conditions, and other factors we consider relevant.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Common Stock Repurchase Program</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part of our comprehensive response to the COVID-19 global pandemic, we announced on April 3, 2020, that our board of directors temporarily suspended the share repurchase program given the ongoing economic disruption and uncertainty. Accordingly, we did not purchase any shares of our common stock through the end of our second quarter of fiscal 2021. Additionally, we did not purchase any share of our common stock during the six-month period ended November 3,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1, 2020, we had $5.0 million available for repurchases of our common stock.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Three Months Ended</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November 1, 2020</w:t>
            </w:r>
          </w:p>
        </w:tc>
        <w:tc>
          <w:tcPr>
            <w:tcW w:w="180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November 3, 2019</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Change</w:t>
            </w:r>
          </w:p>
        </w:tc>
      </w:tr>
      <w:tr>
        <w:trPr>
          <w:trHeight w:val="212"/>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2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40,030</w:t>
            </w:r>
          </w:p>
        </w:tc>
        <w:tc>
          <w:tcPr>
            <w:tcW w:w="76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35,666</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12.2%</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220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7,584</w:t>
            </w:r>
          </w:p>
        </w:tc>
        <w:tc>
          <w:tcPr>
            <w:tcW w:w="7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6,247</w:t>
            </w: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21.4%</w:t>
            </w:r>
          </w:p>
        </w:tc>
      </w:tr>
      <w:tr>
        <w:trPr>
          <w:trHeight w:val="21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2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7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17.5%</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140bp</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3,202</w:t>
            </w:r>
          </w:p>
        </w:tc>
        <w:tc>
          <w:tcPr>
            <w:tcW w:w="7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2,953</w:t>
            </w: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4,382</w:t>
            </w:r>
          </w:p>
        </w:tc>
        <w:tc>
          <w:tcPr>
            <w:tcW w:w="7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3,294</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33.0%</w:t>
            </w:r>
          </w:p>
        </w:tc>
      </w:tr>
      <w:tr>
        <w:trPr>
          <w:trHeight w:val="21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2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9.2%</w:t>
            </w:r>
          </w:p>
        </w:tc>
        <w:tc>
          <w:tcPr>
            <w:tcW w:w="13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170bp</w:t>
            </w:r>
          </w:p>
        </w:tc>
      </w:tr>
      <w:tr>
        <w:trPr>
          <w:trHeight w:val="455"/>
        </w:trPr>
        <w:tc>
          <w:tcPr>
            <w:tcW w:w="4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31"/>
        </w:trPr>
        <w:tc>
          <w:tcPr>
            <w:tcW w:w="48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Six Months Ended</w:t>
            </w: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9"/>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November 1, 2020</w:t>
            </w:r>
          </w:p>
        </w:tc>
        <w:tc>
          <w:tcPr>
            <w:tcW w:w="180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November 3, 2019</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Change</w:t>
            </w:r>
          </w:p>
        </w:tc>
      </w:tr>
      <w:tr>
        <w:trPr>
          <w:trHeight w:val="212"/>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2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76,133</w:t>
            </w:r>
          </w:p>
        </w:tc>
        <w:tc>
          <w:tcPr>
            <w:tcW w:w="76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74,525</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220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12,191</w:t>
            </w:r>
          </w:p>
        </w:tc>
        <w:tc>
          <w:tcPr>
            <w:tcW w:w="7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11,938</w:t>
            </w: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2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7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16.0%</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0bp</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5,964</w:t>
            </w:r>
          </w:p>
        </w:tc>
        <w:tc>
          <w:tcPr>
            <w:tcW w:w="7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6,025</w:t>
            </w: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6,227</w:t>
            </w:r>
          </w:p>
        </w:tc>
        <w:tc>
          <w:tcPr>
            <w:tcW w:w="7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5,913</w:t>
            </w:r>
          </w:p>
        </w:tc>
        <w:tc>
          <w:tcPr>
            <w:tcW w:w="130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2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7.9%</w:t>
            </w:r>
          </w:p>
        </w:tc>
        <w:tc>
          <w:tcPr>
            <w:tcW w:w="13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30bp</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mattress fabrics net sales for the second quarter of fiscal 2021 reflects an increase in demand driven by greater consumer awareness and appreciation for overall comfort and wellness within the home environment as a result of the COVID-19 pandemic. This has led to an increase in discretionary spending on home furnishing products, including mattresses.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quarter, we built on the sales momentum generated during the last eight weeks of the first quarter by utilizing our product-driven strategy for both mattress fabrics and sewn covers, as well as our global supply chain and dedicated attention to our customers. Our global manufacturing and sourcing operations in the U.S., Canada, Haiti, Asia, and Turkey have enabled us to support current demand and serve the needs of our customers.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sewn mattress cover business also experienced continued growth, with demand trends exceeding pre-COVID levels. This trend reflects the ongoing growth in the boxed bedding space, and we continue to work collaboratively with both new and existing customers to develop fresh, innovative products. Our efficient global platform, along with our ability to maximize our fully vertical supply chain with product offerings from fabrics to sewn covers, allows us to support the rapidly changing demands of our customers. Additionally, our building expansion in Haiti was completed during the second quarter, providing additional capacity and enhancing our ability to produce sewn covers.</w:t>
      </w:r>
    </w:p>
    <w:p>
      <w:pPr>
        <w:spacing w:after="0" w:line="1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increase in net sales for the second quarter reversed a decrease in net sales during the first quarter of fiscal 2021 that resulted from the economic disruption caused by the COVID-19 pandemic, especially in the beginning of the first quarter as customers and retail stores began to resume operations following pandemic-related shutdowns. The net result was an increase in mattress fabrics net sales for the first half of fiscal 2021 compared with the prior-year period. The first half of fiscal 2021 was a 26-week period, compared with a 27-week period for the first half of fiscal 2020.</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this uncertain environment, we have managed our business with a firm focus on creative designs, innovative fabric and sewn cover products, and customer service. These efforts are supported by our ongoing developments in product innovation, including expanding our specialty finish options and leveraging our virtual 3D image rendering services for design collaboration opportunities. We expect that our increased capacity in North America resulting from our $4.0 million investment in additional knit machines will be available during the fourth quarter of fiscal 2021. We also believe that the domestic mattress industry, and, in turn, our business, will benefit from the recent preliminary anti-dumping duties imposed by the U.S. Department of Commerce on mattress imports from seven countries for engaging in unfair trade practices relating to low-priced mattress imports.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Despite positive sales trends during the second quarter and first six months of fiscal 2021, our customers’ ability to meet their demand is being challenged by supply chain constraints related primarily to non-fabric components, as well as labor shortages, which could temporarily delay their scheduled delivery of orders for mattress fabrics and sewn mattress covers during the second half of fiscal 2021. Additionally, the ongoing impact and duration of the COVID-19 pandemic remains unknown and depends on factors beyond our knowledge or control, including the duration and severity of the outbreak, actions taken to contain its spread and mitigate the public health and economic effects, the short- and long-term disruption of the global economy, consumer confidence, unemployment, employee health, and the financial health of our customers, suppliers, and distribution channels. At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8" w:name="page39"/>
    <w:bookmarkEnd w:id="3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this time, we cannot reasonably estimate the ongoing impact of the COVID-19 pandemic on our mattress fabrics segment; however, if conditions relating to the pandemic worsen, the disruption could adversely affect our operations and financial performance.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increase in mattress fabrics profitability during the second quarter and first six months of fiscal 2021 was primarily due to the benefits of fixed cost absorption from higher sales and improved operating efficiencies resulting from fully maximizing our production capacity.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investment in unconsolidated joint venture.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00" w:type="dxa"/>
            <w:vAlign w:val="bottom"/>
            <w:tcBorders>
              <w:top w:val="single" w:sz="8" w:color="auto"/>
              <w:bottom w:val="single" w:sz="8" w:color="auto"/>
            </w:tcBorders>
            <w:gridSpan w:val="2"/>
          </w:tcPr>
          <w:p>
            <w:pPr>
              <w:ind w:left="2240"/>
              <w:spacing w:after="0"/>
              <w:rPr>
                <w:sz w:val="20"/>
                <w:szCs w:val="20"/>
                <w:color w:val="auto"/>
              </w:rPr>
            </w:pPr>
            <w:r>
              <w:rPr>
                <w:rFonts w:ascii="Times New Roman" w:cs="Times New Roman" w:eastAsia="Times New Roman" w:hAnsi="Times New Roman"/>
                <w:sz w:val="16"/>
                <w:szCs w:val="16"/>
                <w:color w:val="auto"/>
              </w:rPr>
              <w:t>November 1, 2020</w:t>
            </w:r>
          </w:p>
        </w:tc>
        <w:tc>
          <w:tcPr>
            <w:tcW w:w="15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November 3, 2019</w:t>
            </w:r>
          </w:p>
        </w:tc>
        <w:tc>
          <w:tcPr>
            <w:tcW w:w="11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66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15,914</w:t>
            </w:r>
          </w:p>
        </w:tc>
        <w:tc>
          <w:tcPr>
            <w:tcW w:w="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11,224</w:t>
            </w:r>
          </w:p>
        </w:tc>
        <w:tc>
          <w:tcPr>
            <w:tcW w:w="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12,212</w:t>
            </w: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26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24,200</w:t>
            </w:r>
          </w:p>
        </w:tc>
        <w:tc>
          <w:tcPr>
            <w:tcW w:w="5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27,751</w:t>
            </w:r>
          </w:p>
        </w:tc>
        <w:tc>
          <w:tcPr>
            <w:tcW w:w="4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26,620</w:t>
            </w:r>
          </w:p>
        </w:tc>
      </w:tr>
      <w:tr>
        <w:trPr>
          <w:trHeight w:val="21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38,818</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42,899</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40,682</w:t>
            </w: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26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1,186</w:t>
            </w:r>
          </w:p>
        </w:tc>
        <w:tc>
          <w:tcPr>
            <w:tcW w:w="5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w:t>
            </w:r>
          </w:p>
        </w:tc>
        <w:tc>
          <w:tcPr>
            <w:tcW w:w="4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362</w:t>
            </w:r>
          </w:p>
        </w:tc>
      </w:tr>
      <w:tr>
        <w:trPr>
          <w:trHeight w:val="216"/>
        </w:trPr>
        <w:tc>
          <w:tcPr>
            <w:tcW w:w="5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in unconsolidated joint venture</w:t>
            </w:r>
          </w:p>
        </w:tc>
        <w:tc>
          <w:tcPr>
            <w:tcW w:w="26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1,859</w:t>
            </w:r>
          </w:p>
        </w:tc>
        <w:tc>
          <w:tcPr>
            <w:tcW w:w="5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1,504</w:t>
            </w: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1,602</w:t>
            </w:r>
          </w:p>
        </w:tc>
      </w:tr>
      <w:tr>
        <w:trPr>
          <w:trHeight w:val="210"/>
        </w:trPr>
        <w:tc>
          <w:tcPr>
            <w:tcW w:w="50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81,977</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83,548</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81,478</w:t>
            </w:r>
          </w:p>
        </w:tc>
      </w:tr>
    </w:tbl>
    <w:p>
      <w:pPr>
        <w:spacing w:after="0" w:line="382" w:lineRule="exact"/>
        <w:rPr>
          <w:sz w:val="20"/>
          <w:szCs w:val="20"/>
          <w:color w:val="auto"/>
        </w:rPr>
      </w:pPr>
    </w:p>
    <w:p>
      <w:pPr>
        <w:ind w:right="17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November 1, 2020, accounts receivable increased by $4.7 million, or 41.8%, compared with November 3, 2019. This increase reflects the increase in net sales during the second quarter of fiscal 2021 compared with the prior-year period. Net sales during the second quarter of fiscal 2021 were $40.0 million compared with $35.7 million during the second quarter of fiscal 2020. Additionally, this increase reflects slower cash collections on accounts receivable during the second quarter of fiscal 2021 compared with the second quarter of fiscal 2020 stemming from current economic conditions associated with the COVID-19 pandemic that were not present during the second quarter of fiscal 2020.</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November 1, 2020, accounts receivable increased by $3.7 million, or 30.3%, compared with May 3, 2020. This increase reflects the substantial increase in net sales during the second quarter of fiscal 2021 compared with the fourth quarter of fiscal 2020. Net sales during the second quarter of fiscal 2021 were $40.0 million, an increase of $16.6 million, or 71%, compared with net sales of $23.4 million during the fourth quarter of fiscal 2020. Although we experienced a substantial increase in net sales during the second quarter of fiscal 2021, the increase in our accounts receivable also reflects faster cash collections during the second quarter of fiscal 2021 as compared with the fourth quarter of fiscal 2020. The faster cash collections stem from our customers’ return to making payments based on normal credit terms as opposed to the extended terms granted during the fourth quarter of fiscal 2020 in response to the COVID-19 pandemic.</w:t>
      </w:r>
    </w:p>
    <w:p>
      <w:pPr>
        <w:spacing w:after="0" w:line="1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Days’ sales outstanding was 36 days for the second quarter of fiscal 2021, as compared with 29 days for the second quarter of fiscal 2020 and 48 days for the fourth quarter of fiscal 2020.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November 1, 2020, inventory decreased by $3.6 million, or 12.8%, compared with November 3, 2019. Additionally, as of November 1, 2020, inventory decreased by $2.4 million, or 9.1%, compared with May 3, 2020. Although our net sales increased during the second quarter of fiscal 2021 compared with the second quarter and fourth quarter of fiscal 2020, our trends in inventory reflect improved inventory management by better aligning our inventory purchases to reflect current demand trends.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$38.8 million as of November 1, 2020, represents property, plant, and equipment of $26.5 million and $12.3 million located in the U.S. and Canada, respectively. The $42.9 million as of November 3, 2019, represents property, plant, and equipment of $30.5 million and $12.4 million located in the U.S. and Canada, respectively. The $40.7 million as of May 3, 2020, represents property, plant, and equipment located of $27.7 million and $13.0 million located in the U.S. and Canada,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9" w:name="page40"/>
    <w:bookmarkEnd w:id="39"/>
    <w:p>
      <w:pPr>
        <w:jc w:val="both"/>
        <w:spacing w:after="0" w:line="295" w:lineRule="auto"/>
        <w:rPr>
          <w:sz w:val="20"/>
          <w:szCs w:val="20"/>
          <w:color w:val="auto"/>
        </w:rPr>
      </w:pPr>
      <w:r>
        <w:rPr>
          <w:rFonts w:ascii="Times New Roman" w:cs="Times New Roman" w:eastAsia="Times New Roman" w:hAnsi="Times New Roman"/>
          <w:sz w:val="19"/>
          <w:szCs w:val="19"/>
          <w:color w:val="auto"/>
        </w:rPr>
        <w:t>As of November 1, 2020, property, plant, and equipment decreased as compared with November 3, 2019, and May 3, 2020. This trend represents a decrease in capital expenditures resulting from prior cost cutting measures as part of our comprehensive response to COVID-19.</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second half of fiscal 2021, we plan to invest $4 million in additional knit machines to expand our capacity in North America to support our future growth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$1.2 million as of November 1, 2020, represents right of use assets of $696,000 and $490,000 located in the U.S. and Canada, respectively. The $170,000 as of November 3, 2019, and the $362,000 as of May 3, 2020, represent right of use assets located in the U.S.</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1, 2020, right of use assets increased as compared with November 3, 2019, and May 3, 2020. This increase reflects the addition of a new warehouse lease agreement associated with our operation located in Canada that was entered into during the first quarter of fiscal 2021. This lease agreement has a three-year term and is set to expire during fiscal 2023. The amount of the change associated with our right of use assets between reporting periods is based on the length of the lease term remaining on our leases prior to their expiration or option to renew in relation to the reporting periods presented.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 in Unconsolidated Joint Venture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investment in unconsolidated joint venture represents our fifty percent ownership of Class International Holdings Ltd. (See Note 8 to the consolidated financial statements for further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Three Months Ended</w:t>
            </w:r>
          </w:p>
        </w:tc>
        <w:tc>
          <w:tcPr>
            <w:tcW w:w="9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219"/>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14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November 1, 2020</w:t>
            </w:r>
          </w:p>
        </w:tc>
        <w:tc>
          <w:tcPr>
            <w:tcW w:w="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November 3, 2019</w:t>
            </w:r>
          </w:p>
        </w:tc>
        <w:tc>
          <w:tcPr>
            <w:tcW w:w="8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 Change</w:t>
            </w:r>
          </w:p>
        </w:tc>
      </w:tr>
      <w:tr>
        <w:trPr>
          <w:trHeight w:val="212"/>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Non-U.S. Produced</w:t>
            </w:r>
          </w:p>
        </w:tc>
        <w:tc>
          <w:tcPr>
            <w:tcW w:w="1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34,473</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86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30,805</w:t>
            </w:r>
          </w:p>
        </w:tc>
        <w:tc>
          <w:tcPr>
            <w:tcW w:w="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Produced</w:t>
            </w:r>
          </w:p>
        </w:tc>
        <w:tc>
          <w:tcPr>
            <w:tcW w:w="17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2,348</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8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3,079</w:t>
            </w: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0"/>
        </w:trPr>
        <w:tc>
          <w:tcPr>
            <w:tcW w:w="2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36,821</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86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33,884</w:t>
            </w:r>
          </w:p>
        </w:tc>
        <w:tc>
          <w:tcPr>
            <w:tcW w:w="8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100%</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455"/>
        </w:trPr>
        <w:tc>
          <w:tcPr>
            <w:tcW w:w="2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04"/>
        </w:trPr>
        <w:tc>
          <w:tcPr>
            <w:tcW w:w="2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Six Months Ended</w:t>
            </w: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9"/>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November 1, 2020</w:t>
            </w:r>
          </w:p>
        </w:tc>
        <w:tc>
          <w:tcPr>
            <w:tcW w:w="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November 3, 2019</w:t>
            </w:r>
          </w:p>
        </w:tc>
        <w:tc>
          <w:tcPr>
            <w:tcW w:w="8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 Change</w:t>
            </w:r>
          </w:p>
        </w:tc>
      </w:tr>
      <w:tr>
        <w:trPr>
          <w:trHeight w:val="213"/>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Non-U.S. Produced</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60,484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60,434</w:t>
            </w:r>
          </w:p>
        </w:tc>
        <w:tc>
          <w:tcPr>
            <w:tcW w:w="8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92%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Produced</w:t>
            </w:r>
          </w:p>
        </w:tc>
        <w:tc>
          <w:tcPr>
            <w:tcW w:w="17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5,310</w:t>
            </w: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8%</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9"/>
        </w:trPr>
        <w:tc>
          <w:tcPr>
            <w:tcW w:w="2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65,182</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6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65,744</w:t>
            </w:r>
          </w:p>
        </w:tc>
        <w:tc>
          <w:tcPr>
            <w:tcW w:w="8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100%</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r>
    </w:tbl>
    <w:p>
      <w:pPr>
        <w:spacing w:after="0" w:line="200" w:lineRule="exact"/>
        <w:rPr>
          <w:sz w:val="20"/>
          <w:szCs w:val="20"/>
          <w:color w:val="auto"/>
        </w:rPr>
      </w:pP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upholstery fabrics net sales during the second quarter of fiscal 2021 reflects a significant increase in sales for our residential upholstery business, which was driven primarily by the increased consumer focus on the at-home experience and overall comfort. Through our platform in Asia, including our expanded cut and sew capabilities in Vietnam and our long-term supplier relationships, we were able to respond quickly to meet this upsurge in demand.</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line of highly durable, stain-resistant LiveSmart® performance fabrics, as well as our line of LiveSmart Evolve® performance plus sustainability fabrics, continued to experience favorable demand trends during the second quarter. We also recently launched LiveSmart Ultra™, which features a new antimicrobial finish as the next step in our LiveSmart performance brand evolution. These Livesmart performance fabrics are important drivers of our residential growth.</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hospitality business remained under pressure by the ongoing COVID-19 disruption that continued to affect the travel and leisure industries. These lingering pressures also affected Read Window Products, our window treatment and installation business, during the quarter. While sales for our hospitality business remained relatively stable as compared to the first quarter, we expect that the disruption in hospitality and leisure will continue to affect this business in the near term, as it remains uncertain whether hotels and other hospitality venues will undertake new refurnishing projects in the current environment.</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increase in upholstery fabrics net sales for the second quarter reversed a decrease in net sales during the first quarter of fiscal 2021 that resulted from the economic disruption caused by the COVID-19 pandemic, especially in the beginning of the first quarter as customers and retail stores began to resume operations following pandemic-related shutdowns. The net result was a decrease in upholstery fabrics net sales for the first half of fiscal 2021 compared with the prior-year period. The first half of fiscal 2021 was a 26-week period, compared with a 27-week period for the first half of fiscal 2020.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0" w:name="page41"/>
    <w:bookmarkEnd w:id="40"/>
    <w:p>
      <w:pPr>
        <w:jc w:val="both"/>
        <w:spacing w:after="0" w:line="244" w:lineRule="auto"/>
        <w:rPr>
          <w:sz w:val="20"/>
          <w:szCs w:val="20"/>
          <w:color w:val="auto"/>
        </w:rPr>
      </w:pPr>
      <w:r>
        <w:rPr>
          <w:rFonts w:ascii="Times New Roman" w:cs="Times New Roman" w:eastAsia="Times New Roman" w:hAnsi="Times New Roman"/>
          <w:sz w:val="20"/>
          <w:szCs w:val="20"/>
          <w:color w:val="auto"/>
        </w:rPr>
        <w:t>Looking ahead, we are encouraged by the strong backlog in our residential upholstery business and our ability to meet this demand. However, despite these positive trends, our customers’ ability to meet their demand is being challenged by supply chain constraints related primarily to non-fabric components, as well as labor shortages, which could temporarily delay their scheduled delivery of orders for upholstery fabrics during the second half of fiscal 2021. Additionally, the ongoing economic and health effects of the COVID-19 pandemic, as well as the duration of such effects, remain unknown and depend on factors beyond our knowledge or control. At this time, we cannot reasonably estimate the ongoing impact of the pandemic on our upholstery fabrics segment; however, if conditions worsen, the impact on our employees, suppliers, consumers, and the global economy could adversely affect our operations and financial performance.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Operating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60" w:type="dxa"/>
            <w:vAlign w:val="bottom"/>
            <w:tcBorders>
              <w:top w:val="single" w:sz="8" w:color="auto"/>
            </w:tcBorders>
          </w:tcPr>
          <w:p>
            <w:pPr>
              <w:spacing w:after="0"/>
              <w:rPr>
                <w:sz w:val="19"/>
                <w:szCs w:val="19"/>
                <w:color w:val="auto"/>
              </w:rPr>
            </w:pPr>
          </w:p>
        </w:tc>
        <w:tc>
          <w:tcPr>
            <w:tcW w:w="5060" w:type="dxa"/>
            <w:vAlign w:val="bottom"/>
            <w:tcBorders>
              <w:top w:val="single" w:sz="8" w:color="auto"/>
            </w:tcBorders>
            <w:gridSpan w:val="2"/>
          </w:tcPr>
          <w:p>
            <w:pPr>
              <w:jc w:val="right"/>
              <w:ind w:right="1099"/>
              <w:spacing w:after="0"/>
              <w:rPr>
                <w:sz w:val="20"/>
                <w:szCs w:val="20"/>
                <w:color w:val="auto"/>
              </w:rPr>
            </w:pPr>
            <w:r>
              <w:rPr>
                <w:rFonts w:ascii="Times New Roman" w:cs="Times New Roman" w:eastAsia="Times New Roman" w:hAnsi="Times New Roman"/>
                <w:sz w:val="16"/>
                <w:szCs w:val="16"/>
                <w:color w:val="auto"/>
              </w:rPr>
              <w:t>Three Months Ended</w:t>
            </w:r>
          </w:p>
        </w:tc>
        <w:tc>
          <w:tcPr>
            <w:tcW w:w="1320" w:type="dxa"/>
            <w:vAlign w:val="bottom"/>
            <w:tcBorders>
              <w:top w:val="single" w:sz="8" w:color="auto"/>
            </w:tcBorders>
          </w:tcPr>
          <w:p>
            <w:pPr>
              <w:spacing w:after="0"/>
              <w:rPr>
                <w:sz w:val="19"/>
                <w:szCs w:val="19"/>
                <w:color w:val="auto"/>
              </w:rPr>
            </w:pPr>
          </w:p>
        </w:tc>
      </w:tr>
      <w:tr>
        <w:trPr>
          <w:trHeight w:val="219"/>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1, 2020</w:t>
            </w:r>
          </w:p>
        </w:tc>
        <w:tc>
          <w:tcPr>
            <w:tcW w:w="17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November 3, 2019</w:t>
            </w: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Change</w:t>
            </w:r>
          </w:p>
        </w:tc>
      </w:tr>
      <w:tr>
        <w:trPr>
          <w:trHeight w:val="212"/>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33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6,677</w:t>
            </w:r>
          </w:p>
        </w:tc>
        <w:tc>
          <w:tcPr>
            <w:tcW w:w="176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7,279</w:t>
            </w:r>
          </w:p>
        </w:tc>
        <w:tc>
          <w:tcPr>
            <w:tcW w:w="132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3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c>
          <w:tcPr>
            <w:tcW w:w="17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21.5%</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(340)bp</w:t>
            </w:r>
          </w:p>
        </w:tc>
      </w:tr>
      <w:tr>
        <w:trPr>
          <w:trHeight w:val="21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3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3,390</w:t>
            </w:r>
          </w:p>
        </w:tc>
        <w:tc>
          <w:tcPr>
            <w:tcW w:w="176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3,806</w:t>
            </w:r>
          </w:p>
        </w:tc>
        <w:tc>
          <w:tcPr>
            <w:tcW w:w="132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3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3,287</w:t>
            </w:r>
          </w:p>
        </w:tc>
        <w:tc>
          <w:tcPr>
            <w:tcW w:w="17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3,473</w:t>
            </w: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4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3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17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10.2%</w:t>
            </w:r>
          </w:p>
        </w:tc>
        <w:tc>
          <w:tcPr>
            <w:tcW w:w="132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(130)bp</w:t>
            </w:r>
          </w:p>
        </w:tc>
      </w:tr>
      <w:tr>
        <w:trPr>
          <w:trHeight w:val="455"/>
        </w:trPr>
        <w:tc>
          <w:tcPr>
            <w:tcW w:w="48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31"/>
        </w:trPr>
        <w:tc>
          <w:tcPr>
            <w:tcW w:w="4860" w:type="dxa"/>
            <w:vAlign w:val="bottom"/>
          </w:tcPr>
          <w:p>
            <w:pPr>
              <w:spacing w:after="0"/>
              <w:rPr>
                <w:sz w:val="20"/>
                <w:szCs w:val="20"/>
                <w:color w:val="auto"/>
              </w:rPr>
            </w:pPr>
          </w:p>
        </w:tc>
        <w:tc>
          <w:tcPr>
            <w:tcW w:w="5060" w:type="dxa"/>
            <w:vAlign w:val="bottom"/>
            <w:gridSpan w:val="2"/>
          </w:tcPr>
          <w:p>
            <w:pPr>
              <w:jc w:val="right"/>
              <w:ind w:right="1179"/>
              <w:spacing w:after="0"/>
              <w:rPr>
                <w:sz w:val="20"/>
                <w:szCs w:val="20"/>
                <w:color w:val="auto"/>
              </w:rPr>
            </w:pPr>
            <w:r>
              <w:rPr>
                <w:rFonts w:ascii="Times New Roman" w:cs="Times New Roman" w:eastAsia="Times New Roman" w:hAnsi="Times New Roman"/>
                <w:sz w:val="16"/>
                <w:szCs w:val="16"/>
                <w:color w:val="auto"/>
              </w:rPr>
              <w:t>Six Months Ended</w:t>
            </w:r>
          </w:p>
        </w:tc>
        <w:tc>
          <w:tcPr>
            <w:tcW w:w="1320" w:type="dxa"/>
            <w:vAlign w:val="bottom"/>
          </w:tcPr>
          <w:p>
            <w:pPr>
              <w:spacing w:after="0"/>
              <w:rPr>
                <w:sz w:val="20"/>
                <w:szCs w:val="20"/>
                <w:color w:val="auto"/>
              </w:rPr>
            </w:pPr>
          </w:p>
        </w:tc>
      </w:tr>
      <w:tr>
        <w:trPr>
          <w:trHeight w:val="219"/>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1, 2020</w:t>
            </w:r>
          </w:p>
        </w:tc>
        <w:tc>
          <w:tcPr>
            <w:tcW w:w="17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November 3, 2019</w:t>
            </w: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Change</w:t>
            </w:r>
          </w:p>
        </w:tc>
      </w:tr>
      <w:tr>
        <w:trPr>
          <w:trHeight w:val="21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from continuing operations</w:t>
            </w:r>
          </w:p>
        </w:tc>
        <w:tc>
          <w:tcPr>
            <w:tcW w:w="33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11,971</w:t>
            </w:r>
          </w:p>
        </w:tc>
        <w:tc>
          <w:tcPr>
            <w:tcW w:w="176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14,000</w:t>
            </w:r>
          </w:p>
        </w:tc>
        <w:tc>
          <w:tcPr>
            <w:tcW w:w="132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margin from continuing operations</w:t>
            </w:r>
          </w:p>
        </w:tc>
        <w:tc>
          <w:tcPr>
            <w:tcW w:w="3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c>
          <w:tcPr>
            <w:tcW w:w="17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21.3%</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(290)bp</w:t>
            </w:r>
          </w:p>
        </w:tc>
      </w:tr>
      <w:tr>
        <w:trPr>
          <w:trHeight w:val="21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3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6,570</w:t>
            </w:r>
          </w:p>
        </w:tc>
        <w:tc>
          <w:tcPr>
            <w:tcW w:w="176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7,652</w:t>
            </w:r>
          </w:p>
        </w:tc>
        <w:tc>
          <w:tcPr>
            <w:tcW w:w="132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(14.1)%</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3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5,401</w:t>
            </w:r>
          </w:p>
        </w:tc>
        <w:tc>
          <w:tcPr>
            <w:tcW w:w="17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6,348</w:t>
            </w: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margin from continuing operations</w:t>
            </w:r>
          </w:p>
        </w:tc>
        <w:tc>
          <w:tcPr>
            <w:tcW w:w="3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7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9.7%</w:t>
            </w:r>
          </w:p>
        </w:tc>
        <w:tc>
          <w:tcPr>
            <w:tcW w:w="1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(140)bp</w:t>
            </w:r>
          </w:p>
        </w:tc>
      </w:tr>
      <w:tr>
        <w:trPr>
          <w:trHeight w:val="21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credit</w:t>
            </w:r>
          </w:p>
        </w:tc>
        <w:tc>
          <w:tcPr>
            <w:tcW w:w="3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35</w:t>
            </w:r>
          </w:p>
        </w:tc>
        <w:tc>
          <w:tcPr>
            <w:tcW w:w="13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upholstery fabrics profitability for the second quarter was primarily due to unfavorable China foreign exchange rate fluctuations, as well as some impact from sales mix, partially offset by lower spending on travel and entertainment and marketing expenses. The decrease in upholstery fabrics profitability for the first half of fiscal 2021 was also due to these factors, along with a decrease in sales during the first quarter of fiscal 2021.</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Looking ahead, we expect that unfavorable foreign exchange rate fluctuations associated with our operations in China, as well as some impact from sales mix due to the ongoing pressures on our hospitality business, will adversely affect our profitability at least through the third quarter of fiscal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6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November 1, 2020</w:t>
            </w:r>
          </w:p>
        </w:tc>
        <w:tc>
          <w:tcPr>
            <w:tcW w:w="156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November 3, 2019</w:t>
            </w:r>
          </w:p>
        </w:tc>
        <w:tc>
          <w:tcPr>
            <w:tcW w:w="11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May 3, 2020</w:t>
            </w:r>
          </w:p>
        </w:tc>
      </w:tr>
      <w:tr>
        <w:trPr>
          <w:trHeight w:val="211"/>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31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17,046</w:t>
            </w:r>
          </w:p>
        </w:tc>
        <w:tc>
          <w:tcPr>
            <w:tcW w:w="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12,666</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12,881</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31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23,526</w:t>
            </w:r>
          </w:p>
        </w:tc>
        <w:tc>
          <w:tcPr>
            <w:tcW w:w="6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23,692</w:t>
            </w:r>
          </w:p>
        </w:tc>
        <w:tc>
          <w:tcPr>
            <w:tcW w:w="4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21,287</w:t>
            </w:r>
          </w:p>
        </w:tc>
      </w:tr>
      <w:tr>
        <w:trPr>
          <w:trHeight w:val="21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3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2,014</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1,774</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r>
      <w:tr>
        <w:trPr>
          <w:trHeight w:val="21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3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3,269</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2,610</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1,633</w:t>
            </w:r>
          </w:p>
        </w:tc>
      </w:tr>
      <w:tr>
        <w:trPr>
          <w:trHeight w:val="210"/>
        </w:trPr>
        <w:tc>
          <w:tcPr>
            <w:tcW w:w="4480" w:type="dxa"/>
            <w:vAlign w:val="bottom"/>
            <w:tcBorders>
              <w:bottom w:val="single" w:sz="8" w:color="auto"/>
            </w:tcBorders>
            <w:shd w:val="clear" w:color="auto" w:fill="CFF0FC"/>
          </w:tcPr>
          <w:p>
            <w:pPr>
              <w:spacing w:after="0"/>
              <w:rPr>
                <w:sz w:val="18"/>
                <w:szCs w:val="18"/>
                <w:color w:val="auto"/>
              </w:rPr>
            </w:pPr>
          </w:p>
        </w:tc>
        <w:tc>
          <w:tcPr>
            <w:tcW w:w="31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45,855</w:t>
            </w:r>
          </w:p>
        </w:tc>
        <w:tc>
          <w:tcPr>
            <w:tcW w:w="6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40,742</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37,434</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14 of the consolidated financial statements for disclosures regarding determination of our segment assets.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November 1, 2020, accounts receivable increased by $4.4 million, or 34.6%, compared with November 3, 2019. This increase primarily reflects the increase in net sales during the second quarter of fiscal 2021 compared with the prior-year period. Net sales during the second quarter of fiscal 2021 were $36.8 million compared with $33.9 million during the second quarter of fiscal 2020. Additionally, this increase reflects slower cash collections on accounts receivable during the second quarter of fiscal 2021 compared with the second quarter of fiscal 2020 stemming from current economic conditions associated with the COVID-19 pandemic that were not present during the second quarter of fiscal 2020.</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November 1, 2020, accounts receivable increased by $4.2 million, or 32.3%, compared with May 3, 2020. This increase reflects the substantial increase in net sales during the second quarter of fiscal 2021 compared with the fourth quarter of fiscal 2020. Net sales during the second quarter of fiscal 2021 were $36.8 million, an increase of $12.8 million, or 53%, compared with net sales of $24.0 million during the fourth quarter of fiscal 2020. Although we experienced a substantial increase in net sales during the second quarter of fiscal 2021, the increase in our accounts receivable also reflects faster cash collections during the second quarter of fiscal 2021 as compared with the fourth quarter of fiscal 2021. The faster cash collections stem from our customers’ return to making payments based on normal credit terms as opposed to the extended terms granted during the fourth quarter of fiscal 2020 in response to the COVID-19 pandemic.</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Days’ sales outstanding was 41 days during the second quarter of fiscal 2021, as compared with 33 days during the second quarter of fiscal 2020 and 47 days during the fourth quarter of fiscal 2020.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1, 2020, inventory totaling $23.5 million was comparable with inventory totaling $23.7 million as of November 3, 2019. Additionally, as of November 1, 2020, inventory totaling $23.5 million was comparable with inventory totaling $21.3 million as of May 3, 2020. Although our net sales increased during the second quarter of fiscal 2021 compared with the second quarter and fourth quarter of fiscal 2020, our inventory levels remained consistent for the reporting periods presented, which reflects improved inventory management by better aligning our inventory purchases to reflect current demand trends.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$2.0 million as of November 1, 2020, represents property, plant, and equipment of $1.1 million and $904,000 located in the U.S. and China, respectively. The $1.8 million as of November 3, 2019, represents property, plant, and equipment of $1.3 million and $500,000 located in the U.S. and China, respectively. The $1.6 million as of May 3, 2020, represents property, plant, and equipment of $1.2 million and $471,000 located in the U.S. and China,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$3.3 million as of November 1, 2020, represents right of use assets of $2.7 million and $561,000 located in China and the U.S., respectively. The $2.6 million as of November 3, 2019, represents right of use assets of $1.5 million and $1.1 million located in China and the U.S., respectively. The $1.6 million as of May 3, 2020, represents right of use assets of $857,000 and $776,000 located in the U.S. and China, respectively.</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November 1, 2020, right of use assets increased by $1.7 million, or 106.3%, compared with May 3, 2020. This increase primarily reflects the renewal of certain lease agreements that extended the lease terms for two buildings associated with our operations located in China during the first quarter of fiscal 2021. The amount of the change associated with our right of use assets between reporting periods is based on the length of the lease term remaining on our leases prior to their expiration or option to renew in relation to the reporting periods presented.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Discontinued Operation - Home Accessories Segment</w:t>
      </w:r>
    </w:p>
    <w:p>
      <w:pPr>
        <w:spacing w:after="0" w:line="21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As previously disclosed, we sold our majority ownership interest in eLuxury, LLC (“eLuxury”) during the fourth quarter of fiscal 2020, resulting in the elimination of our home accessories segment at such time. Accordingly, there are no results of operations and assets and liabilities for the home accessories segment in the company’s continuing operations for fiscal 2021, and the financial results for this segment are excluded from the company’s continuing operations for the three-month and six-month periods ended November 3, 2019 and have been reclassified and presented as a discontinued operation in our consolidated financial statements. See Note 3 - Home Accessories Segment - Discontinued Operation, of the consolidated financial statements for further details, and see also the section titled “Item</w:t>
      </w:r>
    </w:p>
    <w:p>
      <w:pPr>
        <w:spacing w:after="0" w:line="1" w:lineRule="exact"/>
        <w:rPr>
          <w:sz w:val="20"/>
          <w:szCs w:val="20"/>
          <w:color w:val="auto"/>
        </w:rPr>
      </w:pPr>
    </w:p>
    <w:p>
      <w:pPr>
        <w:jc w:val="both"/>
        <w:ind w:firstLine="8"/>
        <w:spacing w:after="0" w:line="232" w:lineRule="auto"/>
        <w:tabs>
          <w:tab w:leader="none" w:pos="25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DISCUSSION AND ANALYSIS OF FINANCIAL CONDITION – 2020 compared with 2019 – Segment Analysis - Discontinued Operation – Home Accessories Segment” in our Form 10-K filed with the Securities and Exchange Commission on July 17, 2020, for the fiscal year ended May 3, 2020, for additional information.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2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Three Months Ended</w:t>
            </w:r>
          </w:p>
        </w:tc>
        <w:tc>
          <w:tcPr>
            <w:tcW w:w="8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1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November 1, 2020</w:t>
            </w:r>
          </w:p>
        </w:tc>
        <w:tc>
          <w:tcPr>
            <w:tcW w:w="172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November 3, 2019</w:t>
            </w:r>
          </w:p>
        </w:tc>
        <w:tc>
          <w:tcPr>
            <w:tcW w:w="15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 Change</w:t>
            </w:r>
          </w:p>
        </w:tc>
      </w:tr>
      <w:tr>
        <w:trPr>
          <w:trHeight w:val="21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30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9,743</w:t>
            </w:r>
          </w:p>
        </w:tc>
        <w:tc>
          <w:tcPr>
            <w:tcW w:w="8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9,117</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0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0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8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258</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3"/>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3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680</w:t>
            </w: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99</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w:t>
            </w:r>
          </w:p>
        </w:tc>
      </w:tr>
      <w:tr>
        <w:trPr>
          <w:trHeight w:val="455"/>
        </w:trPr>
        <w:tc>
          <w:tcPr>
            <w:tcW w:w="40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04"/>
        </w:trPr>
        <w:tc>
          <w:tcPr>
            <w:tcW w:w="40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Six Months Ended</w:t>
            </w: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November 1, 2020</w:t>
            </w:r>
          </w:p>
        </w:tc>
        <w:tc>
          <w:tcPr>
            <w:tcW w:w="172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November 3, 2019</w:t>
            </w:r>
          </w:p>
        </w:tc>
        <w:tc>
          <w:tcPr>
            <w:tcW w:w="15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 Change</w:t>
            </w:r>
          </w:p>
        </w:tc>
      </w:tr>
      <w:tr>
        <w:trPr>
          <w:trHeight w:val="21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30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17,761</w:t>
            </w:r>
          </w:p>
        </w:tc>
        <w:tc>
          <w:tcPr>
            <w:tcW w:w="8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18,266</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0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8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r>
      <w:tr>
        <w:trPr>
          <w:trHeight w:val="21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0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8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518</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213"/>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3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1,046</w:t>
            </w: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194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439.2%</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selling, general, and administrative expenses during the second quarter of fiscal 2021 compared with the second quarter of fiscal 2020 is mostly due to higher incentive compensation expense reflecting stronger financial results in relation to pre-established performance targets, partially offset by significant cost cutting measures associated with discretionary spending such as professional fees, travel and entertainment expenses, and certain marketing expenses.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decrease in selling, general, and administrative expenses during the first half of fiscal 2021 compared with the first half of fiscal 2020 is mostly due to our significant cost cutting measures during the fourth quarter of fiscal 2020 that continued into the first quarter of fiscal 2021 as part of our comprehensive response to the COVID-19 global pandemic. These significant cost cutting measures primarily related to compensation and included (i) implementing temporary salary reductions, (ii) making workforce adjustments to align with demand, (iii) suspending merit pay increases, and (iv) aggressive reduction in discretionary spending such as professional fees, travel and entertainment expenses, and certain marketing expenses. The decrease in selling, general, and administrative expense as a result of these cost cutting measures was partially offset by higher incentive compensation expense reflecting stronger financial results in relation to pre-established performance targets that were primarily incurred during the second quarter of fiscal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six-month period ending November 1, 2020, our interest expense is attributable to interest paid on amounts borrowed during the fourth quarter of fiscal 2020 in connection with the economic uncertainty associated with the COVID-19 global pandemic. As a result of the economic uncertainty relating to the duration of the pandemic and its overall effect on our business, we proactively borrowed $30.8 million under our lines of credit and applied for and received a $7.6 million loan under the SBA’s Paycheck Protection Program. During the first quarter of fiscal 2021, we repaid in full the PPP loan and all the borrowings that were outstanding under our lines of credit as of May 3, 2020. Additionally, we did not incur any interest expense during the three-month period ending November 1, 2020, as there were no borrowings outstanding under our line of credit agreements during such time.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interest expense incurred during the three-month and six-month periods ending November 3, 2019, reflect our historically low amount of borrowings outstanding.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Interest income reflects interest earned on our current investments of excess cash held in money market funds, short-term bond funds, and investment-grade U.S. corporate, foreign, and government bonds, as well as interest earned on money market and mutual fund investments associated with our rabbi trust that funds our deferred compensation plan. The decrease in interest income during fiscal 2021 compared with fiscal 2020 is due mostly to a decrease in interest rates associated with these investments.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i w:val="1"/>
          <w:iCs w:val="1"/>
          <w:color w:val="auto"/>
        </w:rPr>
        <w:t>Other Expense</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increase in other expense during fiscal 2021 compared with fiscal 2020 was due mostly to less favorable foreign currency exchange rates applied against our balance sheet accounts denominated in Chinese Renminbi to determine the corresponding U.S dollar financial reporting amount. During the first half of fiscal 2021, we reported a foreign exchange rate loss of $689,000 compared with a foreign exchange rate gain of $150,000 during the first half of fiscal 2020. However, the $689,000 foreign exchange rate loss that was incurred during the first half of fiscal 2021 was mostly offset by an income tax benefit totaling $650,000 that was associated with deductible foreign exchange rate losses as our China operations pay income taxes in their local currency (see </w:t>
      </w:r>
      <w:r>
        <w:rPr>
          <w:rFonts w:ascii="Times New Roman" w:cs="Times New Roman" w:eastAsia="Times New Roman" w:hAnsi="Times New Roman"/>
          <w:sz w:val="20"/>
          <w:szCs w:val="20"/>
          <w:i w:val="1"/>
          <w:iCs w:val="1"/>
          <w:color w:val="auto"/>
        </w:rPr>
        <w:t>Income Taxes – Effective Income Tax Rate</w:t>
      </w:r>
      <w:r>
        <w:rPr>
          <w:rFonts w:ascii="Times New Roman" w:cs="Times New Roman" w:eastAsia="Times New Roman" w:hAnsi="Times New Roman"/>
          <w:sz w:val="20"/>
          <w:szCs w:val="20"/>
          <w:color w:val="auto"/>
        </w:rPr>
        <w:t xml:space="preserve"> section below for further details).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$5.9 million, or 109.5% of income before income taxes from continuing operations, for the six-month period ended November 1, 2020, compared with income tax expense of $4.0 million, or 49.6% of income before income taxes from continuing operations, for the six-month period ended November 3, 2019.</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effective income tax rates associated with our continuing operations for the six-month periods ended November 1, 2020, and November 3, 2019, were based upon the estimated effective income tax rate applicable for the full year after giving effect to any significant items related specifically to interim periods. When calculating the annual estimated effective income tax rate for the six months ended November 1, 2020, we were subject to a loss limitation rule in accordance with ASC Topic 740-270-30-36(a). This loss limitation rule required the taxable loss associated with our U.S. operations to be excluded from the annual estimated effective income tax rate calculation as it was determined that no tax benefit could be recognized resulting from the full valuation allowance against our U.S income tax loss carryforward that is expected to originate during the current fiscal year. The effective income tax rate can be affected over the fiscal year by the mix and timing of actual earnings from our U.S. operations and foreign subsidiaries located in China and Canada versus annual projections, as well as changes in foreign currency exchange rates in relation to the U.S. dollar.</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from continuing operations at the U.S. federal income tax rate and the effective income tax rate from continuing operations reflected in the consolidated financial statements for the six-month periods ending November 1, 2020 and November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125095</wp:posOffset>
            </wp:positionV>
            <wp:extent cx="22713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5540" w:type="dxa"/>
            <w:vAlign w:val="bottom"/>
            <w:gridSpan w:val="2"/>
          </w:tcPr>
          <w:p>
            <w:pPr>
              <w:jc w:val="right"/>
              <w:ind w:right="117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9"/>
        </w:trPr>
        <w:tc>
          <w:tcPr>
            <w:tcW w:w="57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November 1, 2020</w:t>
            </w: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November 3, 2019</w:t>
            </w:r>
          </w:p>
        </w:tc>
      </w:tr>
      <w:tr>
        <w:trPr>
          <w:trHeight w:val="21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21.0%</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U.S. valuation allowance</w:t>
            </w:r>
          </w:p>
        </w:tc>
        <w:tc>
          <w:tcPr>
            <w:tcW w:w="38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141.6</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income tax law change</w:t>
            </w:r>
          </w:p>
        </w:tc>
        <w:tc>
          <w:tcPr>
            <w:tcW w:w="38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(65.1)</w:t>
            </w:r>
          </w:p>
        </w:tc>
        <w:tc>
          <w:tcPr>
            <w:tcW w:w="1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Global Intangible Low Taxed Income Tax ("GILTI")</w:t>
            </w:r>
          </w:p>
        </w:tc>
        <w:tc>
          <w:tcPr>
            <w:tcW w:w="38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8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8.4</w:t>
            </w:r>
          </w:p>
        </w:tc>
        <w:tc>
          <w:tcPr>
            <w:tcW w:w="1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8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6.6</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effects of foreign exchange rate (losses) gains</w:t>
            </w:r>
          </w:p>
        </w:tc>
        <w:tc>
          <w:tcPr>
            <w:tcW w:w="38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(4.0)</w:t>
            </w:r>
          </w:p>
        </w:tc>
        <w:tc>
          <w:tcPr>
            <w:tcW w:w="1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3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1.0</w:t>
            </w:r>
          </w:p>
        </w:tc>
        <w:tc>
          <w:tcPr>
            <w:tcW w:w="1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r>
      <w:tr>
        <w:trPr>
          <w:trHeight w:val="209"/>
        </w:trPr>
        <w:tc>
          <w:tcPr>
            <w:tcW w:w="57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109.5%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Tax Law Change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Effective July 20, 2020, the U.S Treasury Department finalized and enacted previously proposed regulations regarding the GILTI tax provisions of the Tax Cuts and Jobs Act of 2017 (“TCJA”). Prior to this enactment, GILTI represented a significant U.S. income tax on our foreign earnings during fiscal 2019 ($2.1 million) and fiscal 2020 ($1.9 million). With the enactment of these final regulations, we are now eligible for an exclusion from GILTI since we meet the provisions for the GILTI High-Tax exception included in the final regulations. In addition, the enactment of the new regulations and our eligibility for the GILTI High-Tax exception are retroactive to the original enactment of the GILTI tax provision, which includes our 2019 and 2020 fiscal years.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the newly enacted regulations,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and six-month year-to-date period of fiscal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Allowance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accordance with ASC Topic 740, we evaluate our deferred income taxes to determine if a valuation allowance is required. ASC Topic 740 requires that companies assess whether a valuation allowance should be established based on the consideration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20"/>
          <w:szCs w:val="20"/>
          <w:color w:val="auto"/>
        </w:rPr>
        <w:t>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 result of the U.S. tax law change relating to the GILTI tax provisions of the TCJA, we assessed the need for an additional valuation allowance against our U.S. net deferred income taxes, as GILTI represented a significant source of our U.S. taxable income during fiscal 2019 and fiscal 2020 that offset our U.S. pre-tax losses during such years, and which offset is now reversed as a result of the retroactivity of the new regulations. Consequently, due to the retroactivity of the new regulations, we experienced a recent history of cumulative U.S. taxable losses during our last two fiscal years, and we currently expect our history of U.S. pre-tax losses to continue into fiscal 2021 as a result of the continuing economic uncertainty associated with the COVID-19 global pandemic. As a result of the significant weight of this negative evidence, we believe it is more-likely-than-not that our U.S. net deferred income tax assets will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and six-month year-to-date period of fiscal 2021.</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Additionally, we recorded a $713,000 income tax charge to provide for a full valuation allowance against a U.S. income tax loss carryforward that originated during the first half of fiscal 2021.</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November 1, 2020, November 3, 2019, and May 3, 2020, valuation allowances against our net deferred income taxes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November 1,</w:t>
            </w:r>
          </w:p>
        </w:tc>
        <w:tc>
          <w:tcPr>
            <w:tcW w:w="1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2020</w:t>
            </w: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November 3, 2019</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May 3, 2020</w:t>
            </w:r>
          </w:p>
        </w:tc>
        <w:tc>
          <w:tcPr>
            <w:tcW w:w="0" w:type="dxa"/>
            <w:vAlign w:val="bottom"/>
          </w:tcPr>
          <w:p>
            <w:pPr>
              <w:spacing w:after="0"/>
              <w:rPr>
                <w:sz w:val="1"/>
                <w:szCs w:val="1"/>
                <w:color w:val="auto"/>
              </w:rPr>
            </w:pPr>
          </w:p>
        </w:tc>
      </w:tr>
      <w:tr>
        <w:trPr>
          <w:trHeight w:val="21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8,543</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711</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2,281</w:t>
            </w: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10,824</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711</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3,148</w:t>
            </w: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Undistributed Earnings</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accordance with ASC Topic 740, we assess whether the undistributed earnings from our foreign subsidiaries will be reinvested indefinitely or eventually distributed to our U.S. parent company. ASC Topic 740 requires that a deferred income tax liability should be recorded for undistributed earnings from foreign subsidiaries that will not be reinvested indefinitely.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 to Note 15 of the consolidated financial statements for disclosures regarding our assessments of our recorded deferred income tax liability balances associated with undistributed earnings from our foreign subsidiaries as of November 1, 2020, November 3, 2019, and May 3, 2020,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 Income Tax Positions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ASC Topic 740, an unrecognized income tax benefit for an uncertain income tax position can be recognized in the first interim period during which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benefits will be recorded at that time.</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15 located of the consolidated financial statements for disclosures regarding our assessments of our uncertain income tax positions as of November 1, 2020, November 3, 2019, and May 3, 2020,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Paid</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During the first half of fiscal 2021, we received income tax refunds exceeding income tax payments, resulting in net cash tax payments of $556,000. The $556,000 resulted from (i) income tax refunds totaling $1.5 million associated with U.S. alternative minimum taxes (see </w:t>
      </w:r>
      <w:r>
        <w:rPr>
          <w:rFonts w:ascii="Times New Roman" w:cs="Times New Roman" w:eastAsia="Times New Roman" w:hAnsi="Times New Roman"/>
          <w:sz w:val="20"/>
          <w:szCs w:val="20"/>
          <w:i w:val="1"/>
          <w:iCs w:val="1"/>
          <w:color w:val="auto"/>
        </w:rPr>
        <w:t xml:space="preserve">United States </w:t>
      </w:r>
      <w:r>
        <w:rPr>
          <w:rFonts w:ascii="Times New Roman" w:cs="Times New Roman" w:eastAsia="Times New Roman" w:hAnsi="Times New Roman"/>
          <w:sz w:val="20"/>
          <w:szCs w:val="20"/>
          <w:color w:val="auto"/>
        </w:rPr>
        <w:t>section below for further details) that were partially offset by (ii) U.S. transition tax payments of $227,000 as required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TCJA and (iii) income tax payments associated with our foreign jurisdictions totaling $726,000.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half of fiscal 2020, income tax payments totaling $2.8 million represented (i) income tax payments associated with foreign jurisdictions totaling $1.9 million and (ii) a withholding tax payment of $838,000 paid to the Chinese government for earnings and profits repatriated to our U.S. parent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United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Alternative Minimum Tax (AMT)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AMT refunds totaling $1.5 million that were received during the first half of fiscal 2021 stem from the provisions of the TCJA, as corporate taxpayers were eligible to treat prior AMT credit carryforwards as refundable. Accordingly, we elected to treat our prior AMT credit carryforward balance of $1.5 million as refundable, and as a result, 50% of the $1.5 million refundable balance was expected to be received in each of our fiscal 2021 and fiscal 2022 years, respectively. We received our first 50% installment totaling $746,000 during the first quarter of fiscal 2021.</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accordance with the provisions of the CARES Act, 100% of AMT credit carryforwards for tax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currently do not expect to pay income taxes in the U.S. on a cash basis during fiscal 2021 due to: (i) our exclusion from the GILTI tax as a result of the U.S. Treasury regulations finalized and enacted on July 20, 2020; (ii) AMT income tax refunds totaling $1.5 million received during the first and second quarters of fiscal 2021; (iii) the immediate expensing of U.S. capital expenditures, and (iv) our existing U.S. federal net operating loss carryforwards totaling $21.9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our sources of liquidity include cash and cash equivalents, short-term investments (available for sale), cash flow from operations, and amounts available under our revolving credit lines. These sources have been adequate for day-to-day operations, capital expenditures, debt payments, common stock repurchases, and dividend payments. We believe our cash and cash equivalents of $45.3 million and short-term investments (available for sale) of $5.5 million as of November 1, 2020, cash flow from operations, and the current availability ($38.0 million) under our revolving credit lines will be sufficient to fund our foreseeable business needs and our contractual obligations.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November 1, 2020, our cash and cash equivalents, short-term investments (available for sale), and short-term and long-term investments (held-to-maturity) (collectively “cash and investments”) totaled $56.5 million, compared with $77.1 million as of May 3, 2020.</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decrease in our cash and investments from the end of fiscal 2020 is attributable to repayment of all of the outstanding borrowings associated with our U.S. and China lines of credit and the loan we received under the Paycheck Protection Program of the CARES Act (such loan, the “PPP loan”), which borrowings totaled $38.4 million. Excluding the repayments made on our lines of credit and the PPP loan, our cash and investments as of November 1, 2020, would have increased $17.8 million as compared to May 3, 2020. This increase was mostly due to (i) net cash provided by operating activities totaling $22.7 million, partially offset by (ii) cash payments of $2.6 million in the form of a regular quarterly dividend payment to shareholders; and (iii) $2.0 million of capital expenditures that were primarily related to our mattress fabrics segment.</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net cash provided by operating activities was $22.7 million during the first half of fiscal 2021, compared with $8.2 million of net cash provided by operating activities during the first half of fiscal 2020. This increase reflects a focused attention on working capital management. Additionally, our discontinued operation had net cash used in operating activities totaling $2.2 million and net cash used in investing activities totaling $32,000 during the first half of fiscal 2020. Our discontinued operation had net cash provided by financing activities, all of which were loan proceeds and capital contributions from the company and the former non-controlling interest holder of eLuxury, totaling $2.4 million during the first half of fiscal 2020. We believe our liquidity has improved in the absence of the former home accessories segment due to the significant losses incurred by that segment and the funding of its working capital requirements primarily by us through loans and capital contributions that are no longer required.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As of November 1, 2020, there were no outstanding borrowings under our lines of credit.</w:t>
      </w:r>
    </w:p>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income taxes we pay also affects our liquidity. See the section titled “Income Taxes Paid” of this Item 2 - MANAGEMENT’S DISCUSSION AND ANALYSIS OF FINANCIAL CONDITION section for further details.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cash and cash equivalents and short-term investments (available for sale) balance may be adversely affected by factors beyond our control, such as the continuing uncertainty of the COVID-19 global pandemic, lower net sales due to consumer demand, and delays in receipt of payment on accounts receivable. Additionally, our cash liquidity will be affected by our strategic investments in working capital and planned capital expenditures during the last half of fiscal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 summary of our cash and cash equivalents, short-term investments (available for sale), and short-term and long-term investments (held-to-maturity) by geographic area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1,</w:t>
            </w:r>
          </w:p>
        </w:tc>
        <w:tc>
          <w:tcPr>
            <w:tcW w:w="156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November 3, 2019</w:t>
            </w: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vMerge w:val="continue"/>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(1)</w:t>
            </w:r>
          </w:p>
        </w:tc>
        <w:tc>
          <w:tcPr>
            <w:tcW w:w="11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May 3, 2020</w:t>
            </w:r>
          </w:p>
        </w:tc>
        <w:tc>
          <w:tcPr>
            <w:tcW w:w="0" w:type="dxa"/>
            <w:vAlign w:val="bottom"/>
          </w:tcPr>
          <w:p>
            <w:pPr>
              <w:spacing w:after="0"/>
              <w:rPr>
                <w:sz w:val="1"/>
                <w:szCs w:val="1"/>
                <w:color w:val="auto"/>
              </w:rPr>
            </w:pPr>
          </w:p>
        </w:tc>
      </w:tr>
      <w:tr>
        <w:trPr>
          <w:trHeight w:val="21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49,288</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35,735</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65,327</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China</w:t>
            </w:r>
          </w:p>
        </w:tc>
        <w:tc>
          <w:tcPr>
            <w:tcW w:w="30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5,778</w:t>
            </w:r>
          </w:p>
        </w:tc>
        <w:tc>
          <w:tcPr>
            <w:tcW w:w="4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9,439</w:t>
            </w:r>
          </w:p>
        </w:tc>
        <w:tc>
          <w:tcPr>
            <w:tcW w:w="38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10,531</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30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1,439</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1,967</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3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auto"/>
            </w:tcBorders>
            <w:shd w:val="clear" w:color="auto" w:fill="CFF0FC"/>
          </w:tcPr>
          <w:p>
            <w:pPr>
              <w:spacing w:after="0"/>
              <w:rPr>
                <w:sz w:val="18"/>
                <w:szCs w:val="18"/>
                <w:color w:val="auto"/>
              </w:rPr>
            </w:pPr>
          </w:p>
        </w:tc>
        <w:tc>
          <w:tcPr>
            <w:tcW w:w="3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56,514</w:t>
            </w:r>
          </w:p>
        </w:tc>
        <w:tc>
          <w:tcPr>
            <w:tcW w:w="46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47,183</w:t>
            </w:r>
          </w:p>
        </w:tc>
        <w:tc>
          <w:tcPr>
            <w:tcW w:w="3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77,060</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360" w:hanging="352"/>
        <w:spacing w:after="0" w:line="254" w:lineRule="auto"/>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November 3, 2019, cash and cash equivalents totaled $47.2 million, of which $47.0 million and $228,000 were classified as (i) cash and cash equivalents and (ii) within current assets – discontinued operation, respectively, in the accompanying Consolidated Balance Sheets.</w:t>
      </w:r>
    </w:p>
    <w:p>
      <w:pPr>
        <w:spacing w:after="0" w:line="17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As discussed above, the decrease in our cash and investments, specifically in the U.S., as of November 1, 2020, compared with May 3, 2020, is attributable to repayment of all of the outstanding borrowings associated with our lines of credit and PPP loan, which totaled $38.4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part of our comprehensive response to the COVID-19 global pandemic, we announced on April 3, 2020, that our board of directors temporarily suspended the share repurchase program given the ongoing economic disruption and uncertainty. Accordingly, we did not purchase any shares of our common stock through the end of our second quarter of fiscal 2020. Additionally, we did not purchase any share of our common stock during the six-month period ended November 3,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1, 2020, we had $5.0 million available for repurchases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Program</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December 3, 2020, we announced that our board of directors approved a quarterly cash dividend of $0.11 per share, or $0.44 per share on an annualized basis. This payment will be made on January 18, 2021, to shareholders of record as of January 8, 2021.</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six-month period ended November 1, 2020, dividend payments totaled $2.6 million, which represented quarterly dividend payments of $0.105 per share. During the six-month period ended November 3, 2019, dividend payments totaled $2.5 million, which represented quarterly dividend payments of $0.10 per share.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and economic conditions, and other factors we consider relevant.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(accounts receivable and inventories, less accounts payable-trade, accounts payable-capital expenditures, and deferred revenue) was $42.0 million as of November 1, 2020, compared with $48.2 million as of November 3, 2019, and $49.4 million as of May 3, 2020. Operating working capital turnover was 5.3 during the second quarter of fiscal 2021, compared with 5.7 during the second quarter of fiscal 2020 and 5.1 during the fourth quarter of fiscal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receivable as of November 1, 2020, totaling $33.0 million, increased $9.1 million, or 38.0%, compared with $23.9 million as of November 3, 2019. This increase reflects the increase in net sales during the second quarter of fiscal 2021 compared with the prior-year period. Net sales during the second quarter of fiscal 2021 were $76.9 million compared with $69.6 million during the second quarter of fiscal 2020. Additionally, this increase reflects slower cash collections on accounts receivable during the second quarter of fiscal 2021 compared with the second quarter of fiscal 2020 stemming from current economic conditions associated with the COVID-19 pandemic that were not present during the second quarter of fiscal 2020.</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Accounts receivable as of November 1, 2020, totaling $33.0 million, increased $7.9 million, or 31.4%, compared with $25.1 million as of May 3, 2020. This increase reflects the substantial increase in net sales during the second quarter of fiscal 2021 compared with the fourth quarter of fiscal 2020. Net sales during the second quarter of fiscal 2021 were $76.9 million, an increase of $29.5 million, or 62%, compared with net sales of $47.4 million during the fourth quarter of fiscal 2020. Although we experienced a substantial increase in net sales during the second quarter of fiscal 2021, the increase in our accounts receivable also reflects faster cash collections during the second quarter of fiscal 2021 as compared to the fourth quarter of fiscal 2020. The faster cash collections stem from our customers’ return to making payments based on normal credit terms as opposed to the extended terms granted during the fourth quarter of fiscal 2020 in response to the COVID-19 pandemic.</w:t>
      </w:r>
    </w:p>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Days’ sales outstanding were 39 days for the second quarter of fiscal 2021, compared with 30 days for the second quarter of fiscal 2020 and 48 days for the fourth quarter of fiscal 2020.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Inventories as of November 1, 2020, totaling $47.7 million, decreased $3.7 million, or 7.2%, compared with $51.4 million as of November 3, 2019. Additionally, inventories as of November 1, 2020, totaling $47.7 million, were comparable with inventories totaling $47.9 million as of May 3, 2020. Although our net sales increased during the second quarter of fiscal 2021 compared with the second and fourth quarters of fiscal 2020, our trends in inventory reflect improved inventory management by better aligning our inventory purchases to reflect current demand trends.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5.6 for the second quarter of fiscal 2021, compared with 4.5 for the second quarter of fiscal 2020 and 3.5 for the fourth quarter of fiscal 2020.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payable- trade as of November 1, 2020, totaling $38.2 million, increased $11.9 million, or 45.2%, compared with $26.3 million as of November 3, 2019. Additionally, accounts payable- trade as of November 1, 2020, totaling $38.2 million, increased $15.2 million, or 66.3%, compared with $23.0 million as of May 3, 2020. The increase in accounts payable reflects our increase in net sales (and related raw material purchases) during the second quarter of fiscal 2021 compared with the second quarter and fourth quarters of fiscal 2020, as well as the negotiation of temporary credit terms with our vendors and landlords as part of our comprehensive response to the COVID-19 global pandemic.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Arrangements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1, 2020, we did not have any outstanding borrowings associated with our revolving credit agreements.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November 1, 2020, we were in compliance with these financial covenants.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Refer to Note 10 of the consolidated financial statements for further details of our revolving credit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Capital expenditures on a cash basis were $2.0 million for the first half of fiscal 2021, compared with $2.4 million for the same period a year ago. Capital expenditures primarily related to our mattress fabrics segment for both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was $3.5 million for the first half of fiscal 2021, compared with $3.9 million for the same period a year ago.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mostly related to our mattress fabrics segment for both periods.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fiscal 2021, we are projecting cash capital expenditures to be in the range of $8.5 million to $9.0 million. Depreciation expense is projected to be approximately $7.0 million in fiscal 2021. The estimated capital expenditures and depreciation expense for fiscal 2021 mostly relate to the mattress fabrics segment. These are management’s current expectations only, and changes in our business and the unknown duration and financial impact of the COVID-19 global pandemic could cause changes in plans for capital expenditures and expectations related to depreciation expense. Funding for capital expenditures is expected to be primarily from cash provided by operating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November 1, 2020, we had total amounts due regarding capital expenditures totaling $68,000 pertaining to outstanding vendor invoices, none of which were financed. The total amount outstanding of $68,000 is required to be paid based on normal credit terms.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November 1, 2020, we had open purchase commitments to acquire equipment for our mattress fabrics segment totaling $5.0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Critical Accounting Policies and Recent Accounting Developments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November 1, 2020, there were no changes in our significant accounting policies or the application of those policies from those reported in our annual report on Form 10-K for the year ended May 3, 2020.</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since the filing of our Form 10-K for the year ended May 3, 2020.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Contractual Obligations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than as disclosed in Notes 17 and 18 of the consolidated financial statements, as of November 1, 2020, there were no significant or new contractual obligations from those reported in our annual report on Form 10-K for the year ended May 3,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Inflation</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u w:val="single" w:color="auto"/>
          <w:color w:val="auto"/>
        </w:rPr>
        <w:t>ITEM 3.</w:t>
      </w:r>
      <w:r>
        <w:rPr>
          <w:sz w:val="20"/>
          <w:szCs w:val="20"/>
          <w:color w:val="auto"/>
        </w:rPr>
        <w:tab/>
      </w:r>
      <w:r>
        <w:rPr>
          <w:rFonts w:ascii="Times New Roman" w:cs="Times New Roman" w:eastAsia="Times New Roman" w:hAnsi="Times New Roman"/>
          <w:sz w:val="19"/>
          <w:szCs w:val="19"/>
          <w:u w:val="single" w:color="auto"/>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with regards to our revolving credit agreements.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U.S. revolving credit agreement requires interest to be charged at a rate (applicable interest rate of 1.74% at November 1, 2020) as a variable spread over LIBOR based on the company’s ratio of debt to EBITDA as defined in the U.S. revolving credit agreement. As of November 1, 2020, there were no outstanding borrowings under our U.S. revolving credit agreement. Our revolving credit agreements associated with our operations located in China bear interest at a rate determined by the Chinese government at the time of borrowing. As of November 1, 2020, there were not any borrowing outstanding pursuant to our revolving credit agreements associated with our operations located in China.</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and China. We try to maintain a natural hedge by keeping a balance of our assets and liabilities denominated in the local currency 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9" w:name="page50"/>
    <w:bookmarkEnd w:id="49"/>
    <w:p>
      <w:pPr>
        <w:jc w:val="both"/>
        <w:spacing w:after="0" w:line="249" w:lineRule="auto"/>
        <w:rPr>
          <w:sz w:val="20"/>
          <w:szCs w:val="20"/>
          <w:color w:val="auto"/>
        </w:rPr>
      </w:pPr>
      <w:r>
        <w:rPr>
          <w:rFonts w:ascii="Times New Roman" w:cs="Times New Roman" w:eastAsia="Times New Roman" w:hAnsi="Times New Roman"/>
          <w:sz w:val="20"/>
          <w:szCs w:val="20"/>
          <w:color w:val="auto"/>
        </w:rPr>
        <w:t>our subsidiaries domiciled in Canada and China, although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As a result, a 10% change in the above exchange rates as of November 1, 2020, would not have materially affected our results of operations or financial position.</w:t>
      </w:r>
    </w:p>
    <w:p>
      <w:pPr>
        <w:spacing w:after="0" w:line="15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u w:val="single" w:color="auto"/>
          <w:color w:val="auto"/>
        </w:rPr>
        <w:t>ITEM 4.</w:t>
      </w:r>
      <w:r>
        <w:rPr>
          <w:sz w:val="20"/>
          <w:szCs w:val="20"/>
          <w:color w:val="auto"/>
        </w:rPr>
        <w:tab/>
      </w:r>
      <w:r>
        <w:rPr>
          <w:rFonts w:ascii="Times New Roman" w:cs="Times New Roman" w:eastAsia="Times New Roman" w:hAnsi="Times New Roman"/>
          <w:sz w:val="19"/>
          <w:szCs w:val="19"/>
          <w:u w:val="single" w:color="auto"/>
          <w:color w:val="auto"/>
        </w:rPr>
        <w:t>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November 1, 2020,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Executive Chairman, Chief Executive Officer, and Chief Financial Officer. Based upon that evaluation, our Executive Chairman,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Executive Chairman,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November 1, 2020,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u w:val="single" w:color="auto"/>
          <w:color w:val="auto"/>
        </w:rPr>
        <w:t>Item 1.</w:t>
      </w:r>
      <w:r>
        <w:rPr>
          <w:sz w:val="20"/>
          <w:szCs w:val="20"/>
          <w:color w:val="auto"/>
        </w:rPr>
        <w:tab/>
      </w:r>
      <w:r>
        <w:rPr>
          <w:rFonts w:ascii="Times New Roman" w:cs="Times New Roman" w:eastAsia="Times New Roman" w:hAnsi="Times New Roman"/>
          <w:sz w:val="19"/>
          <w:szCs w:val="19"/>
          <w:u w:val="single" w:color="auto"/>
          <w:color w:val="auto"/>
        </w:rPr>
        <w:t>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November 1, 2020. Our legal proceedings are disclosed in the company’s annual report on Form 10-K filed with the Securities and Exchange Commission on July 17, 2020, for the fiscal year ended May 3, 2020.</w:t>
      </w:r>
    </w:p>
    <w:p>
      <w:pPr>
        <w:spacing w:after="0" w:line="1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u w:val="single" w:color="auto"/>
          <w:color w:val="auto"/>
        </w:rPr>
        <w:t>Item 1A.</w:t>
      </w:r>
      <w:r>
        <w:rPr>
          <w:sz w:val="20"/>
          <w:szCs w:val="20"/>
          <w:color w:val="auto"/>
        </w:rPr>
        <w:tab/>
      </w:r>
      <w:r>
        <w:rPr>
          <w:rFonts w:ascii="Times New Roman" w:cs="Times New Roman" w:eastAsia="Times New Roman" w:hAnsi="Times New Roman"/>
          <w:sz w:val="19"/>
          <w:szCs w:val="19"/>
          <w:u w:val="single" w:color="auto"/>
          <w:color w:val="auto"/>
        </w:rPr>
        <w:t>Risk Factors</w:t>
      </w:r>
    </w:p>
    <w:p>
      <w:pPr>
        <w:spacing w:after="0" w:line="17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November 1, 2020. Our risk factors are disclosed in Item 1A “Risk Factors” of the company’s annual report on Form 10-K filed with the Securities and Exchange Commission on July 17, 2020 for the fiscal year ended May 3, 2020.</w:t>
      </w:r>
    </w:p>
    <w:p>
      <w:pPr>
        <w:spacing w:after="0" w:line="14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u w:val="single" w:color="auto"/>
          <w:color w:val="auto"/>
        </w:rPr>
        <w:t>Item 2.</w:t>
      </w:r>
      <w:r>
        <w:rPr>
          <w:sz w:val="20"/>
          <w:szCs w:val="20"/>
          <w:color w:val="auto"/>
        </w:rPr>
        <w:tab/>
      </w:r>
      <w:r>
        <w:rPr>
          <w:rFonts w:ascii="Times New Roman" w:cs="Times New Roman" w:eastAsia="Times New Roman" w:hAnsi="Times New Roman"/>
          <w:sz w:val="19"/>
          <w:szCs w:val="19"/>
          <w:u w:val="single" w:color="auto"/>
          <w:color w:val="auto"/>
        </w:rPr>
        <w:t>Unregistered Sales of Equity Securities and Use of Proceeds</w:t>
      </w:r>
    </w:p>
    <w:p>
      <w:pPr>
        <w:spacing w:after="0" w:line="17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5640" w:type="dxa"/>
            <w:vAlign w:val="bottom"/>
            <w:tcBorders>
              <w:top w:val="single" w:sz="8" w:color="auto"/>
              <w:left w:val="single" w:sz="8" w:color="auto"/>
              <w:right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Total Number of</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Approximate</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(a)</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Shares Purchased</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Dollar Value of</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4"/>
              </w:rPr>
              <w:t>Total</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as Part of</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Shares that May</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Number</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Average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Publicly</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Yet Be Purchased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of Shares</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Price Paid</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Announced Plans</w:t>
            </w:r>
          </w:p>
        </w:tc>
        <w:tc>
          <w:tcPr>
            <w:tcW w:w="14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Under the Plans or</w:t>
            </w:r>
          </w:p>
        </w:tc>
      </w:tr>
      <w:tr>
        <w:trPr>
          <w:trHeight w:val="219"/>
        </w:trPr>
        <w:tc>
          <w:tcPr>
            <w:tcW w:w="5640" w:type="dxa"/>
            <w:vAlign w:val="bottom"/>
            <w:tcBorders>
              <w:left w:val="single" w:sz="8" w:color="auto"/>
              <w:bottom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16"/>
                <w:szCs w:val="16"/>
                <w:color w:val="auto"/>
              </w:rPr>
              <w:t>Period</w:t>
            </w:r>
          </w:p>
        </w:tc>
        <w:tc>
          <w:tcPr>
            <w:tcW w:w="10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rPr>
              <w:t>Purchased</w:t>
            </w:r>
          </w:p>
        </w:tc>
        <w:tc>
          <w:tcPr>
            <w:tcW w:w="3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per 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or Programs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Programs (1)</w:t>
            </w:r>
          </w:p>
        </w:tc>
      </w:tr>
      <w:tr>
        <w:trPr>
          <w:trHeight w:val="210"/>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3, 2020 to September 6, 2020</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r>
      <w:tr>
        <w:trPr>
          <w:trHeight w:val="210"/>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September 7, 2020 to October 4, 2020</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r>
      <w:tr>
        <w:trPr>
          <w:trHeight w:val="209"/>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October 5, 2020 to November 1, 2020</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r>
    </w:tbl>
    <w:p>
      <w:pPr>
        <w:spacing w:after="0" w:line="202" w:lineRule="exact"/>
        <w:rPr>
          <w:sz w:val="20"/>
          <w:szCs w:val="20"/>
          <w:color w:val="auto"/>
        </w:rPr>
      </w:pPr>
    </w:p>
    <w:p>
      <w:pPr>
        <w:jc w:val="both"/>
        <w:ind w:left="360" w:hanging="352"/>
        <w:spacing w:after="0" w:line="281" w:lineRule="auto"/>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 As part of our comprehensive response to the COVID-19 pandemic, we announced on April 3, 2020, that our board of directors temporarily suspended the share repurchase program given the ongoing economic disruption and uncertainty.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1" w:name="page52"/>
    <w:bookmarkEnd w:id="51"/>
    <w:p>
      <w:pPr>
        <w:spacing w:after="0"/>
        <w:tabs>
          <w:tab w:leader="none" w:pos="1840" w:val="left"/>
        </w:tabs>
        <w:rPr>
          <w:sz w:val="20"/>
          <w:szCs w:val="20"/>
          <w:color w:val="auto"/>
        </w:rPr>
      </w:pPr>
      <w:r>
        <w:rPr>
          <w:rFonts w:ascii="Times New Roman" w:cs="Times New Roman" w:eastAsia="Times New Roman" w:hAnsi="Times New Roman"/>
          <w:sz w:val="20"/>
          <w:szCs w:val="20"/>
          <w:u w:val="single" w:color="auto"/>
          <w:color w:val="auto"/>
        </w:rPr>
        <w:t>Item 6.</w:t>
      </w:r>
      <w:r>
        <w:rPr>
          <w:sz w:val="20"/>
          <w:szCs w:val="20"/>
          <w:color w:val="auto"/>
        </w:rPr>
        <w:tab/>
      </w:r>
      <w:r>
        <w:rPr>
          <w:rFonts w:ascii="Times New Roman" w:cs="Times New Roman" w:eastAsia="Times New Roman" w:hAnsi="Times New Roman"/>
          <w:sz w:val="19"/>
          <w:szCs w:val="19"/>
          <w:u w:val="single" w:color="auto"/>
          <w:color w:val="auto"/>
        </w:rPr>
        <w:t>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9120" w:type="dxa"/>
            <w:vAlign w:val="bottom"/>
          </w:tcPr>
          <w:p>
            <w:pPr>
              <w:ind w:left="60"/>
              <w:spacing w:after="0"/>
              <w:rPr>
                <w:rFonts w:ascii="Times New Roman" w:cs="Times New Roman" w:eastAsia="Times New Roman" w:hAnsi="Times New Roman"/>
                <w:sz w:val="16"/>
                <w:szCs w:val="16"/>
                <w:u w:val="single" w:color="auto"/>
                <w:color w:val="0000EE"/>
              </w:rPr>
            </w:pPr>
            <w:hyperlink w:anchor="page55">
              <w:r>
                <w:rPr>
                  <w:rFonts w:ascii="Times New Roman" w:cs="Times New Roman" w:eastAsia="Times New Roman" w:hAnsi="Times New Roman"/>
                  <w:sz w:val="16"/>
                  <w:szCs w:val="16"/>
                  <w:u w:val="single" w:color="auto"/>
                  <w:color w:val="0000EE"/>
                </w:rPr>
                <w:t>Form of Annual Incentive Award Agreement.</w:t>
              </w:r>
            </w:hyperlink>
          </w:p>
        </w:tc>
      </w:tr>
      <w:tr>
        <w:trPr>
          <w:trHeight w:val="324"/>
        </w:trPr>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10.2</w:t>
            </w:r>
          </w:p>
        </w:tc>
        <w:tc>
          <w:tcPr>
            <w:tcW w:w="9120" w:type="dxa"/>
            <w:vAlign w:val="bottom"/>
          </w:tcPr>
          <w:p>
            <w:pPr>
              <w:ind w:left="60"/>
              <w:spacing w:after="0"/>
              <w:rPr>
                <w:rFonts w:ascii="Times New Roman" w:cs="Times New Roman" w:eastAsia="Times New Roman" w:hAnsi="Times New Roman"/>
                <w:sz w:val="16"/>
                <w:szCs w:val="16"/>
                <w:u w:val="single" w:color="auto"/>
                <w:color w:val="0000EE"/>
              </w:rPr>
            </w:pPr>
            <w:hyperlink w:anchor="page64">
              <w:r>
                <w:rPr>
                  <w:rFonts w:ascii="Times New Roman" w:cs="Times New Roman" w:eastAsia="Times New Roman" w:hAnsi="Times New Roman"/>
                  <w:sz w:val="16"/>
                  <w:szCs w:val="16"/>
                  <w:u w:val="single" w:color="auto"/>
                  <w:color w:val="0000EE"/>
                </w:rPr>
                <w:t>Form of Restricted Stock Unit Agreement for restricted stock units granted to executive officers pursuant to the 2015 Equity Incentive Plan.</w:t>
              </w:r>
            </w:hyperlink>
          </w:p>
        </w:tc>
      </w:tr>
      <w:tr>
        <w:trPr>
          <w:trHeight w:val="324"/>
        </w:trPr>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31.1</w:t>
            </w:r>
          </w:p>
        </w:tc>
        <w:tc>
          <w:tcPr>
            <w:tcW w:w="9120" w:type="dxa"/>
            <w:vAlign w:val="bottom"/>
          </w:tcPr>
          <w:p>
            <w:pPr>
              <w:ind w:left="60"/>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Certification of Co-Principal Executive Officer Pursuant to Section 302 of Sarbanes-Oxley Act of 2002.</w:t>
              </w:r>
            </w:hyperlink>
          </w:p>
        </w:tc>
      </w:tr>
      <w:tr>
        <w:trPr>
          <w:trHeight w:val="324"/>
        </w:trPr>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31.2</w:t>
            </w:r>
          </w:p>
        </w:tc>
        <w:tc>
          <w:tcPr>
            <w:tcW w:w="9120" w:type="dxa"/>
            <w:vAlign w:val="bottom"/>
          </w:tcPr>
          <w:p>
            <w:pPr>
              <w:ind w:left="60"/>
              <w:spacing w:after="0"/>
              <w:rPr>
                <w:rFonts w:ascii="Times New Roman" w:cs="Times New Roman" w:eastAsia="Times New Roman" w:hAnsi="Times New Roman"/>
                <w:sz w:val="16"/>
                <w:szCs w:val="16"/>
                <w:u w:val="single" w:color="auto"/>
                <w:color w:val="0000EE"/>
              </w:rPr>
            </w:pPr>
            <w:hyperlink w:anchor="page71">
              <w:r>
                <w:rPr>
                  <w:rFonts w:ascii="Times New Roman" w:cs="Times New Roman" w:eastAsia="Times New Roman" w:hAnsi="Times New Roman"/>
                  <w:sz w:val="16"/>
                  <w:szCs w:val="16"/>
                  <w:u w:val="single" w:color="auto"/>
                  <w:color w:val="0000EE"/>
                </w:rPr>
                <w:t>Certification of Co-Principal Executive Officer Pursuant to Section 302 of Sarbanes-Oxley Act of 2002.</w:t>
              </w:r>
            </w:hyperlink>
          </w:p>
        </w:tc>
      </w:tr>
      <w:tr>
        <w:trPr>
          <w:trHeight w:val="324"/>
        </w:trPr>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31.3</w:t>
            </w:r>
          </w:p>
        </w:tc>
        <w:tc>
          <w:tcPr>
            <w:tcW w:w="9120" w:type="dxa"/>
            <w:vAlign w:val="bottom"/>
          </w:tcPr>
          <w:p>
            <w:pPr>
              <w:ind w:left="60"/>
              <w:spacing w:after="0"/>
              <w:rPr>
                <w:rFonts w:ascii="Times New Roman" w:cs="Times New Roman" w:eastAsia="Times New Roman" w:hAnsi="Times New Roman"/>
                <w:sz w:val="16"/>
                <w:szCs w:val="16"/>
                <w:u w:val="single" w:color="auto"/>
                <w:color w:val="0000EE"/>
              </w:rPr>
            </w:pPr>
            <w:hyperlink w:anchor="page72">
              <w:r>
                <w:rPr>
                  <w:rFonts w:ascii="Times New Roman" w:cs="Times New Roman" w:eastAsia="Times New Roman" w:hAnsi="Times New Roman"/>
                  <w:sz w:val="16"/>
                  <w:szCs w:val="16"/>
                  <w:u w:val="single" w:color="auto"/>
                  <w:color w:val="0000EE"/>
                </w:rPr>
                <w:t>Certification of Chief Financial Officer Pursuant to Section 302 of Sarbanes-Oxley Act of 2002.</w:t>
              </w:r>
            </w:hyperlink>
          </w:p>
        </w:tc>
      </w:tr>
      <w:tr>
        <w:trPr>
          <w:trHeight w:val="324"/>
        </w:trPr>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32.1</w:t>
            </w:r>
          </w:p>
        </w:tc>
        <w:tc>
          <w:tcPr>
            <w:tcW w:w="9120" w:type="dxa"/>
            <w:vAlign w:val="bottom"/>
          </w:tcPr>
          <w:p>
            <w:pPr>
              <w:ind w:left="60"/>
              <w:spacing w:after="0"/>
              <w:rPr>
                <w:rFonts w:ascii="Times New Roman" w:cs="Times New Roman" w:eastAsia="Times New Roman" w:hAnsi="Times New Roman"/>
                <w:sz w:val="16"/>
                <w:szCs w:val="16"/>
                <w:u w:val="single" w:color="auto"/>
                <w:color w:val="0000EE"/>
              </w:rPr>
            </w:pPr>
            <w:hyperlink w:anchor="page73">
              <w:r>
                <w:rPr>
                  <w:rFonts w:ascii="Times New Roman" w:cs="Times New Roman" w:eastAsia="Times New Roman" w:hAnsi="Times New Roman"/>
                  <w:sz w:val="16"/>
                  <w:szCs w:val="16"/>
                  <w:u w:val="single" w:color="auto"/>
                  <w:color w:val="0000EE"/>
                </w:rPr>
                <w:t>Certification of Co-Principal Executive Officer Pursuant to Section 906 of Sarbanes-Oxley Act of 2002.</w:t>
              </w:r>
            </w:hyperlink>
          </w:p>
        </w:tc>
      </w:tr>
      <w:tr>
        <w:trPr>
          <w:trHeight w:val="324"/>
        </w:trPr>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32.2</w:t>
            </w:r>
          </w:p>
        </w:tc>
        <w:tc>
          <w:tcPr>
            <w:tcW w:w="9120" w:type="dxa"/>
            <w:vAlign w:val="bottom"/>
          </w:tcPr>
          <w:p>
            <w:pPr>
              <w:ind w:left="60"/>
              <w:spacing w:after="0"/>
              <w:rPr>
                <w:rFonts w:ascii="Times New Roman" w:cs="Times New Roman" w:eastAsia="Times New Roman" w:hAnsi="Times New Roman"/>
                <w:sz w:val="16"/>
                <w:szCs w:val="16"/>
                <w:u w:val="single" w:color="auto"/>
                <w:color w:val="0000EE"/>
              </w:rPr>
            </w:pPr>
            <w:hyperlink w:anchor="page74">
              <w:r>
                <w:rPr>
                  <w:rFonts w:ascii="Times New Roman" w:cs="Times New Roman" w:eastAsia="Times New Roman" w:hAnsi="Times New Roman"/>
                  <w:sz w:val="16"/>
                  <w:szCs w:val="16"/>
                  <w:u w:val="single" w:color="auto"/>
                  <w:color w:val="0000EE"/>
                </w:rPr>
                <w:t>Certification of Co-Principal Executive Officer Pursuant to Section 906 of Sarbanes-Oxley Act of 2002.</w:t>
              </w:r>
            </w:hyperlink>
          </w:p>
        </w:tc>
      </w:tr>
      <w:tr>
        <w:trPr>
          <w:trHeight w:val="324"/>
        </w:trPr>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32.3</w:t>
            </w:r>
          </w:p>
        </w:tc>
        <w:tc>
          <w:tcPr>
            <w:tcW w:w="9120" w:type="dxa"/>
            <w:vAlign w:val="bottom"/>
          </w:tcPr>
          <w:p>
            <w:pPr>
              <w:ind w:left="60"/>
              <w:spacing w:after="0"/>
              <w:rPr>
                <w:rFonts w:ascii="Times New Roman" w:cs="Times New Roman" w:eastAsia="Times New Roman" w:hAnsi="Times New Roman"/>
                <w:sz w:val="16"/>
                <w:szCs w:val="16"/>
                <w:u w:val="single" w:color="auto"/>
                <w:color w:val="0000EE"/>
              </w:rPr>
            </w:pPr>
            <w:hyperlink w:anchor="page75">
              <w:r>
                <w:rPr>
                  <w:rFonts w:ascii="Times New Roman" w:cs="Times New Roman" w:eastAsia="Times New Roman" w:hAnsi="Times New Roman"/>
                  <w:sz w:val="16"/>
                  <w:szCs w:val="16"/>
                  <w:u w:val="single" w:color="auto"/>
                  <w:color w:val="0000EE"/>
                </w:rPr>
                <w:t>Certification of Chief Financial Officer Pursuant to Section 906 of Sarbanes-Oxley Act of 2002.</w:t>
              </w:r>
            </w:hyperlink>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CULP, INC.</w:t>
            </w:r>
          </w:p>
        </w:tc>
      </w:tr>
      <w:tr>
        <w:trPr>
          <w:trHeight w:val="212"/>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(Registrant)</w:t>
            </w:r>
          </w:p>
        </w:tc>
      </w:tr>
      <w:tr>
        <w:trPr>
          <w:trHeight w:val="408"/>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11, 2020</w:t>
            </w:r>
          </w:p>
        </w:tc>
        <w:tc>
          <w:tcPr>
            <w:tcW w:w="25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Kenneth R. Bowling</w:t>
            </w:r>
          </w:p>
        </w:tc>
      </w:tr>
      <w:tr>
        <w:trPr>
          <w:trHeight w:val="18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Kenneth R. Bowling</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(Authorized to sign on behalf of the registrant and also signing as principal</w:t>
            </w:r>
          </w:p>
        </w:tc>
      </w:tr>
      <w:tr>
        <w:trPr>
          <w:trHeight w:val="210"/>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financial officer)</w:t>
            </w:r>
          </w:p>
        </w:tc>
      </w:tr>
      <w:tr>
        <w:trPr>
          <w:trHeight w:val="610"/>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B. Gallagher, Jr.</w:t>
            </w:r>
          </w:p>
        </w:tc>
      </w:tr>
      <w:tr>
        <w:trPr>
          <w:trHeight w:val="18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Thomas B. Gallagher, Jr.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Corporate Controller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(Authorized to sign on behalf of the registrant and also signing as principal</w:t>
            </w:r>
          </w:p>
        </w:tc>
      </w:tr>
      <w:tr>
        <w:trPr>
          <w:trHeight w:val="210"/>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62"/>
        </w:trPr>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100" w:type="dxa"/>
            <w:vAlign w:val="bottom"/>
          </w:tcPr>
          <w:p>
            <w:pPr>
              <w:ind w:left="372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1010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r>
      <w:tr>
        <w:trPr>
          <w:trHeight w:val="312"/>
        </w:trPr>
        <w:tc>
          <w:tcPr>
            <w:tcW w:w="1040" w:type="dxa"/>
            <w:vAlign w:val="bottom"/>
            <w:tcBorders>
              <w:top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10100" w:type="dxa"/>
            <w:vAlign w:val="bottom"/>
            <w:tcBorders>
              <w:top w:val="single" w:sz="8" w:color="auto"/>
            </w:tcBorders>
          </w:tcPr>
          <w:p>
            <w:pPr>
              <w:spacing w:after="0"/>
              <w:rPr>
                <w:rFonts w:ascii="Times New Roman" w:cs="Times New Roman" w:eastAsia="Times New Roman" w:hAnsi="Times New Roman"/>
                <w:sz w:val="16"/>
                <w:szCs w:val="16"/>
                <w:u w:val="single" w:color="auto"/>
                <w:color w:val="0000EE"/>
              </w:rPr>
            </w:pPr>
            <w:hyperlink w:anchor="page55">
              <w:r>
                <w:rPr>
                  <w:rFonts w:ascii="Times New Roman" w:cs="Times New Roman" w:eastAsia="Times New Roman" w:hAnsi="Times New Roman"/>
                  <w:sz w:val="16"/>
                  <w:szCs w:val="16"/>
                  <w:u w:val="single" w:color="auto"/>
                  <w:color w:val="0000EE"/>
                </w:rPr>
                <w:t>Form of Annual Incentive Award Agreement.</w:t>
              </w:r>
            </w:hyperlink>
          </w:p>
        </w:tc>
      </w:tr>
      <w:tr>
        <w:trPr>
          <w:trHeight w:val="405"/>
        </w:trPr>
        <w:tc>
          <w:tcPr>
            <w:tcW w:w="104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10100" w:type="dxa"/>
            <w:vAlign w:val="bottom"/>
          </w:tcPr>
          <w:p>
            <w:pPr>
              <w:spacing w:after="0"/>
              <w:rPr>
                <w:rFonts w:ascii="Times New Roman" w:cs="Times New Roman" w:eastAsia="Times New Roman" w:hAnsi="Times New Roman"/>
                <w:sz w:val="16"/>
                <w:szCs w:val="16"/>
                <w:u w:val="single" w:color="auto"/>
                <w:color w:val="0000EE"/>
              </w:rPr>
            </w:pPr>
            <w:hyperlink w:anchor="page64">
              <w:r>
                <w:rPr>
                  <w:rFonts w:ascii="Times New Roman" w:cs="Times New Roman" w:eastAsia="Times New Roman" w:hAnsi="Times New Roman"/>
                  <w:sz w:val="16"/>
                  <w:szCs w:val="16"/>
                  <w:u w:val="single" w:color="auto"/>
                  <w:color w:val="0000EE"/>
                </w:rPr>
                <w:t>Form of Restricted Stock Unit Agreement for restricted stock units granted to executive officers pursuant to the 2015 Equity Incentive Plan.</w:t>
              </w:r>
            </w:hyperlink>
          </w:p>
        </w:tc>
      </w:tr>
      <w:tr>
        <w:trPr>
          <w:trHeight w:val="324"/>
        </w:trPr>
        <w:tc>
          <w:tcPr>
            <w:tcW w:w="104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4"/>
                <w:szCs w:val="24"/>
                <w:color w:val="auto"/>
              </w:rPr>
            </w:pPr>
          </w:p>
        </w:tc>
        <w:tc>
          <w:tcPr>
            <w:tcW w:w="10100" w:type="dxa"/>
            <w:vAlign w:val="bottom"/>
          </w:tcPr>
          <w:p>
            <w:pPr>
              <w:spacing w:after="0"/>
              <w:rPr>
                <w:rFonts w:ascii="Times New Roman" w:cs="Times New Roman" w:eastAsia="Times New Roman" w:hAnsi="Times New Roman"/>
                <w:sz w:val="16"/>
                <w:szCs w:val="16"/>
                <w:u w:val="single" w:color="auto"/>
                <w:color w:val="0000EE"/>
              </w:rPr>
            </w:pPr>
            <w:hyperlink w:anchor="page70">
              <w:r>
                <w:rPr>
                  <w:rFonts w:ascii="Times New Roman" w:cs="Times New Roman" w:eastAsia="Times New Roman" w:hAnsi="Times New Roman"/>
                  <w:sz w:val="16"/>
                  <w:szCs w:val="16"/>
                  <w:u w:val="single" w:color="auto"/>
                  <w:color w:val="0000EE"/>
                </w:rPr>
                <w:t>Certification of Co-Principal Executive Officer Pursuant to Section 302 of Sarbanes-Oxley Act of 2002.</w:t>
              </w:r>
            </w:hyperlink>
          </w:p>
        </w:tc>
      </w:tr>
      <w:tr>
        <w:trPr>
          <w:trHeight w:val="324"/>
        </w:trPr>
        <w:tc>
          <w:tcPr>
            <w:tcW w:w="104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4"/>
                <w:szCs w:val="24"/>
                <w:color w:val="auto"/>
              </w:rPr>
            </w:pPr>
          </w:p>
        </w:tc>
        <w:tc>
          <w:tcPr>
            <w:tcW w:w="10100" w:type="dxa"/>
            <w:vAlign w:val="bottom"/>
          </w:tcPr>
          <w:p>
            <w:pPr>
              <w:spacing w:after="0"/>
              <w:rPr>
                <w:rFonts w:ascii="Times New Roman" w:cs="Times New Roman" w:eastAsia="Times New Roman" w:hAnsi="Times New Roman"/>
                <w:sz w:val="16"/>
                <w:szCs w:val="16"/>
                <w:u w:val="single" w:color="auto"/>
                <w:color w:val="0000EE"/>
              </w:rPr>
            </w:pPr>
            <w:hyperlink w:anchor="page71">
              <w:r>
                <w:rPr>
                  <w:rFonts w:ascii="Times New Roman" w:cs="Times New Roman" w:eastAsia="Times New Roman" w:hAnsi="Times New Roman"/>
                  <w:sz w:val="16"/>
                  <w:szCs w:val="16"/>
                  <w:u w:val="single" w:color="auto"/>
                  <w:color w:val="0000EE"/>
                </w:rPr>
                <w:t>Certification of Co-Principal Executive Officer Pursuant to Section 302 of Sarbanes-Oxley Act of 2002.</w:t>
              </w:r>
            </w:hyperlink>
          </w:p>
        </w:tc>
      </w:tr>
      <w:tr>
        <w:trPr>
          <w:trHeight w:val="324"/>
        </w:trPr>
        <w:tc>
          <w:tcPr>
            <w:tcW w:w="104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24"/>
                <w:szCs w:val="24"/>
                <w:color w:val="auto"/>
              </w:rPr>
            </w:pPr>
          </w:p>
        </w:tc>
        <w:tc>
          <w:tcPr>
            <w:tcW w:w="10100" w:type="dxa"/>
            <w:vAlign w:val="bottom"/>
          </w:tcPr>
          <w:p>
            <w:pPr>
              <w:spacing w:after="0"/>
              <w:rPr>
                <w:rFonts w:ascii="Times New Roman" w:cs="Times New Roman" w:eastAsia="Times New Roman" w:hAnsi="Times New Roman"/>
                <w:sz w:val="16"/>
                <w:szCs w:val="16"/>
                <w:u w:val="single" w:color="auto"/>
                <w:color w:val="0000EE"/>
              </w:rPr>
            </w:pPr>
            <w:hyperlink w:anchor="page72">
              <w:r>
                <w:rPr>
                  <w:rFonts w:ascii="Times New Roman" w:cs="Times New Roman" w:eastAsia="Times New Roman" w:hAnsi="Times New Roman"/>
                  <w:sz w:val="16"/>
                  <w:szCs w:val="16"/>
                  <w:u w:val="single" w:color="auto"/>
                  <w:color w:val="0000EE"/>
                </w:rPr>
                <w:t>Certification of Chief Financial Officer Pursuant to Section 302 of Sarbanes-Oxley Act of 2002.</w:t>
              </w:r>
            </w:hyperlink>
          </w:p>
        </w:tc>
      </w:tr>
      <w:tr>
        <w:trPr>
          <w:trHeight w:val="324"/>
        </w:trPr>
        <w:tc>
          <w:tcPr>
            <w:tcW w:w="104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4"/>
                <w:szCs w:val="24"/>
                <w:color w:val="auto"/>
              </w:rPr>
            </w:pPr>
          </w:p>
        </w:tc>
        <w:tc>
          <w:tcPr>
            <w:tcW w:w="10100" w:type="dxa"/>
            <w:vAlign w:val="bottom"/>
          </w:tcPr>
          <w:p>
            <w:pPr>
              <w:spacing w:after="0"/>
              <w:rPr>
                <w:rFonts w:ascii="Times New Roman" w:cs="Times New Roman" w:eastAsia="Times New Roman" w:hAnsi="Times New Roman"/>
                <w:sz w:val="16"/>
                <w:szCs w:val="16"/>
                <w:u w:val="single" w:color="auto"/>
                <w:color w:val="0000EE"/>
              </w:rPr>
            </w:pPr>
            <w:hyperlink w:anchor="page73">
              <w:r>
                <w:rPr>
                  <w:rFonts w:ascii="Times New Roman" w:cs="Times New Roman" w:eastAsia="Times New Roman" w:hAnsi="Times New Roman"/>
                  <w:sz w:val="16"/>
                  <w:szCs w:val="16"/>
                  <w:u w:val="single" w:color="auto"/>
                  <w:color w:val="0000EE"/>
                </w:rPr>
                <w:t>Certification of Co-Principal Executive Officer Pursuant to Section 906 of Sarbanes-Oxley Act of 2002.</w:t>
              </w:r>
            </w:hyperlink>
          </w:p>
        </w:tc>
      </w:tr>
      <w:tr>
        <w:trPr>
          <w:trHeight w:val="324"/>
        </w:trPr>
        <w:tc>
          <w:tcPr>
            <w:tcW w:w="104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4"/>
                <w:szCs w:val="24"/>
                <w:color w:val="auto"/>
              </w:rPr>
            </w:pPr>
          </w:p>
        </w:tc>
        <w:tc>
          <w:tcPr>
            <w:tcW w:w="10100" w:type="dxa"/>
            <w:vAlign w:val="bottom"/>
          </w:tcPr>
          <w:p>
            <w:pPr>
              <w:spacing w:after="0"/>
              <w:rPr>
                <w:rFonts w:ascii="Times New Roman" w:cs="Times New Roman" w:eastAsia="Times New Roman" w:hAnsi="Times New Roman"/>
                <w:sz w:val="16"/>
                <w:szCs w:val="16"/>
                <w:u w:val="single" w:color="auto"/>
                <w:color w:val="0000EE"/>
              </w:rPr>
            </w:pPr>
            <w:hyperlink w:anchor="page74">
              <w:r>
                <w:rPr>
                  <w:rFonts w:ascii="Times New Roman" w:cs="Times New Roman" w:eastAsia="Times New Roman" w:hAnsi="Times New Roman"/>
                  <w:sz w:val="16"/>
                  <w:szCs w:val="16"/>
                  <w:u w:val="single" w:color="auto"/>
                  <w:color w:val="0000EE"/>
                </w:rPr>
                <w:t>Certification of Co-Principal Executive Officer Pursuant to Section 906 of Sarbanes-Oxley Act of 2002.</w:t>
              </w:r>
            </w:hyperlink>
          </w:p>
        </w:tc>
      </w:tr>
      <w:tr>
        <w:trPr>
          <w:trHeight w:val="324"/>
        </w:trPr>
        <w:tc>
          <w:tcPr>
            <w:tcW w:w="104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4"/>
                <w:szCs w:val="24"/>
                <w:color w:val="auto"/>
              </w:rPr>
            </w:pPr>
          </w:p>
        </w:tc>
        <w:tc>
          <w:tcPr>
            <w:tcW w:w="10100" w:type="dxa"/>
            <w:vAlign w:val="bottom"/>
          </w:tcPr>
          <w:p>
            <w:pPr>
              <w:spacing w:after="0"/>
              <w:rPr>
                <w:rFonts w:ascii="Times New Roman" w:cs="Times New Roman" w:eastAsia="Times New Roman" w:hAnsi="Times New Roman"/>
                <w:sz w:val="16"/>
                <w:szCs w:val="16"/>
                <w:u w:val="single" w:color="auto"/>
                <w:color w:val="0000EE"/>
              </w:rPr>
            </w:pPr>
            <w:hyperlink w:anchor="page75">
              <w:r>
                <w:rPr>
                  <w:rFonts w:ascii="Times New Roman" w:cs="Times New Roman" w:eastAsia="Times New Roman" w:hAnsi="Times New Roman"/>
                  <w:sz w:val="16"/>
                  <w:szCs w:val="16"/>
                  <w:u w:val="single" w:color="auto"/>
                  <w:color w:val="0000EE"/>
                </w:rPr>
                <w:t>Certification of Chief Financial Officer Pursuant to Section 906 of Sarbanes-Oxley Act of 2002.</w:t>
              </w:r>
            </w:hyperlink>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II-4</w:t>
      </w:r>
    </w:p>
    <w:p>
      <w:pPr>
        <w:sectPr>
          <w:pgSz w:w="11900" w:h="16838" w:orient="portrait"/>
          <w:cols w:equalWidth="0" w:num="1">
            <w:col w:w="11240"/>
          </w:cols>
          <w:pgMar w:left="320" w:top="34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INCENTIVE AWARD AGREEMENT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 xml:space="preserve">THIS ANNUAL INCENTIVE AWARD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as of ___________________, 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jc w:val="both"/>
        <w:ind w:right="460" w:firstLine="864"/>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an Annual Incentive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pursuant to the Culp, Inc. 2015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Grant of Award</w:t>
      </w:r>
      <w:r>
        <w:rPr>
          <w:rFonts w:ascii="Times New Roman" w:cs="Times New Roman" w:eastAsia="Times New Roman" w:hAnsi="Times New Roman"/>
          <w:sz w:val="21"/>
          <w:szCs w:val="21"/>
          <w:color w:val="auto"/>
        </w:rPr>
        <w:t>. The Corporation hereby grants to Recipient the Award described below.</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The Award will pay an incentive bonus for the Performance Period stated below to Recipient upon determination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Corporation’s board of directors that a bonus payment is due pursuant to the terms of this Agreement and the Plan.</w:t>
      </w:r>
    </w:p>
    <w:p>
      <w:pPr>
        <w:spacing w:after="0" w:line="173" w:lineRule="exact"/>
        <w:rPr>
          <w:sz w:val="20"/>
          <w:szCs w:val="20"/>
          <w:color w:val="auto"/>
        </w:rPr>
      </w:pPr>
    </w:p>
    <w:p>
      <w:pPr>
        <w:ind w:right="120" w:firstLine="864"/>
        <w:spacing w:after="0" w:line="244" w:lineRule="auto"/>
        <w:rPr>
          <w:sz w:val="20"/>
          <w:szCs w:val="20"/>
          <w:color w:val="auto"/>
        </w:rPr>
      </w:pPr>
      <w:r>
        <w:rPr>
          <w:rFonts w:ascii="Times New Roman" w:cs="Times New Roman" w:eastAsia="Times New Roman" w:hAnsi="Times New Roman"/>
          <w:sz w:val="22"/>
          <w:szCs w:val="22"/>
          <w:color w:val="auto"/>
        </w:rPr>
        <w:t>The bonus payment due hereunder is calculated with reference to the Total Bonus Percentage for the Reporting Unit in which Recipient participates. The bonus due to Recipient is the Total Bonus Percentage for Recipient’s Reporting Unit multiplied by Recipient’s Bonus Opportunity.</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The Corporation’s fiscal year ending ____________.</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Reporting Unit</w:t>
      </w:r>
      <w:r>
        <w:rPr>
          <w:rFonts w:ascii="Times New Roman" w:cs="Times New Roman" w:eastAsia="Times New Roman" w:hAnsi="Times New Roman"/>
          <w:sz w:val="22"/>
          <w:szCs w:val="22"/>
          <w:color w:val="auto"/>
        </w:rPr>
        <w:t>: ____________ [or the ____________ Division (the “</w:t>
      </w:r>
      <w:r>
        <w:rPr>
          <w:rFonts w:ascii="Times New Roman" w:cs="Times New Roman" w:eastAsia="Times New Roman" w:hAnsi="Times New Roman"/>
          <w:sz w:val="22"/>
          <w:szCs w:val="22"/>
          <w:b w:val="1"/>
          <w:bCs w:val="1"/>
          <w:color w:val="auto"/>
        </w:rPr>
        <w:t>Division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Bonus Opportunity</w:t>
      </w:r>
      <w:r>
        <w:rPr>
          <w:rFonts w:ascii="Times New Roman" w:cs="Times New Roman" w:eastAsia="Times New Roman" w:hAnsi="Times New Roman"/>
          <w:sz w:val="22"/>
          <w:szCs w:val="22"/>
          <w:color w:val="auto"/>
        </w:rPr>
        <w:t>: Recipient’s Bonus Opportunity is _____% of Recipient’s base salary during the Performance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w:t>
      </w:r>
    </w:p>
    <w:p>
      <w:pPr>
        <w:spacing w:after="0" w:line="178" w:lineRule="exact"/>
        <w:rPr>
          <w:sz w:val="20"/>
          <w:szCs w:val="20"/>
          <w:color w:val="auto"/>
        </w:rPr>
      </w:pPr>
    </w:p>
    <w:p>
      <w:pPr>
        <w:ind w:right="40" w:firstLine="864"/>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Total Bonus Percentage </w:t>
      </w:r>
      <w:r>
        <w:rPr>
          <w:rFonts w:ascii="Times New Roman" w:cs="Times New Roman" w:eastAsia="Times New Roman" w:hAnsi="Times New Roman"/>
          <w:sz w:val="22"/>
          <w:szCs w:val="22"/>
          <w:color w:val="auto"/>
        </w:rPr>
        <w:t>for a Reporting Unit is calculated using the percentage amounts derived from Schedule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50% of which is based upon the total Adjusted Operating Income results for Recipient’s Reporting Unit during the Performance Period (the “</w:t>
      </w:r>
      <w:r>
        <w:rPr>
          <w:rFonts w:ascii="Times New Roman" w:cs="Times New Roman" w:eastAsia="Times New Roman" w:hAnsi="Times New Roman"/>
          <w:sz w:val="22"/>
          <w:szCs w:val="22"/>
          <w:b w:val="1"/>
          <w:bCs w:val="1"/>
          <w:color w:val="auto"/>
        </w:rPr>
        <w:t>OI Bonus Percentage</w:t>
      </w:r>
      <w:r>
        <w:rPr>
          <w:rFonts w:ascii="Times New Roman" w:cs="Times New Roman" w:eastAsia="Times New Roman" w:hAnsi="Times New Roman"/>
          <w:sz w:val="22"/>
          <w:szCs w:val="22"/>
          <w:color w:val="auto"/>
        </w:rPr>
        <w:t>”), and 50% of which is based upon the total Adjusted Free Cash Flow results for Recipient’s Reporting Unit during the Performance Period (the “</w:t>
      </w:r>
      <w:r>
        <w:rPr>
          <w:rFonts w:ascii="Times New Roman" w:cs="Times New Roman" w:eastAsia="Times New Roman" w:hAnsi="Times New Roman"/>
          <w:sz w:val="22"/>
          <w:szCs w:val="22"/>
          <w:b w:val="1"/>
          <w:bCs w:val="1"/>
          <w:color w:val="auto"/>
        </w:rPr>
        <w:t>FCF Bonus Percentage</w:t>
      </w:r>
      <w:r>
        <w:rPr>
          <w:rFonts w:ascii="Times New Roman" w:cs="Times New Roman" w:eastAsia="Times New Roman" w:hAnsi="Times New Roman"/>
          <w:sz w:val="22"/>
          <w:szCs w:val="22"/>
          <w:color w:val="auto"/>
        </w:rPr>
        <w:t xml:space="preserve">”), in each case with straight line interpolation being used to determine OI Bonus Percentage and FCF Bonus Percentage amounts between the amounts shown on Schedule A. Upon determination of the OI Bonus Percentage and the FCF Bonus Percentage, the Total Bonus Percentage is calculated as follows: (50% multiplied by the OI Bonus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(50% multiplied by the FCF Bonus Percentage) = Total Bonus Percentage. The maximum Bonus Percentage for this award is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ind w:right="60" w:firstLine="864"/>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Operating Income</w:t>
      </w:r>
      <w:r>
        <w:rPr>
          <w:rFonts w:ascii="Times New Roman" w:cs="Times New Roman" w:eastAsia="Times New Roman" w:hAnsi="Times New Roman"/>
          <w:sz w:val="22"/>
          <w:szCs w:val="22"/>
          <w:color w:val="auto"/>
        </w:rPr>
        <w:t>” shall mean operating income for a Reporting Unit as calculated and recorded on the Reporting Unit’s financial statements, but excluding (prior to) the payment of bonus payments related to bonuses awarded under this form of Agreement under the annual incentive plan, and also excluding extraordinary and non-recurring items including restructuring and related charges, goodwill or fixed asset impairment charges, prepayment fees on debt, other extraordinary charges or credits, and the effects of acquisitions, and also excluding any other items that the Committee deems appropriate for exclusion.</w:t>
      </w:r>
    </w:p>
    <w:p>
      <w:pPr>
        <w:spacing w:after="0" w:line="175" w:lineRule="exact"/>
        <w:rPr>
          <w:sz w:val="20"/>
          <w:szCs w:val="20"/>
          <w:color w:val="auto"/>
        </w:rPr>
      </w:pPr>
    </w:p>
    <w:p>
      <w:pPr>
        <w:ind w:firstLine="864"/>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Adjusted Free Cash Flow</w:t>
      </w:r>
      <w:r>
        <w:rPr>
          <w:rFonts w:ascii="Times New Roman" w:cs="Times New Roman" w:eastAsia="Times New Roman" w:hAnsi="Times New Roman"/>
          <w:sz w:val="21"/>
          <w:szCs w:val="21"/>
          <w:color w:val="auto"/>
        </w:rPr>
        <w:t>” (i) for the Corporate Shared Services Reporting Unit shall mean such Reporting Unit’s net cash provided by (used in) operating activities (which shall include and be calculated using the Adjusted Operating Income, as defined above, for the Reporting Unit), less cash capital expenditures, less payments on vendor-financed capital expenditures, plus any proceeds from sale of property, plant, and equipment, less investment in unconsolidated joint venture, plus proceeds from life insurance policies, less premium payments on life insurance policies, plus proceeds from the sale of long-term investments associated with the Corporation’s rabbi trust, less the purchase of long-term investments associated with the Corporation’s rabbi trust, and plus or minus the effects of exchange rate changes on cash and cash equivalents, in each case as calculated and reported on the Reporting Unit’s financial statements, and also excluding any other items that the Committee deems appropriate for exclusion; and (ii) for each Division Reporting Unit shall mean such Division’s cash from earnings (which shall include and be calculated using Adjusted Operating Income, as defined above, for the Division), plus cash from working capital, less cash capital expenditures, and plus proceeds from sale of property, plant, and equipment, in each case as calculated and reported by the Division, and also excluding any other items the Committee deems appropriate for exclusion.</w:t>
      </w:r>
    </w:p>
    <w:p>
      <w:pPr>
        <w:spacing w:after="0" w:line="174" w:lineRule="exact"/>
        <w:rPr>
          <w:sz w:val="20"/>
          <w:szCs w:val="20"/>
          <w:color w:val="auto"/>
        </w:rPr>
      </w:pPr>
    </w:p>
    <w:p>
      <w:pPr>
        <w:ind w:right="94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Section 2. Vesting</w:t>
      </w:r>
      <w:r>
        <w:rPr>
          <w:rFonts w:ascii="Times New Roman" w:cs="Times New Roman" w:eastAsia="Times New Roman" w:hAnsi="Times New Roman"/>
          <w:sz w:val="22"/>
          <w:szCs w:val="22"/>
          <w:color w:val="auto"/>
        </w:rPr>
        <w:t>. The bonus amount to be paid hereunder will vest and become payable upon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amount to be paid by the Corporation and the Committee.</w:t>
      </w:r>
    </w:p>
    <w:p>
      <w:pPr>
        <w:spacing w:after="0" w:line="154" w:lineRule="exact"/>
        <w:rPr>
          <w:sz w:val="20"/>
          <w:szCs w:val="20"/>
          <w:color w:val="auto"/>
        </w:rPr>
      </w:pPr>
    </w:p>
    <w:p>
      <w:pPr>
        <w:ind w:right="340" w:firstLine="864"/>
        <w:spacing w:after="0" w:line="258" w:lineRule="auto"/>
        <w:rPr>
          <w:sz w:val="20"/>
          <w:szCs w:val="20"/>
          <w:color w:val="auto"/>
        </w:rPr>
      </w:pPr>
      <w:r>
        <w:rPr>
          <w:rFonts w:ascii="Times New Roman" w:cs="Times New Roman" w:eastAsia="Times New Roman" w:hAnsi="Times New Roman"/>
          <w:sz w:val="22"/>
          <w:szCs w:val="22"/>
          <w:color w:val="auto"/>
        </w:rPr>
        <w:t>Notwithstanding the foregoing, all unvested Awards (and a bonus payment at Recipient’s Bonus Opportunity) shall immediately vest and become payable upon the occurrence of the following:</w:t>
      </w:r>
    </w:p>
    <w:p>
      <w:pPr>
        <w:spacing w:after="0" w:line="158" w:lineRule="exact"/>
        <w:rPr>
          <w:sz w:val="20"/>
          <w:szCs w:val="20"/>
          <w:color w:val="auto"/>
        </w:rPr>
      </w:pPr>
    </w:p>
    <w:p>
      <w:pPr>
        <w:ind w:left="2560" w:hanging="891"/>
        <w:spacing w:after="0"/>
        <w:tabs>
          <w:tab w:leader="none" w:pos="25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6" w:lineRule="exact"/>
        <w:rPr>
          <w:rFonts w:ascii="Times New Roman" w:cs="Times New Roman" w:eastAsia="Times New Roman" w:hAnsi="Times New Roman"/>
          <w:sz w:val="22"/>
          <w:szCs w:val="22"/>
          <w:color w:val="auto"/>
        </w:rPr>
      </w:pPr>
    </w:p>
    <w:p>
      <w:pPr>
        <w:ind w:left="2560" w:hanging="891"/>
        <w:spacing w:after="0"/>
        <w:tabs>
          <w:tab w:leader="none" w:pos="25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Recipient’s employment is terminated by the Corporation in anticipation of a Change of Control, or</w:t>
      </w:r>
    </w:p>
    <w:p>
      <w:pPr>
        <w:spacing w:after="0" w:line="217" w:lineRule="exact"/>
        <w:rPr>
          <w:rFonts w:ascii="Times New Roman" w:cs="Times New Roman" w:eastAsia="Times New Roman" w:hAnsi="Times New Roman"/>
          <w:sz w:val="21"/>
          <w:szCs w:val="21"/>
          <w:color w:val="auto"/>
        </w:rPr>
      </w:pPr>
    </w:p>
    <w:p>
      <w:pPr>
        <w:ind w:left="880" w:right="320" w:firstLine="789"/>
        <w:spacing w:after="0" w:line="244" w:lineRule="auto"/>
        <w:tabs>
          <w:tab w:leader="none" w:pos="256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18-month period following such Change of Control (provided that the bonus payment provided for hereunder shall have not already become due and been paid),</w:t>
      </w:r>
    </w:p>
    <w:p>
      <w:pPr>
        <w:spacing w:after="0" w:line="173" w:lineRule="exact"/>
        <w:rPr>
          <w:sz w:val="20"/>
          <w:szCs w:val="20"/>
          <w:color w:val="auto"/>
        </w:rPr>
      </w:pPr>
    </w:p>
    <w:p>
      <w:pPr>
        <w:ind w:left="1740" w:right="320" w:firstLine="726"/>
        <w:spacing w:after="0" w:line="258" w:lineRule="auto"/>
        <w:tabs>
          <w:tab w:leader="none" w:pos="332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56" w:name="page57"/>
    <w:bookmarkEnd w:id="56"/>
    <w:p>
      <w:pPr>
        <w:ind w:left="1740" w:right="140" w:firstLine="726"/>
        <w:spacing w:after="0" w:line="258" w:lineRule="auto"/>
        <w:tabs>
          <w:tab w:leader="none" w:pos="338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 Reason.</w:t>
      </w:r>
    </w:p>
    <w:p>
      <w:pPr>
        <w:spacing w:after="0" w:line="154" w:lineRule="exact"/>
        <w:rPr>
          <w:sz w:val="20"/>
          <w:szCs w:val="20"/>
          <w:color w:val="auto"/>
        </w:rPr>
      </w:pPr>
    </w:p>
    <w:p>
      <w:pPr>
        <w:ind w:right="82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Section 3. Additional Definitions</w:t>
      </w:r>
      <w:r>
        <w:rPr>
          <w:rFonts w:ascii="Times New Roman" w:cs="Times New Roman" w:eastAsia="Times New Roman" w:hAnsi="Times New Roman"/>
          <w:sz w:val="22"/>
          <w:szCs w:val="22"/>
          <w:color w:val="auto"/>
        </w:rPr>
        <w:t>. For purposes of this Agreement, the following terms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 indicated below:</w:t>
      </w:r>
    </w:p>
    <w:p>
      <w:pPr>
        <w:spacing w:after="0" w:line="150" w:lineRule="exact"/>
        <w:rPr>
          <w:sz w:val="20"/>
          <w:szCs w:val="20"/>
          <w:color w:val="auto"/>
        </w:rPr>
      </w:pPr>
    </w:p>
    <w:p>
      <w:pPr>
        <w:ind w:left="880" w:right="200" w:firstLine="7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880" w:firstLine="7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 In addition, for an award that vests according to Adjusted Operating Income or Adjusted Free Cash Flow of a Division,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be deemed to have occurred upon consummation of a sale of all or substantially all of the assets of such Division by the Corporation to an unaffiliated third party.</w:t>
      </w:r>
    </w:p>
    <w:p>
      <w:pPr>
        <w:spacing w:after="0" w:line="172" w:lineRule="exact"/>
        <w:rPr>
          <w:sz w:val="20"/>
          <w:szCs w:val="20"/>
          <w:color w:val="auto"/>
        </w:rPr>
      </w:pPr>
    </w:p>
    <w:p>
      <w:pPr>
        <w:ind w:left="880" w:right="20" w:firstLine="7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6" w:lineRule="exact"/>
        <w:rPr>
          <w:sz w:val="20"/>
          <w:szCs w:val="20"/>
          <w:color w:val="auto"/>
        </w:rPr>
      </w:pPr>
    </w:p>
    <w:p>
      <w:pPr>
        <w:ind w:left="880" w:firstLine="7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thirty days after Recipient notifies the Corporation of the existence of such conditions as hereinafter provided:</w:t>
      </w:r>
    </w:p>
    <w:p>
      <w:pPr>
        <w:spacing w:after="0" w:line="171" w:lineRule="exact"/>
        <w:rPr>
          <w:sz w:val="20"/>
          <w:szCs w:val="20"/>
          <w:color w:val="auto"/>
        </w:rPr>
      </w:pPr>
    </w:p>
    <w:p>
      <w:pPr>
        <w:ind w:left="2560" w:hanging="891"/>
        <w:spacing w:after="0"/>
        <w:tabs>
          <w:tab w:leader="none" w:pos="25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ind w:left="880" w:firstLine="789"/>
        <w:spacing w:after="0" w:line="258" w:lineRule="auto"/>
        <w:tabs>
          <w:tab w:leader="none" w:pos="257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w:t>
      </w:r>
    </w:p>
    <w:p>
      <w:pPr>
        <w:spacing w:after="0" w:line="158" w:lineRule="exact"/>
        <w:rPr>
          <w:rFonts w:ascii="Times New Roman" w:cs="Times New Roman" w:eastAsia="Times New Roman" w:hAnsi="Times New Roman"/>
          <w:sz w:val="22"/>
          <w:szCs w:val="22"/>
          <w:color w:val="auto"/>
        </w:rPr>
      </w:pPr>
    </w:p>
    <w:p>
      <w:pPr>
        <w:ind w:left="880" w:right="360" w:firstLine="789"/>
        <w:spacing w:after="0" w:line="258" w:lineRule="auto"/>
        <w:tabs>
          <w:tab w:leader="none" w:pos="256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 Corporation;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7" w:name="page58"/>
    <w:bookmarkEnd w:id="57"/>
    <w:p>
      <w:pPr>
        <w:ind w:left="2560" w:hanging="891"/>
        <w:spacing w:after="0"/>
        <w:tabs>
          <w:tab w:leader="none" w:pos="25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change in the geographic location at which Recipient must regularly perform services for</w:t>
      </w:r>
    </w:p>
    <w:p>
      <w:pPr>
        <w:spacing w:after="0" w:line="25" w:lineRule="exact"/>
        <w:rPr>
          <w:rFonts w:ascii="Times New Roman" w:cs="Times New Roman" w:eastAsia="Times New Roman" w:hAnsi="Times New Roman"/>
          <w:sz w:val="21"/>
          <w:szCs w:val="21"/>
          <w:color w:val="auto"/>
        </w:rPr>
      </w:pPr>
    </w:p>
    <w:p>
      <w:pPr>
        <w:ind w:left="8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Corporation.</w:t>
      </w:r>
    </w:p>
    <w:p>
      <w:pPr>
        <w:spacing w:after="0" w:line="182" w:lineRule="exact"/>
        <w:rPr>
          <w:sz w:val="20"/>
          <w:szCs w:val="20"/>
          <w:color w:val="auto"/>
        </w:rPr>
      </w:pPr>
    </w:p>
    <w:p>
      <w:pPr>
        <w:ind w:left="880" w:right="40" w:firstLine="797"/>
        <w:spacing w:after="0" w:line="251" w:lineRule="auto"/>
        <w:rPr>
          <w:sz w:val="20"/>
          <w:szCs w:val="20"/>
          <w:color w:val="auto"/>
        </w:rPr>
      </w:pPr>
      <w:r>
        <w:rPr>
          <w:rFonts w:ascii="Times New Roman" w:cs="Times New Roman" w:eastAsia="Times New Roman" w:hAnsi="Times New Roman"/>
          <w:sz w:val="21"/>
          <w:szCs w:val="21"/>
          <w:color w:val="auto"/>
        </w:rPr>
        <w:t>Recipient shall notify the Corporation that he/she believes that one or more of the conditions described above exists, and of his/her intention to terminate employment for Good Reason as a result thereof, within sixty days after the time that he/she gains knowledge of such conditions. Recipient shall not deliver a notice of termination of employment for Good Reason until thirty days after he/she delivers the notice described in the preceding sentence, and Recipient may do so only if the conditions described in such notice have not been fully corrected by the Corporation.</w:t>
      </w:r>
    </w:p>
    <w:p>
      <w:pPr>
        <w:spacing w:after="0" w:line="164"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Settlement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0" w:firstLine="864"/>
        <w:spacing w:after="0" w:line="239" w:lineRule="auto"/>
        <w:rPr>
          <w:sz w:val="20"/>
          <w:szCs w:val="20"/>
          <w:color w:val="auto"/>
        </w:rPr>
      </w:pPr>
      <w:r>
        <w:rPr>
          <w:rFonts w:ascii="Times New Roman" w:cs="Times New Roman" w:eastAsia="Times New Roman" w:hAnsi="Times New Roman"/>
          <w:sz w:val="22"/>
          <w:szCs w:val="22"/>
          <w:color w:val="auto"/>
        </w:rPr>
        <w:t>As soon as reasonably practicable following a determination by the Corporation that a bonus payment is due hereunder, the bonus will be paid in cash, or will be paid in accordance with any proper and valid election under the Culp, Inc. Deferred Compensation Plan for Key Employees, but only if such election has been made in accordance with the policies and procedures of the Corporation pursuant to such plan.</w:t>
      </w:r>
    </w:p>
    <w:p>
      <w:pPr>
        <w:spacing w:after="0" w:line="176" w:lineRule="exact"/>
        <w:rPr>
          <w:sz w:val="20"/>
          <w:szCs w:val="20"/>
          <w:color w:val="auto"/>
        </w:rPr>
      </w:pPr>
    </w:p>
    <w:p>
      <w:pPr>
        <w:ind w:firstLine="864"/>
        <w:spacing w:after="0" w:line="234" w:lineRule="auto"/>
        <w:rPr>
          <w:sz w:val="20"/>
          <w:szCs w:val="20"/>
          <w:color w:val="auto"/>
        </w:rPr>
      </w:pPr>
      <w:r>
        <w:rPr>
          <w:rFonts w:ascii="Times New Roman" w:cs="Times New Roman" w:eastAsia="Times New Roman" w:hAnsi="Times New Roman"/>
          <w:sz w:val="22"/>
          <w:szCs w:val="22"/>
          <w:b w:val="1"/>
          <w:bCs w:val="1"/>
          <w:color w:val="auto"/>
        </w:rPr>
        <w:t>Section 5. Forfeiture</w:t>
      </w:r>
      <w:r>
        <w:rPr>
          <w:rFonts w:ascii="Times New Roman" w:cs="Times New Roman" w:eastAsia="Times New Roman" w:hAnsi="Times New Roman"/>
          <w:sz w:val="22"/>
          <w:szCs w:val="22"/>
          <w:color w:val="auto"/>
        </w:rPr>
        <w:t>. All bonus amounts that do not vest pursuant to</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shall automatically be cancelled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forfeited by Recipient effective as of the earlier to occur of (a) the first day after the end of the Performance Period (to the extent that neither Adjusted Operating Income nor Adjusted Free Cash Flow for the relevant Reporting Unit is sufficient to cause any bonus payment to vest pursuant to the terms of this Agreement), (b)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(c) the termination by the Corporation of Recipient’s employment with the Corporation or its Subsidiaries for any reason (including with or without Cause) (each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bonus amounts shall automatically, without further action by the Corporation or Recipient, be cancelled and forfeited.</w:t>
      </w:r>
    </w:p>
    <w:p>
      <w:pPr>
        <w:spacing w:after="0" w:line="176"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Tax Matters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880" w:right="140" w:firstLine="789"/>
        <w:spacing w:after="0" w:line="238" w:lineRule="auto"/>
        <w:tabs>
          <w:tab w:leader="none" w:pos="256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promptly pay to the Corporation all federal, state and local income, social security and payroll taxes of any kind required by law to be withheld with respect to the vesting or payment of a bonus hereunder, and the Corporation, to the extent permitted by law, have the right to deduct from any payment of any kind otherwise due to Recipient all federal, state and local income, social security and payroll taxes of any kind required by law to be withheld with respect to the vesting or payment of a bonus earned hereunder.</w:t>
      </w:r>
    </w:p>
    <w:p>
      <w:pPr>
        <w:spacing w:after="0" w:line="176" w:lineRule="exact"/>
        <w:rPr>
          <w:rFonts w:ascii="Times New Roman" w:cs="Times New Roman" w:eastAsia="Times New Roman" w:hAnsi="Times New Roman"/>
          <w:sz w:val="22"/>
          <w:szCs w:val="22"/>
          <w:color w:val="auto"/>
        </w:rPr>
      </w:pPr>
    </w:p>
    <w:p>
      <w:pPr>
        <w:ind w:left="880" w:right="300" w:firstLine="789"/>
        <w:spacing w:after="0" w:line="261" w:lineRule="auto"/>
        <w:tabs>
          <w:tab w:leader="none" w:pos="257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ind w:right="60"/>
        <w:spacing w:after="0" w:line="247" w:lineRule="auto"/>
        <w:rPr>
          <w:sz w:val="20"/>
          <w:szCs w:val="20"/>
          <w:color w:val="auto"/>
        </w:rPr>
      </w:pPr>
      <w:r>
        <w:rPr>
          <w:rFonts w:ascii="Times New Roman" w:cs="Times New Roman" w:eastAsia="Times New Roman" w:hAnsi="Times New Roman"/>
          <w:sz w:val="21"/>
          <w:szCs w:val="21"/>
          <w:color w:val="auto"/>
        </w:rPr>
        <w:t>within the meaning of Section 280G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72"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Clawback</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20" w:firstLine="789"/>
        <w:spacing w:after="0" w:line="236" w:lineRule="auto"/>
        <w:tabs>
          <w:tab w:leader="none" w:pos="168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Corporation’s reported financial or operating results become subject to a material negative restatement, the Committee may require Recipient to pay to the Corporation an amount corresponding to the amount that the Committee determines would not have been vested or paid if the Corporation’s results as originally published had been equal to the Corporation’s results as subsequently restated; provided that any requirement or claim under this Section 7(a) must be made, if at all, within five years after the date the amount claimed was originally vested or paid, whichever is later.</w:t>
      </w:r>
    </w:p>
    <w:p>
      <w:pPr>
        <w:spacing w:after="0" w:line="181" w:lineRule="exact"/>
        <w:rPr>
          <w:sz w:val="20"/>
          <w:szCs w:val="20"/>
          <w:color w:val="auto"/>
        </w:rPr>
      </w:pPr>
    </w:p>
    <w:p>
      <w:pPr>
        <w:ind w:firstLine="797"/>
        <w:spacing w:after="0" w:line="233" w:lineRule="auto"/>
        <w:rPr>
          <w:sz w:val="20"/>
          <w:szCs w:val="20"/>
          <w:color w:val="auto"/>
        </w:rPr>
      </w:pPr>
      <w:r>
        <w:rPr>
          <w:rFonts w:ascii="Times New Roman" w:cs="Times New Roman" w:eastAsia="Times New Roman" w:hAnsi="Times New Roman"/>
          <w:sz w:val="22"/>
          <w:szCs w:val="22"/>
          <w:color w:val="auto"/>
        </w:rPr>
        <w:t>In the alternative, the Committee may require Recipient to repay or return compensation awarded hereunder pursuant to such rules as may be adopted from time to time pursuant to Section 954 of the Dodd-Frank Wall Street Reform and Consumer Protection Act, to the extent applicable. By acceptance of any Award or bonus payment hereunder, Recipient expressly acknowledges and agrees that any and all amounts paid to Recipient hereunder are and will be fully subject to the terms of any policy regarding repayment, recoupment or clawback of compensation now or hereafter adopted by the Corporation in response to the requirements of the Dodd-Frank Wall Street Reform and Consumer Protection Act, rulemaking of the Securities and Exchange Commission or otherwise. Recipient acknowledges and agrees that any such policy will apply to any and all bonus amounts paid hereunder in accordance with its terms, whether retroactively or prospectively, and agrees to cooperate fully with the Corporation to facilitate the recovery of any that the Committee determines in its sole discretion is required to be recovered pursuant to the terms of such policy.</w:t>
      </w:r>
    </w:p>
    <w:p>
      <w:pPr>
        <w:spacing w:after="0" w:line="187" w:lineRule="exact"/>
        <w:rPr>
          <w:sz w:val="20"/>
          <w:szCs w:val="20"/>
          <w:color w:val="auto"/>
        </w:rPr>
      </w:pPr>
    </w:p>
    <w:p>
      <w:pPr>
        <w:ind w:right="100" w:firstLine="797"/>
        <w:spacing w:after="0" w:line="239" w:lineRule="auto"/>
        <w:rPr>
          <w:sz w:val="20"/>
          <w:szCs w:val="20"/>
          <w:color w:val="auto"/>
        </w:rPr>
      </w:pPr>
      <w:r>
        <w:rPr>
          <w:rFonts w:ascii="Times New Roman" w:cs="Times New Roman" w:eastAsia="Times New Roman" w:hAnsi="Times New Roman"/>
          <w:sz w:val="22"/>
          <w:szCs w:val="22"/>
          <w:color w:val="auto"/>
        </w:rPr>
        <w:t>The obligations of Recipient to make payments or return bonus amounts paid hereunder under this Section 7(a) are independent of any involvement by such Recipient in events that led to the restatement. The provisions of this Section 7(a) are in addition to, not in lieu of, any remedies that the Corporation may have against any persons whose misconduct caused or contributed to a need to restate the Corporation’s reported results.</w:t>
      </w:r>
    </w:p>
    <w:p>
      <w:pPr>
        <w:spacing w:after="0" w:line="180" w:lineRule="exact"/>
        <w:rPr>
          <w:sz w:val="20"/>
          <w:szCs w:val="20"/>
          <w:color w:val="auto"/>
        </w:rPr>
      </w:pPr>
    </w:p>
    <w:p>
      <w:pPr>
        <w:ind w:right="200" w:firstLine="789"/>
        <w:spacing w:after="0" w:line="239" w:lineRule="auto"/>
        <w:tabs>
          <w:tab w:leader="none" w:pos="169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w:t>
      </w:r>
    </w:p>
    <w:p>
      <w:pPr>
        <w:spacing w:after="0" w:line="18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216535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4" w:right="339" w:bottom="1440" w:gutter="0" w:footer="0" w:header="0"/>
        </w:sectPr>
      </w:pPr>
    </w:p>
    <w:bookmarkStart w:id="59" w:name="page60"/>
    <w:bookmarkEnd w:id="59"/>
    <w:p>
      <w:pPr>
        <w:ind w:right="680"/>
        <w:spacing w:after="0" w:line="238" w:lineRule="auto"/>
        <w:rPr>
          <w:sz w:val="20"/>
          <w:szCs w:val="20"/>
          <w:color w:val="auto"/>
        </w:rPr>
      </w:pPr>
      <w:r>
        <w:rPr>
          <w:rFonts w:ascii="Times New Roman" w:cs="Times New Roman" w:eastAsia="Times New Roman" w:hAnsi="Times New Roman"/>
          <w:sz w:val="22"/>
          <w:szCs w:val="22"/>
          <w:color w:val="auto"/>
        </w:rPr>
        <w:t>during his or her time of employment with the Corporation), then if any part of the underlying conduct or circumstances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or to otherwise return such Units or Common Stock.</w:t>
      </w:r>
    </w:p>
    <w:p>
      <w:pPr>
        <w:spacing w:after="0" w:line="177" w:lineRule="exact"/>
        <w:rPr>
          <w:sz w:val="20"/>
          <w:szCs w:val="20"/>
          <w:color w:val="auto"/>
        </w:rPr>
      </w:pPr>
    </w:p>
    <w:p>
      <w:pPr>
        <w:ind w:firstLine="797"/>
        <w:spacing w:after="0" w:line="235" w:lineRule="auto"/>
        <w:rPr>
          <w:sz w:val="20"/>
          <w:szCs w:val="20"/>
          <w:color w:val="auto"/>
        </w:rPr>
      </w:pPr>
      <w:r>
        <w:rPr>
          <w:rFonts w:ascii="Times New Roman" w:cs="Times New Roman" w:eastAsia="Times New Roman" w:hAnsi="Times New Roman"/>
          <w:sz w:val="22"/>
          <w:szCs w:val="22"/>
          <w:color w:val="auto"/>
        </w:rPr>
        <w:t>By acceptance of any award or Units hereunder, Recipient expressly acknowledges and agrees that any and all Units or Common Stock, as well as the equivalent cash value thereof with respect to any and all such Units or Common Stock, that have become vested, exercised, free of restriction or otherwise released to and/or monetized by or for the benefit of Recipient or any transferee or assignee thereof (collectively, the “</w:t>
      </w:r>
      <w:r>
        <w:rPr>
          <w:rFonts w:ascii="Times New Roman" w:cs="Times New Roman" w:eastAsia="Times New Roman" w:hAnsi="Times New Roman"/>
          <w:sz w:val="22"/>
          <w:szCs w:val="22"/>
          <w:b w:val="1"/>
          <w:bCs w:val="1"/>
          <w:color w:val="auto"/>
        </w:rPr>
        <w:t>Award-Equivalent Value</w:t>
      </w:r>
      <w:r>
        <w:rPr>
          <w:rFonts w:ascii="Times New Roman" w:cs="Times New Roman" w:eastAsia="Times New Roman" w:hAnsi="Times New Roman"/>
          <w:sz w:val="22"/>
          <w:szCs w:val="22"/>
          <w:color w:val="auto"/>
        </w:rPr>
        <w:t>”), are and will be fully subject to the terms of the foregoing clawback provision, and agrees to cooperate fully with the Corporation to facilitate the recovery of any Units or Common Stock and/or Award-Equivalent Value that the Committee requires to be recovered pursuant to the foregoing.</w:t>
      </w:r>
    </w:p>
    <w:p>
      <w:pPr>
        <w:spacing w:after="0" w:line="17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380" w:firstLine="789"/>
        <w:spacing w:after="0" w:line="246" w:lineRule="auto"/>
        <w:tabs>
          <w:tab w:leader="none" w:pos="168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ind w:right="140" w:firstLine="789"/>
        <w:spacing w:after="0" w:line="250" w:lineRule="auto"/>
        <w:tabs>
          <w:tab w:leader="none" w:pos="1697"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Entire Agreement; Amendment and Waiver</w:t>
      </w:r>
      <w:r>
        <w:rPr>
          <w:rFonts w:ascii="Times New Roman" w:cs="Times New Roman" w:eastAsia="Times New Roman" w:hAnsi="Times New Roman"/>
          <w:sz w:val="21"/>
          <w:szCs w:val="21"/>
          <w:color w:val="auto"/>
        </w:rPr>
        <w:t>. This Agreement and the Award granted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64" w:lineRule="exact"/>
        <w:rPr>
          <w:rFonts w:ascii="Times New Roman" w:cs="Times New Roman" w:eastAsia="Times New Roman" w:hAnsi="Times New Roman"/>
          <w:sz w:val="21"/>
          <w:szCs w:val="21"/>
          <w:color w:val="auto"/>
        </w:rPr>
      </w:pPr>
    </w:p>
    <w:p>
      <w:pPr>
        <w:ind w:right="480" w:firstLine="789"/>
        <w:spacing w:after="0" w:line="238" w:lineRule="auto"/>
        <w:tabs>
          <w:tab w:leader="none" w:pos="168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granted 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76" w:lineRule="exact"/>
        <w:rPr>
          <w:rFonts w:ascii="Times New Roman" w:cs="Times New Roman" w:eastAsia="Times New Roman" w:hAnsi="Times New Roman"/>
          <w:sz w:val="22"/>
          <w:szCs w:val="22"/>
          <w:color w:val="auto"/>
        </w:rPr>
      </w:pPr>
    </w:p>
    <w:p>
      <w:pPr>
        <w:ind w:right="620" w:firstLine="789"/>
        <w:spacing w:after="0" w:line="262" w:lineRule="auto"/>
        <w:tabs>
          <w:tab w:leader="none" w:pos="169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in the employ of the Corporation or any of its Subsidiaries.</w:t>
      </w:r>
    </w:p>
    <w:p>
      <w:pPr>
        <w:spacing w:after="0" w:line="149" w:lineRule="exact"/>
        <w:rPr>
          <w:rFonts w:ascii="Times New Roman" w:cs="Times New Roman" w:eastAsia="Times New Roman" w:hAnsi="Times New Roman"/>
          <w:sz w:val="22"/>
          <w:szCs w:val="22"/>
          <w:color w:val="auto"/>
        </w:rPr>
      </w:pPr>
    </w:p>
    <w:p>
      <w:pPr>
        <w:jc w:val="both"/>
        <w:ind w:right="120" w:firstLine="789"/>
        <w:spacing w:after="0" w:line="246" w:lineRule="auto"/>
        <w:tabs>
          <w:tab w:leader="none" w:pos="168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 Delivery of an executed counterpart of this Agreement by facsimile or other electronic device shall be equally as effective as</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216535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8" w:right="339" w:bottom="1440" w:gutter="0" w:footer="0" w:header="0"/>
        </w:sectPr>
      </w:pPr>
    </w:p>
    <w:bookmarkStart w:id="60" w:name="page61"/>
    <w:bookmarkEnd w:id="60"/>
    <w:p>
      <w:pPr>
        <w:spacing w:after="0" w:line="239" w:lineRule="auto"/>
        <w:rPr>
          <w:sz w:val="20"/>
          <w:szCs w:val="20"/>
          <w:color w:val="auto"/>
        </w:rPr>
      </w:pPr>
      <w:r>
        <w:rPr>
          <w:rFonts w:ascii="Times New Roman" w:cs="Times New Roman" w:eastAsia="Times New Roman" w:hAnsi="Times New Roman"/>
          <w:sz w:val="22"/>
          <w:szCs w:val="22"/>
          <w:color w:val="auto"/>
        </w:rPr>
        <w:t>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6" w:lineRule="exact"/>
        <w:rPr>
          <w:sz w:val="20"/>
          <w:szCs w:val="20"/>
          <w:color w:val="auto"/>
        </w:rPr>
      </w:pPr>
    </w:p>
    <w:p>
      <w:pPr>
        <w:ind w:right="20" w:firstLine="789"/>
        <w:spacing w:after="0" w:line="250" w:lineRule="auto"/>
        <w:tabs>
          <w:tab w:leader="none" w:pos="166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Any notice hereunder to the Corporation shall be addressed to the Corporation’s principal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office, Attention: Compensation Committee, and any notice hereunder to Recipient shall be addressed to Recipient at his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6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200" w:lineRule="exact"/>
        <w:rPr>
          <w:sz w:val="20"/>
          <w:szCs w:val="20"/>
          <w:color w:val="auto"/>
        </w:rPr>
      </w:pPr>
    </w:p>
    <w:p>
      <w:pPr>
        <w:spacing w:after="0" w:line="24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216535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pacing w:after="0" w:line="2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10795</wp:posOffset>
            </wp:positionV>
            <wp:extent cx="32486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-3810</wp:posOffset>
            </wp:positionV>
            <wp:extent cx="27089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-3810</wp:posOffset>
            </wp:positionV>
            <wp:extent cx="27089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433705</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287655</wp:posOffset>
            </wp:positionV>
            <wp:extent cx="3566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216535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24" w:right="1440" w:bottom="1440" w:gutter="0" w:footer="0" w:header="0"/>
        </w:sectPr>
      </w:pPr>
    </w:p>
    <w:bookmarkStart w:id="62" w:name="page63"/>
    <w:bookmarkEnd w:id="62"/>
    <w:tbl>
      <w:tblPr>
        <w:tblLayout w:type="fixed"/>
        <w:tblInd w:w="13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160" w:type="dxa"/>
            <w:vAlign w:val="bottom"/>
            <w:gridSpan w:val="5"/>
          </w:tcPr>
          <w:p>
            <w:pPr>
              <w:jc w:val="center"/>
              <w:ind w:right="2760"/>
              <w:spacing w:after="0"/>
              <w:rPr>
                <w:sz w:val="20"/>
                <w:szCs w:val="20"/>
                <w:color w:val="auto"/>
              </w:rPr>
            </w:pPr>
            <w:r>
              <w:rPr>
                <w:rFonts w:ascii="Times New Roman" w:cs="Times New Roman" w:eastAsia="Times New Roman" w:hAnsi="Times New Roman"/>
                <w:sz w:val="22"/>
                <w:szCs w:val="22"/>
                <w:b w:val="1"/>
                <w:bCs w:val="1"/>
                <w:color w:val="auto"/>
                <w:w w:val="98"/>
              </w:rPr>
              <w:t>SCHEDULE A</w:t>
            </w:r>
          </w:p>
        </w:tc>
      </w:tr>
      <w:tr>
        <w:trPr>
          <w:trHeight w:val="20"/>
        </w:trPr>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2480" w:type="dxa"/>
            <w:vAlign w:val="bottom"/>
            <w:gridSpan w:val="4"/>
          </w:tcPr>
          <w:p>
            <w:pPr>
              <w:jc w:val="center"/>
              <w:ind w:right="500"/>
              <w:spacing w:after="0"/>
              <w:rPr>
                <w:sz w:val="20"/>
                <w:szCs w:val="20"/>
                <w:color w:val="auto"/>
              </w:rPr>
            </w:pPr>
            <w:r>
              <w:rPr>
                <w:rFonts w:ascii="Times New Roman" w:cs="Times New Roman" w:eastAsia="Times New Roman" w:hAnsi="Times New Roman"/>
                <w:sz w:val="22"/>
                <w:szCs w:val="22"/>
                <w:color w:val="auto"/>
                <w:w w:val="97"/>
              </w:rPr>
              <w:t>OI Bonus Percentage</w:t>
            </w:r>
          </w:p>
        </w:tc>
        <w:tc>
          <w:tcPr>
            <w:tcW w:w="1060" w:type="dxa"/>
            <w:vAlign w:val="bottom"/>
          </w:tcPr>
          <w:p>
            <w:pPr>
              <w:spacing w:after="0"/>
              <w:rPr>
                <w:sz w:val="24"/>
                <w:szCs w:val="24"/>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8"/>
              </w:rPr>
              <w:t>Adjusted Operating Income Results</w:t>
            </w:r>
          </w:p>
        </w:tc>
      </w:tr>
      <w:tr>
        <w:trPr>
          <w:trHeight w:val="383"/>
        </w:trPr>
        <w:tc>
          <w:tcPr>
            <w:tcW w:w="80" w:type="dxa"/>
            <w:vAlign w:val="bottom"/>
          </w:tcPr>
          <w:p>
            <w:pPr>
              <w:spacing w:after="0"/>
              <w:rPr>
                <w:sz w:val="24"/>
                <w:szCs w:val="24"/>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97"/>
              </w:rPr>
              <w:t>Below $__</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97"/>
              </w:rPr>
              <w:t>Target Level</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4"/>
              </w:rPr>
              <w:t>__%</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98"/>
              </w:rPr>
              <w:t>Maximum</w:t>
            </w:r>
          </w:p>
        </w:tc>
      </w:tr>
      <w:tr>
        <w:trPr>
          <w:trHeight w:val="515"/>
        </w:trPr>
        <w:tc>
          <w:tcPr>
            <w:tcW w:w="2480" w:type="dxa"/>
            <w:vAlign w:val="bottom"/>
            <w:gridSpan w:val="4"/>
          </w:tcPr>
          <w:p>
            <w:pPr>
              <w:jc w:val="center"/>
              <w:ind w:right="500"/>
              <w:spacing w:after="0"/>
              <w:rPr>
                <w:sz w:val="20"/>
                <w:szCs w:val="20"/>
                <w:color w:val="auto"/>
              </w:rPr>
            </w:pPr>
            <w:r>
              <w:rPr>
                <w:rFonts w:ascii="Times New Roman" w:cs="Times New Roman" w:eastAsia="Times New Roman" w:hAnsi="Times New Roman"/>
                <w:sz w:val="22"/>
                <w:szCs w:val="22"/>
                <w:color w:val="auto"/>
                <w:w w:val="97"/>
              </w:rPr>
              <w:t>FCF Bonus Percentage</w:t>
            </w:r>
          </w:p>
        </w:tc>
        <w:tc>
          <w:tcPr>
            <w:tcW w:w="1060" w:type="dxa"/>
            <w:vAlign w:val="bottom"/>
          </w:tcPr>
          <w:p>
            <w:pPr>
              <w:spacing w:after="0"/>
              <w:rPr>
                <w:sz w:val="24"/>
                <w:szCs w:val="24"/>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auto"/>
                <w:w w:val="98"/>
              </w:rPr>
              <w:t>Adjusted Free Cash Flow Results</w:t>
            </w:r>
          </w:p>
        </w:tc>
      </w:tr>
      <w:tr>
        <w:trPr>
          <w:trHeight w:val="383"/>
        </w:trPr>
        <w:tc>
          <w:tcPr>
            <w:tcW w:w="1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jc w:val="center"/>
              <w:ind w:right="672"/>
              <w:spacing w:after="0"/>
              <w:rPr>
                <w:sz w:val="20"/>
                <w:szCs w:val="20"/>
                <w:color w:val="auto"/>
              </w:rPr>
            </w:pPr>
            <w:r>
              <w:rPr>
                <w:rFonts w:ascii="Times New Roman" w:cs="Times New Roman" w:eastAsia="Times New Roman" w:hAnsi="Times New Roman"/>
                <w:sz w:val="22"/>
                <w:szCs w:val="22"/>
                <w:color w:val="auto"/>
                <w:w w:val="98"/>
              </w:rPr>
              <w:t>Less than $__</w:t>
            </w:r>
          </w:p>
        </w:tc>
        <w:tc>
          <w:tcPr>
            <w:tcW w:w="10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97"/>
              </w:rPr>
              <w:t>Target Level</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80" w:type="dxa"/>
            <w:vAlign w:val="bottom"/>
          </w:tcPr>
          <w:p>
            <w:pPr>
              <w:spacing w:after="0"/>
              <w:rPr>
                <w:sz w:val="24"/>
                <w:szCs w:val="24"/>
                <w:color w:val="auto"/>
              </w:rPr>
            </w:pPr>
          </w:p>
        </w:tc>
        <w:tc>
          <w:tcPr>
            <w:tcW w:w="24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87"/>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87"/>
              </w:rPr>
              <w:t>X</w:t>
            </w:r>
          </w:p>
        </w:tc>
      </w:tr>
      <w:tr>
        <w:trPr>
          <w:trHeight w:val="351"/>
        </w:trPr>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4"/>
              </w:rPr>
              <w:t>__%</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2"/>
          </w:tcPr>
          <w:p>
            <w:pPr>
              <w:jc w:val="center"/>
              <w:ind w:right="900"/>
              <w:spacing w:after="0"/>
              <w:rPr>
                <w:sz w:val="20"/>
                <w:szCs w:val="20"/>
                <w:color w:val="auto"/>
              </w:rPr>
            </w:pPr>
            <w:r>
              <w:rPr>
                <w:rFonts w:ascii="Times New Roman" w:cs="Times New Roman" w:eastAsia="Times New Roman" w:hAnsi="Times New Roman"/>
                <w:sz w:val="22"/>
                <w:szCs w:val="22"/>
                <w:color w:val="auto"/>
                <w:w w:val="98"/>
              </w:rPr>
              <w:t>Maximum</w:t>
            </w:r>
          </w:p>
        </w:tc>
      </w:tr>
      <w:tr>
        <w:trPr>
          <w:trHeight w:val="783"/>
        </w:trPr>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gridSpan w:val="5"/>
          </w:tcPr>
          <w:p>
            <w:pPr>
              <w:jc w:val="center"/>
              <w:ind w:right="2740"/>
              <w:spacing w:after="0"/>
              <w:rPr>
                <w:sz w:val="20"/>
                <w:szCs w:val="20"/>
                <w:color w:val="auto"/>
              </w:rPr>
            </w:pPr>
            <w:r>
              <w:rPr>
                <w:rFonts w:ascii="Times New Roman" w:cs="Times New Roman" w:eastAsia="Times New Roman" w:hAnsi="Times New Roman"/>
                <w:sz w:val="22"/>
                <w:szCs w:val="22"/>
                <w:color w:val="auto"/>
                <w:w w:val="99"/>
              </w:rPr>
              <w:t>A-1</w:t>
            </w:r>
          </w:p>
        </w:tc>
      </w:tr>
    </w:tbl>
    <w:p>
      <w:pPr>
        <w:sectPr>
          <w:pgSz w:w="11900" w:h="16838" w:orient="portrait"/>
          <w:cols w:equalWidth="0" w:num="1">
            <w:col w:w="9019"/>
          </w:cols>
          <w:pgMar w:left="1440" w:top="305" w:right="1440"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THIS RESTRICTED STOCK UNIT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of______________, is between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ind w:right="260" w:firstLine="864"/>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Restricted Stock Units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pursuant to the Culp, Inc. 2015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Grant of Units</w:t>
      </w:r>
      <w:r>
        <w:rPr>
          <w:rFonts w:ascii="Times New Roman" w:cs="Times New Roman" w:eastAsia="Times New Roman" w:hAnsi="Times New Roman"/>
          <w:sz w:val="21"/>
          <w:szCs w:val="21"/>
          <w:color w:val="auto"/>
        </w:rPr>
        <w:t>. The Corporation hereby grants to Recipient ______ Units. Each Unit shall entitle</w:t>
      </w:r>
    </w:p>
    <w:p>
      <w:pPr>
        <w:spacing w:after="0" w:line="18"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Recipient to receive, upon vesting thereof in accordance with this Agreement and the Plan, one (1) share of common stock, par value $0.05 per share, of the Corporation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Except as permitted by the Plan, the Units may not be assigned, pledged, hypothecated or transferred in any manner. Recipient shall not have, with respect to any Units, any rights of a shareholder of the Corporation, including without limitation any right to vote as a shareholder of the Corporation or any right to receive distributions from the Corporation in respect of the Units.</w:t>
      </w:r>
    </w:p>
    <w:p>
      <w:pPr>
        <w:spacing w:after="0" w:line="175" w:lineRule="exact"/>
        <w:rPr>
          <w:sz w:val="20"/>
          <w:szCs w:val="20"/>
          <w:color w:val="auto"/>
        </w:rPr>
      </w:pPr>
    </w:p>
    <w:p>
      <w:pPr>
        <w:ind w:right="18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Section 2. Vesting</w:t>
      </w:r>
      <w:r>
        <w:rPr>
          <w:rFonts w:ascii="Times New Roman" w:cs="Times New Roman" w:eastAsia="Times New Roman" w:hAnsi="Times New Roman"/>
          <w:sz w:val="22"/>
          <w:szCs w:val="22"/>
          <w:color w:val="auto"/>
        </w:rPr>
        <w:t>. Except as may otherwise be provided in the Plan or this Agreement, the Units shall vest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amounts set forth below:</w:t>
      </w:r>
    </w:p>
    <w:p>
      <w:pPr>
        <w:spacing w:after="0" w:line="154" w:lineRule="exact"/>
        <w:rPr>
          <w:sz w:val="20"/>
          <w:szCs w:val="20"/>
          <w:color w:val="auto"/>
        </w:rPr>
      </w:pPr>
    </w:p>
    <w:p>
      <w:pPr>
        <w:ind w:left="1740"/>
        <w:spacing w:after="0"/>
        <w:tabs>
          <w:tab w:leader="none" w:pos="4360" w:val="left"/>
        </w:tabs>
        <w:rPr>
          <w:sz w:val="20"/>
          <w:szCs w:val="20"/>
          <w:color w:val="auto"/>
        </w:rPr>
      </w:pPr>
      <w:r>
        <w:rPr>
          <w:rFonts w:ascii="Times New Roman" w:cs="Times New Roman" w:eastAsia="Times New Roman" w:hAnsi="Times New Roman"/>
          <w:sz w:val="22"/>
          <w:szCs w:val="22"/>
          <w:color w:val="auto"/>
        </w:rPr>
        <w:t>On __________ , 20__</w:t>
      </w:r>
      <w:r>
        <w:rPr>
          <w:sz w:val="20"/>
          <w:szCs w:val="20"/>
          <w:color w:val="auto"/>
        </w:rPr>
        <w:tab/>
      </w:r>
      <w:r>
        <w:rPr>
          <w:rFonts w:ascii="Times New Roman" w:cs="Times New Roman" w:eastAsia="Times New Roman" w:hAnsi="Times New Roman"/>
          <w:sz w:val="21"/>
          <w:szCs w:val="21"/>
          <w:color w:val="auto"/>
        </w:rPr>
        <w:t>___________ shares of Common Stock</w:t>
      </w:r>
    </w:p>
    <w:p>
      <w:pPr>
        <w:spacing w:after="0" w:line="206" w:lineRule="exact"/>
        <w:rPr>
          <w:sz w:val="20"/>
          <w:szCs w:val="20"/>
          <w:color w:val="auto"/>
        </w:rPr>
      </w:pPr>
    </w:p>
    <w:p>
      <w:pPr>
        <w:ind w:right="720" w:firstLine="864"/>
        <w:spacing w:after="0" w:line="258" w:lineRule="auto"/>
        <w:rPr>
          <w:sz w:val="20"/>
          <w:szCs w:val="20"/>
          <w:color w:val="auto"/>
        </w:rPr>
      </w:pPr>
      <w:r>
        <w:rPr>
          <w:rFonts w:ascii="Times New Roman" w:cs="Times New Roman" w:eastAsia="Times New Roman" w:hAnsi="Times New Roman"/>
          <w:sz w:val="22"/>
          <w:szCs w:val="22"/>
          <w:color w:val="auto"/>
        </w:rPr>
        <w:t>Notwithstanding the foregoing, all unvested Units (at the rate of one (1) share of Common Stock per Unit) shall immediately vest upon:</w:t>
      </w:r>
    </w:p>
    <w:p>
      <w:pPr>
        <w:spacing w:after="0" w:line="158" w:lineRule="exact"/>
        <w:rPr>
          <w:sz w:val="20"/>
          <w:szCs w:val="20"/>
          <w:color w:val="auto"/>
        </w:rPr>
      </w:pPr>
    </w:p>
    <w:p>
      <w:pPr>
        <w:ind w:left="2560" w:hanging="891"/>
        <w:spacing w:after="0"/>
        <w:tabs>
          <w:tab w:leader="none" w:pos="25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6" w:lineRule="exact"/>
        <w:rPr>
          <w:rFonts w:ascii="Times New Roman" w:cs="Times New Roman" w:eastAsia="Times New Roman" w:hAnsi="Times New Roman"/>
          <w:sz w:val="22"/>
          <w:szCs w:val="22"/>
          <w:color w:val="auto"/>
        </w:rPr>
      </w:pPr>
    </w:p>
    <w:p>
      <w:pPr>
        <w:ind w:left="2560" w:hanging="891"/>
        <w:spacing w:after="0"/>
        <w:tabs>
          <w:tab w:leader="none" w:pos="25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Recipient’s employment is terminated by the Corporation in anticipation of a Change of Control, or</w:t>
      </w:r>
    </w:p>
    <w:p>
      <w:pPr>
        <w:spacing w:after="0" w:line="217" w:lineRule="exact"/>
        <w:rPr>
          <w:rFonts w:ascii="Times New Roman" w:cs="Times New Roman" w:eastAsia="Times New Roman" w:hAnsi="Times New Roman"/>
          <w:sz w:val="21"/>
          <w:szCs w:val="21"/>
          <w:color w:val="auto"/>
        </w:rPr>
      </w:pPr>
    </w:p>
    <w:p>
      <w:pPr>
        <w:ind w:left="880" w:right="80" w:firstLine="789"/>
        <w:spacing w:after="0" w:line="244" w:lineRule="auto"/>
        <w:tabs>
          <w:tab w:leader="none" w:pos="256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three-year period following such Change of Control (provided that the Units granted hereunder and related shares have not otherwise vested),</w:t>
      </w:r>
    </w:p>
    <w:p>
      <w:pPr>
        <w:spacing w:after="0" w:line="173" w:lineRule="exact"/>
        <w:rPr>
          <w:rFonts w:ascii="Times New Roman" w:cs="Times New Roman" w:eastAsia="Times New Roman" w:hAnsi="Times New Roman"/>
          <w:sz w:val="22"/>
          <w:szCs w:val="22"/>
          <w:color w:val="auto"/>
        </w:rPr>
      </w:pPr>
    </w:p>
    <w:p>
      <w:pPr>
        <w:ind w:right="260" w:firstLine="2600"/>
        <w:spacing w:after="0" w:line="258" w:lineRule="auto"/>
        <w:tabs>
          <w:tab w:leader="none" w:pos="34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rFonts w:ascii="Times New Roman" w:cs="Times New Roman" w:eastAsia="Times New Roman" w:hAnsi="Times New Roman"/>
          <w:sz w:val="22"/>
          <w:szCs w:val="22"/>
          <w:color w:val="auto"/>
        </w:rPr>
      </w:pPr>
    </w:p>
    <w:p>
      <w:pPr>
        <w:ind w:right="40" w:firstLine="2600"/>
        <w:spacing w:after="0" w:line="258" w:lineRule="auto"/>
        <w:tabs>
          <w:tab w:leader="none" w:pos="350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ind w:left="88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For purposes of this Agreement, the following terms shall have the meanings indicated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78" w:lineRule="exact"/>
        <w:rPr>
          <w:sz w:val="20"/>
          <w:szCs w:val="20"/>
          <w:color w:val="auto"/>
        </w:rPr>
      </w:pPr>
    </w:p>
    <w:p>
      <w:pPr>
        <w:ind w:left="880" w:right="200" w:firstLine="7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w:t>
      </w:r>
    </w:p>
    <w:p>
      <w:pPr>
        <w:spacing w:after="0" w:line="206" w:lineRule="exact"/>
        <w:rPr>
          <w:sz w:val="20"/>
          <w:szCs w:val="20"/>
          <w:color w:val="auto"/>
        </w:rPr>
      </w:pPr>
    </w:p>
    <w:p>
      <w:pPr>
        <w:ind w:left="880" w:right="20" w:firstLine="7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6" w:lineRule="exact"/>
        <w:rPr>
          <w:sz w:val="20"/>
          <w:szCs w:val="20"/>
          <w:color w:val="auto"/>
        </w:rPr>
      </w:pPr>
    </w:p>
    <w:p>
      <w:pPr>
        <w:ind w:left="880" w:firstLine="7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thirty days after Recipient notifies the Corporation of the existence of such conditions as hereinafter provided:</w:t>
      </w:r>
    </w:p>
    <w:p>
      <w:pPr>
        <w:spacing w:after="0" w:line="171" w:lineRule="exact"/>
        <w:rPr>
          <w:sz w:val="20"/>
          <w:szCs w:val="20"/>
          <w:color w:val="auto"/>
        </w:rPr>
      </w:pPr>
    </w:p>
    <w:p>
      <w:pPr>
        <w:ind w:left="2560" w:hanging="891"/>
        <w:spacing w:after="0"/>
        <w:tabs>
          <w:tab w:leader="none" w:pos="25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ind w:left="880" w:firstLine="789"/>
        <w:spacing w:after="0" w:line="244" w:lineRule="auto"/>
        <w:tabs>
          <w:tab w:leader="none" w:pos="257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 including a requirement that Recipient report to a Corporation officer or employee instead of reporting directly to the Corporation’s board of directors;</w:t>
      </w:r>
    </w:p>
    <w:p>
      <w:pPr>
        <w:spacing w:after="0" w:line="173" w:lineRule="exact"/>
        <w:rPr>
          <w:rFonts w:ascii="Times New Roman" w:cs="Times New Roman" w:eastAsia="Times New Roman" w:hAnsi="Times New Roman"/>
          <w:sz w:val="22"/>
          <w:szCs w:val="22"/>
          <w:color w:val="auto"/>
        </w:rPr>
      </w:pPr>
    </w:p>
    <w:p>
      <w:pPr>
        <w:ind w:left="880" w:right="360" w:firstLine="789"/>
        <w:spacing w:after="0" w:line="258" w:lineRule="auto"/>
        <w:tabs>
          <w:tab w:leader="none" w:pos="256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 Corporation; or</w:t>
      </w:r>
    </w:p>
    <w:p>
      <w:pPr>
        <w:spacing w:after="0" w:line="158" w:lineRule="exact"/>
        <w:rPr>
          <w:rFonts w:ascii="Times New Roman" w:cs="Times New Roman" w:eastAsia="Times New Roman" w:hAnsi="Times New Roman"/>
          <w:sz w:val="22"/>
          <w:szCs w:val="22"/>
          <w:color w:val="auto"/>
        </w:rPr>
      </w:pPr>
    </w:p>
    <w:p>
      <w:pPr>
        <w:ind w:left="2560" w:hanging="891"/>
        <w:spacing w:after="0"/>
        <w:tabs>
          <w:tab w:leader="none" w:pos="25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change in the geographic location at which Recipient must regularly perform services for</w:t>
      </w:r>
    </w:p>
    <w:p>
      <w:pPr>
        <w:spacing w:after="0" w:line="25" w:lineRule="exact"/>
        <w:rPr>
          <w:rFonts w:ascii="Times New Roman" w:cs="Times New Roman" w:eastAsia="Times New Roman" w:hAnsi="Times New Roman"/>
          <w:sz w:val="21"/>
          <w:szCs w:val="21"/>
          <w:color w:val="auto"/>
        </w:rPr>
      </w:pPr>
    </w:p>
    <w:p>
      <w:pPr>
        <w:ind w:left="8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Corporation.</w:t>
      </w:r>
    </w:p>
    <w:p>
      <w:pPr>
        <w:spacing w:after="0" w:line="182" w:lineRule="exact"/>
        <w:rPr>
          <w:sz w:val="20"/>
          <w:szCs w:val="20"/>
          <w:color w:val="auto"/>
        </w:rPr>
      </w:pPr>
    </w:p>
    <w:p>
      <w:pPr>
        <w:ind w:left="880" w:right="20" w:firstLine="797"/>
        <w:spacing w:after="0" w:line="251" w:lineRule="auto"/>
        <w:rPr>
          <w:sz w:val="20"/>
          <w:szCs w:val="20"/>
          <w:color w:val="auto"/>
        </w:rPr>
      </w:pPr>
      <w:r>
        <w:rPr>
          <w:rFonts w:ascii="Times New Roman" w:cs="Times New Roman" w:eastAsia="Times New Roman" w:hAnsi="Times New Roman"/>
          <w:sz w:val="21"/>
          <w:szCs w:val="21"/>
          <w:color w:val="auto"/>
        </w:rPr>
        <w:t>Recipient shall notify the Corporation that he/she believes that one or more of the conditions described above exists, and of his/her intention to terminate employment for Good Reason as a result thereof, within sixty days after the time that he/she gains knowledge of such conditions. Recipient shall not deliver a notice of termination of employment for Good Reason until thirty days after he/she delivers the notice described in the preceding sentence, and Recipient may do so only if the conditions described in such notice have not been fully corrected by the Corporation.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5" w:name="page66"/>
    <w:bookmarkEnd w:id="65"/>
    <w:p>
      <w:pPr>
        <w:ind w:right="120" w:firstLine="864"/>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4. Settlement. </w:t>
      </w:r>
      <w:r>
        <w:rPr>
          <w:rFonts w:ascii="Times New Roman" w:cs="Times New Roman" w:eastAsia="Times New Roman" w:hAnsi="Times New Roman"/>
          <w:sz w:val="22"/>
          <w:szCs w:val="22"/>
          <w:color w:val="auto"/>
        </w:rPr>
        <w:t>As soon as reasonably practicable following a determination by the Corporation that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part of the Units have vested pursuant to the terms of this Agreement, the Corporation shall issue directly to Recipient shares of Common Stock with respect to all such Units that have vested. Such shares of Common Stock shall not be treated as issued and outstanding until such shares have been issued by the Corporation in accordance with all applicable laws and the Corporation’s bylaws and articles of incorporation. Any certificate(s) evidencing shares of Common Stock shall bear such legends as the Corporation shall determine to be necessary to comply with all laws, including all applicable federal and state securities laws. All such shares of Common Stock issued pursuant to this Agreement shall be fully paid and nonassessable.</w:t>
      </w:r>
    </w:p>
    <w:p>
      <w:pPr>
        <w:spacing w:after="0" w:line="176"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All Units that do not vest pursuant to</w:t>
      </w:r>
      <w:r>
        <w:rPr>
          <w:rFonts w:ascii="Times New Roman" w:cs="Times New Roman" w:eastAsia="Times New Roman" w:hAnsi="Times New Roman"/>
          <w:sz w:val="21"/>
          <w:szCs w:val="21"/>
          <w:b w:val="1"/>
          <w:bCs w:val="1"/>
          <w:color w:val="auto"/>
        </w:rPr>
        <w:t xml:space="preserve"> Section 2 </w:t>
      </w:r>
      <w:r>
        <w:rPr>
          <w:rFonts w:ascii="Times New Roman" w:cs="Times New Roman" w:eastAsia="Times New Roman" w:hAnsi="Times New Roman"/>
          <w:sz w:val="21"/>
          <w:szCs w:val="21"/>
          <w:color w:val="auto"/>
        </w:rPr>
        <w:t>shall automatically be cancelled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forfeited by Recipient effective as of the earlier to occur of (a) the termination by Recipient of his/her employment with the</w:t>
      </w:r>
    </w:p>
    <w:p>
      <w:pPr>
        <w:spacing w:after="0" w:line="230" w:lineRule="auto"/>
        <w:rPr>
          <w:sz w:val="20"/>
          <w:szCs w:val="20"/>
          <w:color w:val="auto"/>
        </w:rPr>
      </w:pPr>
      <w:r>
        <w:rPr>
          <w:rFonts w:ascii="Times New Roman" w:cs="Times New Roman" w:eastAsia="Times New Roman" w:hAnsi="Times New Roman"/>
          <w:sz w:val="22"/>
          <w:szCs w:val="22"/>
          <w:color w:val="auto"/>
        </w:rPr>
        <w:t>Corporation or its Subsidiaries for any reason, except as otherwise determined by the Compensation Committee (the</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Corporation’s board of directors, in its sole discretion (for example, under circumstances in which</w:t>
      </w:r>
    </w:p>
    <w:p>
      <w:pPr>
        <w:spacing w:after="0" w:line="230" w:lineRule="auto"/>
        <w:rPr>
          <w:sz w:val="20"/>
          <w:szCs w:val="20"/>
          <w:color w:val="auto"/>
        </w:rPr>
      </w:pPr>
      <w:r>
        <w:rPr>
          <w:rFonts w:ascii="Times New Roman" w:cs="Times New Roman" w:eastAsia="Times New Roman" w:hAnsi="Times New Roman"/>
          <w:sz w:val="22"/>
          <w:szCs w:val="22"/>
          <w:color w:val="auto"/>
        </w:rPr>
        <w:t>Recipient will continue providing Services to the Corporation as a director, consultant, or independent contractor following any</w:t>
      </w:r>
    </w:p>
    <w:p>
      <w:pPr>
        <w:spacing w:after="0" w:line="231" w:lineRule="auto"/>
        <w:rPr>
          <w:sz w:val="20"/>
          <w:szCs w:val="20"/>
          <w:color w:val="auto"/>
        </w:rPr>
      </w:pPr>
      <w:r>
        <w:rPr>
          <w:rFonts w:ascii="Times New Roman" w:cs="Times New Roman" w:eastAsia="Times New Roman" w:hAnsi="Times New Roman"/>
          <w:sz w:val="22"/>
          <w:szCs w:val="22"/>
          <w:color w:val="auto"/>
        </w:rPr>
        <w:t>such termination by Recipient, or such other circumstances as determined by the Committee), or (b) the termination by the</w:t>
      </w:r>
    </w:p>
    <w:p>
      <w:pPr>
        <w:spacing w:after="0"/>
        <w:rPr>
          <w:sz w:val="20"/>
          <w:szCs w:val="20"/>
          <w:color w:val="auto"/>
        </w:rPr>
      </w:pPr>
      <w:r>
        <w:rPr>
          <w:rFonts w:ascii="Times New Roman" w:cs="Times New Roman" w:eastAsia="Times New Roman" w:hAnsi="Times New Roman"/>
          <w:sz w:val="21"/>
          <w:szCs w:val="21"/>
          <w:color w:val="auto"/>
        </w:rPr>
        <w:t>Corporation of Recipient’s employment with the Corporation or its Subsidiaries for any reason (including with or without Cause)</w:t>
      </w:r>
    </w:p>
    <w:p>
      <w:pPr>
        <w:spacing w:after="0" w:line="231" w:lineRule="auto"/>
        <w:rPr>
          <w:sz w:val="20"/>
          <w:szCs w:val="20"/>
          <w:color w:val="auto"/>
        </w:rPr>
      </w:pPr>
      <w:r>
        <w:rPr>
          <w:rFonts w:ascii="Times New Roman" w:cs="Times New Roman" w:eastAsia="Times New Roman" w:hAnsi="Times New Roman"/>
          <w:sz w:val="22"/>
          <w:szCs w:val="22"/>
          <w:color w:val="auto"/>
        </w:rPr>
        <w:t>(each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 shall automatically, without further action by the Corporation or Recipient, be cancelled and forfeited.</w:t>
      </w:r>
    </w:p>
    <w:p>
      <w:pPr>
        <w:spacing w:after="0" w:line="178"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Tax Matters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880" w:firstLine="789"/>
        <w:spacing w:after="0" w:line="233" w:lineRule="auto"/>
        <w:tabs>
          <w:tab w:leader="none" w:pos="256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promptly pay to the Corporation all federal, state and local income, social security and payroll taxes of any kind required by law to be withheld with respect to the vesting of any Units and the issuance of shares of Common Stock in respect thereof. Subject to the approval of the Committee, Recipient may elect to satisfy this obligation by having the Corporation withhold shares of Common Stock that would otherwise be issued to Recipient with respect to any Units that have vested, which shares of Common Stock shall have a Fair Market Value (as of the date that the amount of the withholding requirement is to be determined) equal to the amount of such withholding requirement. If Recipient fails to make such payments as required (whether in cash or having shares of Common Stock withheld), the Corporation shall, to the extent permitted by law, have the right to deduct from any payment of any kind otherwise due to Recipient all federal, state and local income, social security and payroll taxes of any kind required by law to be withheld with respect to the vesting of Units and the issuance of shares of Common Stock in respect thereof.</w:t>
      </w:r>
    </w:p>
    <w:p>
      <w:pPr>
        <w:spacing w:after="0" w:line="187" w:lineRule="exact"/>
        <w:rPr>
          <w:rFonts w:ascii="Times New Roman" w:cs="Times New Roman" w:eastAsia="Times New Roman" w:hAnsi="Times New Roman"/>
          <w:sz w:val="22"/>
          <w:szCs w:val="22"/>
          <w:color w:val="auto"/>
        </w:rPr>
      </w:pPr>
    </w:p>
    <w:p>
      <w:pPr>
        <w:ind w:left="880" w:right="80" w:firstLine="789"/>
        <w:spacing w:after="0" w:line="236" w:lineRule="auto"/>
        <w:tabs>
          <w:tab w:leader="none" w:pos="257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ind w:left="880" w:right="120"/>
        <w:spacing w:after="0" w:line="236" w:lineRule="auto"/>
        <w:rPr>
          <w:sz w:val="20"/>
          <w:szCs w:val="20"/>
          <w:color w:val="auto"/>
        </w:rPr>
      </w:pPr>
      <w:r>
        <w:rPr>
          <w:rFonts w:ascii="Times New Roman" w:cs="Times New Roman" w:eastAsia="Times New Roman" w:hAnsi="Times New Roman"/>
          <w:sz w:val="22"/>
          <w:szCs w:val="22"/>
          <w:color w:val="auto"/>
        </w:rPr>
        <w:t>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77" w:lineRule="exact"/>
        <w:rPr>
          <w:sz w:val="20"/>
          <w:szCs w:val="20"/>
          <w:color w:val="auto"/>
        </w:rPr>
      </w:pPr>
    </w:p>
    <w:p>
      <w:pPr>
        <w:ind w:firstLine="864"/>
        <w:spacing w:after="0" w:line="235" w:lineRule="auto"/>
        <w:rPr>
          <w:sz w:val="20"/>
          <w:szCs w:val="20"/>
          <w:color w:val="auto"/>
        </w:rPr>
      </w:pPr>
      <w:r>
        <w:rPr>
          <w:rFonts w:ascii="Times New Roman" w:cs="Times New Roman" w:eastAsia="Times New Roman" w:hAnsi="Times New Roman"/>
          <w:sz w:val="22"/>
          <w:szCs w:val="22"/>
          <w:b w:val="1"/>
          <w:bCs w:val="1"/>
          <w:color w:val="auto"/>
        </w:rPr>
        <w:t>Section 7. Clawback</w:t>
      </w:r>
      <w:r>
        <w:rPr>
          <w:rFonts w:ascii="Times New Roman" w:cs="Times New Roman" w:eastAsia="Times New Roman" w:hAnsi="Times New Roman"/>
          <w:sz w:val="22"/>
          <w:szCs w:val="22"/>
          <w:color w:val="auto"/>
        </w:rPr>
        <w:t>. If at any time within three years of the vesting or payment of any award to Recipient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or to otherwise return such Units or Common Stock.</w:t>
      </w:r>
    </w:p>
    <w:p>
      <w:pPr>
        <w:spacing w:after="0" w:line="182" w:lineRule="exact"/>
        <w:rPr>
          <w:sz w:val="20"/>
          <w:szCs w:val="20"/>
          <w:color w:val="auto"/>
        </w:rPr>
      </w:pPr>
    </w:p>
    <w:p>
      <w:pPr>
        <w:ind w:right="20" w:firstLine="864"/>
        <w:spacing w:after="0" w:line="236" w:lineRule="auto"/>
        <w:rPr>
          <w:sz w:val="20"/>
          <w:szCs w:val="20"/>
          <w:color w:val="auto"/>
        </w:rPr>
      </w:pPr>
      <w:r>
        <w:rPr>
          <w:rFonts w:ascii="Times New Roman" w:cs="Times New Roman" w:eastAsia="Times New Roman" w:hAnsi="Times New Roman"/>
          <w:sz w:val="22"/>
          <w:szCs w:val="22"/>
          <w:color w:val="auto"/>
        </w:rPr>
        <w:t>By acceptance of any award or Units hereunder, Recipient expressly acknowledges and agrees that any and all Units or Common Stock, as well as the equivalent cash value thereof with respect to any and all such Units or Common Stock, that have become vested, exercised, free of restriction or otherwise released to and/or monetized by or for the benefit of Recipient or any transferee or assignee thereof (collectively, the “</w:t>
      </w:r>
      <w:r>
        <w:rPr>
          <w:rFonts w:ascii="Times New Roman" w:cs="Times New Roman" w:eastAsia="Times New Roman" w:hAnsi="Times New Roman"/>
          <w:sz w:val="22"/>
          <w:szCs w:val="22"/>
          <w:b w:val="1"/>
          <w:bCs w:val="1"/>
          <w:color w:val="auto"/>
        </w:rPr>
        <w:t>Award-Equivalent Value</w:t>
      </w:r>
      <w:r>
        <w:rPr>
          <w:rFonts w:ascii="Times New Roman" w:cs="Times New Roman" w:eastAsia="Times New Roman" w:hAnsi="Times New Roman"/>
          <w:sz w:val="22"/>
          <w:szCs w:val="22"/>
          <w:color w:val="auto"/>
        </w:rPr>
        <w:t>”), are and will be fully subject to the terms of the foregoing clawback provision, and agrees to cooperate fully with the Corporation to facilitate the recovery of any Units or Common Stock and/or Award-Equivalent Value that the Committee requires to be recovered pursuant to the foregoing.</w:t>
      </w:r>
    </w:p>
    <w:p>
      <w:pPr>
        <w:spacing w:after="0" w:line="177"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80" w:right="320" w:firstLine="789"/>
        <w:spacing w:after="0" w:line="246" w:lineRule="auto"/>
        <w:tabs>
          <w:tab w:leader="none" w:pos="256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ind w:left="880" w:right="180" w:firstLine="789"/>
        <w:spacing w:after="0" w:line="250" w:lineRule="auto"/>
        <w:tabs>
          <w:tab w:leader="none" w:pos="257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Entire Agreement; Amendment and Waiver</w:t>
      </w:r>
      <w:r>
        <w:rPr>
          <w:rFonts w:ascii="Times New Roman" w:cs="Times New Roman" w:eastAsia="Times New Roman" w:hAnsi="Times New Roman"/>
          <w:sz w:val="21"/>
          <w:szCs w:val="21"/>
          <w:color w:val="auto"/>
        </w:rPr>
        <w:t>. This Agreement and the Units granted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64" w:lineRule="exact"/>
        <w:rPr>
          <w:rFonts w:ascii="Times New Roman" w:cs="Times New Roman" w:eastAsia="Times New Roman" w:hAnsi="Times New Roman"/>
          <w:sz w:val="21"/>
          <w:szCs w:val="21"/>
          <w:color w:val="auto"/>
        </w:rPr>
      </w:pPr>
    </w:p>
    <w:p>
      <w:pPr>
        <w:ind w:left="880" w:right="540" w:firstLine="789"/>
        <w:spacing w:after="0" w:line="246" w:lineRule="auto"/>
        <w:tabs>
          <w:tab w:leader="none" w:pos="256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hereunder may not be assigned, pledged, hypothecated or transferred by Recipient in any manner. This Agreement, as amended from time to</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7" w:name="page68"/>
    <w:bookmarkEnd w:id="67"/>
    <w:p>
      <w:pPr>
        <w:ind w:right="20"/>
        <w:spacing w:after="0" w:line="244" w:lineRule="auto"/>
        <w:rPr>
          <w:sz w:val="20"/>
          <w:szCs w:val="20"/>
          <w:color w:val="auto"/>
        </w:rPr>
      </w:pPr>
      <w:r>
        <w:rPr>
          <w:rFonts w:ascii="Times New Roman" w:cs="Times New Roman" w:eastAsia="Times New Roman" w:hAnsi="Times New Roman"/>
          <w:sz w:val="22"/>
          <w:szCs w:val="22"/>
          <w:color w:val="auto"/>
        </w:rPr>
        <w:t xml:space="preserve">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69" w:lineRule="exact"/>
        <w:rPr>
          <w:sz w:val="20"/>
          <w:szCs w:val="20"/>
          <w:color w:val="auto"/>
        </w:rPr>
      </w:pPr>
    </w:p>
    <w:p>
      <w:pPr>
        <w:ind w:right="600" w:firstLine="789"/>
        <w:spacing w:after="0" w:line="262" w:lineRule="auto"/>
        <w:tabs>
          <w:tab w:leader="none" w:pos="169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in the employ of the Corporation or any of its Subsidiaries.</w:t>
      </w:r>
    </w:p>
    <w:p>
      <w:pPr>
        <w:spacing w:after="0" w:line="149" w:lineRule="exact"/>
        <w:rPr>
          <w:rFonts w:ascii="Times New Roman" w:cs="Times New Roman" w:eastAsia="Times New Roman" w:hAnsi="Times New Roman"/>
          <w:sz w:val="22"/>
          <w:szCs w:val="22"/>
          <w:color w:val="auto"/>
        </w:rPr>
      </w:pPr>
    </w:p>
    <w:p>
      <w:pPr>
        <w:ind w:firstLine="789"/>
        <w:spacing w:after="0" w:line="236" w:lineRule="auto"/>
        <w:tabs>
          <w:tab w:leader="none" w:pos="168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5" w:lineRule="exact"/>
        <w:rPr>
          <w:rFonts w:ascii="Times New Roman" w:cs="Times New Roman" w:eastAsia="Times New Roman" w:hAnsi="Times New Roman"/>
          <w:sz w:val="22"/>
          <w:szCs w:val="22"/>
          <w:color w:val="auto"/>
        </w:rPr>
      </w:pPr>
    </w:p>
    <w:p>
      <w:pPr>
        <w:ind w:firstLine="789"/>
        <w:spacing w:after="0" w:line="250" w:lineRule="auto"/>
        <w:tabs>
          <w:tab w:leader="none" w:pos="166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Any notice hereunder to the Corporation shall be addressed to the Corporation’s principal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office,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6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200" w:lineRule="exact"/>
        <w:rPr>
          <w:sz w:val="20"/>
          <w:szCs w:val="20"/>
          <w:color w:val="auto"/>
        </w:rPr>
      </w:pPr>
    </w:p>
    <w:p>
      <w:pPr>
        <w:spacing w:after="0" w:line="24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79375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32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10795</wp:posOffset>
            </wp:positionV>
            <wp:extent cx="32486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-3810</wp:posOffset>
            </wp:positionV>
            <wp:extent cx="27089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-3810</wp:posOffset>
            </wp:positionV>
            <wp:extent cx="27089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433705</wp:posOffset>
            </wp:positionV>
            <wp:extent cx="3566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287655</wp:posOffset>
            </wp:positionV>
            <wp:extent cx="3566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259"/>
          </w:cols>
          <w:pgMar w:left="1200" w:top="324" w:right="144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Franklin N. Saxon, certify that:</w:t>
      </w:r>
    </w:p>
    <w:p>
      <w:pPr>
        <w:spacing w:after="0" w:line="189" w:lineRule="exact"/>
        <w:rPr>
          <w:sz w:val="20"/>
          <w:szCs w:val="20"/>
          <w:color w:val="auto"/>
        </w:rPr>
      </w:pPr>
    </w:p>
    <w:p>
      <w:pPr>
        <w:ind w:left="620" w:hanging="612"/>
        <w:spacing w:after="0"/>
        <w:tabs>
          <w:tab w:leader="none" w:pos="6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194" w:lineRule="exact"/>
        <w:rPr>
          <w:rFonts w:ascii="Times New Roman" w:cs="Times New Roman" w:eastAsia="Times New Roman" w:hAnsi="Times New Roman"/>
          <w:sz w:val="16"/>
          <w:szCs w:val="16"/>
          <w:color w:val="auto"/>
        </w:rPr>
      </w:pPr>
    </w:p>
    <w:p>
      <w:pPr>
        <w:ind w:left="620" w:right="40" w:hanging="612"/>
        <w:spacing w:after="0" w:line="298" w:lineRule="auto"/>
        <w:tabs>
          <w:tab w:leader="none" w:pos="6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620" w:right="560" w:hanging="612"/>
        <w:spacing w:after="0" w:line="298" w:lineRule="auto"/>
        <w:tabs>
          <w:tab w:leader="none" w:pos="6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6"/>
          <w:szCs w:val="16"/>
          <w:color w:val="auto"/>
        </w:rPr>
      </w:pPr>
    </w:p>
    <w:p>
      <w:pPr>
        <w:ind w:left="620" w:right="240" w:hanging="612"/>
        <w:spacing w:after="0" w:line="281" w:lineRule="auto"/>
        <w:tabs>
          <w:tab w:leader="none" w:pos="6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1220" w:right="80" w:hanging="605"/>
        <w:spacing w:after="0" w:line="281" w:lineRule="auto"/>
        <w:tabs>
          <w:tab w:leader="none" w:pos="122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6"/>
          <w:szCs w:val="16"/>
          <w:color w:val="auto"/>
        </w:rPr>
      </w:pPr>
    </w:p>
    <w:p>
      <w:pPr>
        <w:ind w:left="1220" w:right="180" w:hanging="605"/>
        <w:spacing w:after="0" w:line="281" w:lineRule="auto"/>
        <w:tabs>
          <w:tab w:leader="none" w:pos="122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6"/>
          <w:szCs w:val="16"/>
          <w:color w:val="auto"/>
        </w:rPr>
      </w:pPr>
    </w:p>
    <w:p>
      <w:pPr>
        <w:ind w:left="1220" w:right="220" w:hanging="605"/>
        <w:spacing w:after="0" w:line="298" w:lineRule="auto"/>
        <w:tabs>
          <w:tab w:leader="none" w:pos="122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6"/>
          <w:szCs w:val="16"/>
          <w:color w:val="auto"/>
        </w:rPr>
      </w:pPr>
    </w:p>
    <w:p>
      <w:pPr>
        <w:ind w:left="1220" w:right="280" w:hanging="605"/>
        <w:spacing w:after="0" w:line="281" w:lineRule="auto"/>
        <w:tabs>
          <w:tab w:leader="none" w:pos="122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6"/>
          <w:szCs w:val="16"/>
          <w:color w:val="auto"/>
        </w:rPr>
      </w:pPr>
    </w:p>
    <w:p>
      <w:pPr>
        <w:ind w:left="620" w:right="160" w:hanging="612"/>
        <w:spacing w:after="0" w:line="298" w:lineRule="auto"/>
        <w:tabs>
          <w:tab w:leader="none" w:pos="6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6"/>
          <w:szCs w:val="16"/>
          <w:color w:val="auto"/>
        </w:rPr>
      </w:pPr>
    </w:p>
    <w:p>
      <w:pPr>
        <w:ind w:left="1220" w:right="160" w:hanging="605"/>
        <w:spacing w:after="0" w:line="298" w:lineRule="auto"/>
        <w:tabs>
          <w:tab w:leader="none" w:pos="122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left="1220" w:right="380" w:hanging="605"/>
        <w:spacing w:after="0" w:line="298" w:lineRule="auto"/>
        <w:tabs>
          <w:tab w:leader="none" w:pos="122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Franklin N. Saxon</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2020</w:t>
      </w:r>
    </w:p>
    <w:p>
      <w:pPr>
        <w:sectPr>
          <w:pgSz w:w="11900" w:h="16838" w:orient="portrait"/>
          <w:cols w:equalWidth="0" w:num="1">
            <w:col w:w="11240"/>
          </w:cols>
          <w:pgMar w:left="32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189" w:lineRule="exact"/>
        <w:rPr>
          <w:sz w:val="20"/>
          <w:szCs w:val="20"/>
          <w:color w:val="auto"/>
        </w:rPr>
      </w:pPr>
    </w:p>
    <w:p>
      <w:pPr>
        <w:ind w:left="620" w:hanging="612"/>
        <w:spacing w:after="0"/>
        <w:tabs>
          <w:tab w:leader="none" w:pos="6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194" w:lineRule="exact"/>
        <w:rPr>
          <w:rFonts w:ascii="Times New Roman" w:cs="Times New Roman" w:eastAsia="Times New Roman" w:hAnsi="Times New Roman"/>
          <w:sz w:val="16"/>
          <w:szCs w:val="16"/>
          <w:color w:val="auto"/>
        </w:rPr>
      </w:pPr>
    </w:p>
    <w:p>
      <w:pPr>
        <w:ind w:left="620" w:right="40" w:hanging="612"/>
        <w:spacing w:after="0" w:line="298" w:lineRule="auto"/>
        <w:tabs>
          <w:tab w:leader="none" w:pos="6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620" w:right="560" w:hanging="612"/>
        <w:spacing w:after="0" w:line="298" w:lineRule="auto"/>
        <w:tabs>
          <w:tab w:leader="none" w:pos="6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6"/>
          <w:szCs w:val="16"/>
          <w:color w:val="auto"/>
        </w:rPr>
      </w:pPr>
    </w:p>
    <w:p>
      <w:pPr>
        <w:ind w:left="620" w:right="240" w:hanging="612"/>
        <w:spacing w:after="0" w:line="281" w:lineRule="auto"/>
        <w:tabs>
          <w:tab w:leader="none" w:pos="6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1220" w:right="80" w:hanging="605"/>
        <w:spacing w:after="0" w:line="281" w:lineRule="auto"/>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6"/>
          <w:szCs w:val="16"/>
          <w:color w:val="auto"/>
        </w:rPr>
      </w:pPr>
    </w:p>
    <w:p>
      <w:pPr>
        <w:ind w:left="1220" w:right="180" w:hanging="605"/>
        <w:spacing w:after="0" w:line="281" w:lineRule="auto"/>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6"/>
          <w:szCs w:val="16"/>
          <w:color w:val="auto"/>
        </w:rPr>
      </w:pPr>
    </w:p>
    <w:p>
      <w:pPr>
        <w:ind w:left="1220" w:right="220" w:hanging="605"/>
        <w:spacing w:after="0" w:line="298" w:lineRule="auto"/>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6"/>
          <w:szCs w:val="16"/>
          <w:color w:val="auto"/>
        </w:rPr>
      </w:pPr>
    </w:p>
    <w:p>
      <w:pPr>
        <w:ind w:left="1220" w:right="280" w:hanging="605"/>
        <w:spacing w:after="0" w:line="281" w:lineRule="auto"/>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6"/>
          <w:szCs w:val="16"/>
          <w:color w:val="auto"/>
        </w:rPr>
      </w:pPr>
    </w:p>
    <w:p>
      <w:pPr>
        <w:ind w:left="620" w:right="160" w:hanging="612"/>
        <w:spacing w:after="0" w:line="298" w:lineRule="auto"/>
        <w:tabs>
          <w:tab w:leader="none" w:pos="6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6"/>
          <w:szCs w:val="16"/>
          <w:color w:val="auto"/>
        </w:rPr>
      </w:pPr>
    </w:p>
    <w:p>
      <w:pPr>
        <w:ind w:left="1220" w:right="160" w:hanging="605"/>
        <w:spacing w:after="0" w:line="298" w:lineRule="auto"/>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left="1220" w:right="380" w:hanging="605"/>
        <w:spacing w:after="0" w:line="298" w:lineRule="auto"/>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2020</w:t>
      </w:r>
    </w:p>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189" w:lineRule="exact"/>
        <w:rPr>
          <w:sz w:val="20"/>
          <w:szCs w:val="20"/>
          <w:color w:val="auto"/>
        </w:rPr>
      </w:pPr>
    </w:p>
    <w:p>
      <w:pPr>
        <w:ind w:left="620" w:hanging="612"/>
        <w:spacing w:after="0"/>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194" w:lineRule="exact"/>
        <w:rPr>
          <w:rFonts w:ascii="Times New Roman" w:cs="Times New Roman" w:eastAsia="Times New Roman" w:hAnsi="Times New Roman"/>
          <w:sz w:val="16"/>
          <w:szCs w:val="16"/>
          <w:color w:val="auto"/>
        </w:rPr>
      </w:pPr>
    </w:p>
    <w:p>
      <w:pPr>
        <w:ind w:left="620" w:right="40" w:hanging="612"/>
        <w:spacing w:after="0" w:line="298" w:lineRule="auto"/>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620" w:right="560" w:hanging="612"/>
        <w:spacing w:after="0" w:line="298" w:lineRule="auto"/>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6"/>
          <w:szCs w:val="16"/>
          <w:color w:val="auto"/>
        </w:rPr>
      </w:pPr>
    </w:p>
    <w:p>
      <w:pPr>
        <w:ind w:left="620" w:right="240" w:hanging="612"/>
        <w:spacing w:after="0" w:line="281" w:lineRule="auto"/>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1220" w:right="80" w:hanging="605"/>
        <w:spacing w:after="0" w:line="281" w:lineRule="auto"/>
        <w:tabs>
          <w:tab w:leader="none" w:pos="12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6"/>
          <w:szCs w:val="16"/>
          <w:color w:val="auto"/>
        </w:rPr>
      </w:pPr>
    </w:p>
    <w:p>
      <w:pPr>
        <w:ind w:left="1220" w:right="180" w:hanging="605"/>
        <w:spacing w:after="0" w:line="281" w:lineRule="auto"/>
        <w:tabs>
          <w:tab w:leader="none" w:pos="12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6"/>
          <w:szCs w:val="16"/>
          <w:color w:val="auto"/>
        </w:rPr>
      </w:pPr>
    </w:p>
    <w:p>
      <w:pPr>
        <w:ind w:left="1220" w:right="220" w:hanging="605"/>
        <w:spacing w:after="0" w:line="298" w:lineRule="auto"/>
        <w:tabs>
          <w:tab w:leader="none" w:pos="12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6"/>
          <w:szCs w:val="16"/>
          <w:color w:val="auto"/>
        </w:rPr>
      </w:pPr>
    </w:p>
    <w:p>
      <w:pPr>
        <w:ind w:left="1220" w:right="280" w:hanging="605"/>
        <w:spacing w:after="0" w:line="281" w:lineRule="auto"/>
        <w:tabs>
          <w:tab w:leader="none" w:pos="12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6"/>
          <w:szCs w:val="16"/>
          <w:color w:val="auto"/>
        </w:rPr>
      </w:pPr>
    </w:p>
    <w:p>
      <w:pPr>
        <w:ind w:left="620" w:right="160" w:hanging="612"/>
        <w:spacing w:after="0" w:line="298" w:lineRule="auto"/>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6"/>
          <w:szCs w:val="16"/>
          <w:color w:val="auto"/>
        </w:rPr>
      </w:pPr>
    </w:p>
    <w:p>
      <w:pPr>
        <w:ind w:left="1220" w:right="160" w:hanging="605"/>
        <w:spacing w:after="0" w:line="298" w:lineRule="auto"/>
        <w:tabs>
          <w:tab w:leader="none" w:pos="12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left="1220" w:right="380" w:hanging="605"/>
        <w:spacing w:after="0" w:line="298" w:lineRule="auto"/>
        <w:tabs>
          <w:tab w:leader="none" w:pos="12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2020</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November 1, 2020, as filed with the Securities and Exchange Commission on the date hereof (the “Report”), I, Franklin N. Saxon, certify, pursuant to 18 U.S.C. Section 1350, as adopted pursuant to Section 906 of the Sarbanes-Oxley Act of 2002, that, to my knowledge:</w:t>
      </w:r>
    </w:p>
    <w:p>
      <w:pPr>
        <w:spacing w:after="0" w:line="149" w:lineRule="exact"/>
        <w:rPr>
          <w:sz w:val="20"/>
          <w:szCs w:val="20"/>
          <w:color w:val="auto"/>
        </w:rPr>
      </w:pPr>
    </w:p>
    <w:p>
      <w:pPr>
        <w:ind w:left="860" w:hanging="263"/>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N. Saxon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pacing w:after="0" w:line="18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November 1, 2020,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860" w:hanging="263"/>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pacing w:after="0" w:line="18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32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November 1, 2020,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860" w:hanging="263"/>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60" w:hanging="263"/>
        <w:spacing w:after="0"/>
        <w:tabs>
          <w:tab w:leader="none" w:pos="8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2020</w:t>
      </w:r>
    </w:p>
    <w:p>
      <w:pPr>
        <w:spacing w:after="0" w:line="18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7"/>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1)"/>
      <w:numFmt w:val="lowerRoman"/>
      <w:start w:val="2"/>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4"/>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2"/>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6"/>
    </w:lvl>
  </w:abstractNum>
  <w:abstractNum w:abstractNumId="27">
    <w:nsid w:val="4516DDE9"/>
    <w:multiLevelType w:val="hybridMultilevel"/>
    <w:lvl w:ilvl="0">
      <w:lvlJc w:val="left"/>
      <w:lvlText w:val="(%1)"/>
      <w:numFmt w:val="lowerLetter"/>
      <w:start w:val="1"/>
    </w:lvl>
    <w:lvl w:ilvl="1">
      <w:lvlJc w:val="left"/>
      <w:lvlText w:val="(%2)"/>
      <w:numFmt w:val="lowerRoman"/>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4"/>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2020-12-11T07:33:26Z</dcterms:created>
  <dcterms:modified xsi:type="dcterms:W3CDTF">2020-12-11T07:33:26Z</dcterms:modified>
</cp:coreProperties>
</file>