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October 27,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07"/>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35"/>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4"/>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10"/>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61"/>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3"/>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1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7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December 6, 2024: 12,559,129</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20" w:type="dxa"/>
            <w:vAlign w:val="bottom"/>
            <w:gridSpan w:val="11"/>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gridSpan w:val="13"/>
          </w:tcPr>
          <w:p>
            <w:pPr>
              <w:ind w:left="320"/>
              <w:spacing w:after="0"/>
              <w:rPr>
                <w:sz w:val="20"/>
                <w:szCs w:val="20"/>
                <w:color w:val="auto"/>
              </w:rPr>
            </w:pPr>
            <w:r>
              <w:rPr>
                <w:rFonts w:ascii="Times New Roman" w:cs="Times New Roman" w:eastAsia="Times New Roman" w:hAnsi="Times New Roman"/>
                <w:sz w:val="20"/>
                <w:szCs w:val="20"/>
                <w:b w:val="1"/>
                <w:bCs w:val="1"/>
                <w:color w:val="auto"/>
              </w:rPr>
              <w:t>For the period ended October 27, 2024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5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Net Loss — Three Months Ended October 27, 2024, and October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Net Loss — Six Months Ended October 27, 2024, and October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Loss – Three Months and Six Months Ended October 27, 2024, and October</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I-3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000FF"/>
                <w:w w:val="91"/>
              </w:rPr>
              <w:t>29, 2023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Balance Sheets — October 27, 2024, October 29 2023, and April 28, 2024</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Cash Flows — Six Months Ended October 27, 2024, and October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27, 2024</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Six Months Ended October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6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20" w:type="dxa"/>
            <w:vAlign w:val="bottom"/>
            <w:tcBorders>
              <w:left w:val="single" w:sz="8" w:color="0000FF"/>
            </w:tcBorders>
            <w:gridSpan w:val="6"/>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320" w:type="dxa"/>
            <w:vAlign w:val="bottom"/>
            <w:tcBorders>
              <w:left w:val="single" w:sz="8" w:color="0000FF"/>
            </w:tcBorders>
            <w:gridSpan w:val="6"/>
            <w:shd w:val="clear" w:color="auto" w:fill="0000FF"/>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58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c>
          <w:tcPr>
            <w:tcW w:w="0" w:type="dxa"/>
            <w:vAlign w:val="bottom"/>
          </w:tcPr>
          <w:p>
            <w:pPr>
              <w:spacing w:after="0"/>
              <w:rPr>
                <w:sz w:val="1"/>
                <w:szCs w:val="1"/>
                <w:color w:val="auto"/>
              </w:rPr>
            </w:pPr>
          </w:p>
        </w:tc>
      </w:tr>
      <w:tr>
        <w:trPr>
          <w:trHeight w:val="439"/>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c>
          <w:tcPr>
            <w:tcW w:w="0" w:type="dxa"/>
            <w:vAlign w:val="bottom"/>
          </w:tcPr>
          <w:p>
            <w:pPr>
              <w:spacing w:after="0"/>
              <w:rPr>
                <w:sz w:val="1"/>
                <w:szCs w:val="1"/>
                <w:color w:val="auto"/>
              </w:rPr>
            </w:pPr>
          </w:p>
        </w:tc>
      </w:tr>
      <w:tr>
        <w:trPr>
          <w:trHeight w:val="2079"/>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OCTOBER 27, 2024, AND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7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ind w:right="468"/>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right"/>
              <w:ind w:right="488"/>
              <w:spacing w:after="0" w:line="118" w:lineRule="exact"/>
              <w:rPr>
                <w:sz w:val="20"/>
                <w:szCs w:val="20"/>
                <w:color w:val="auto"/>
              </w:rPr>
            </w:pPr>
            <w:r>
              <w:rPr>
                <w:rFonts w:ascii="Times New Roman" w:cs="Times New Roman" w:eastAsia="Times New Roman" w:hAnsi="Times New Roman"/>
                <w:sz w:val="13"/>
                <w:szCs w:val="13"/>
                <w:color w:val="auto"/>
              </w:rPr>
              <w:t>October 29,</w:t>
            </w: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2023</w:t>
            </w: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55,674</w:t>
            </w:r>
          </w:p>
        </w:tc>
        <w:tc>
          <w:tcPr>
            <w:tcW w:w="4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58,725</w:t>
            </w: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(49,684 )</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(50,775 )</w:t>
            </w:r>
          </w:p>
        </w:tc>
      </w:tr>
      <w:tr>
        <w:trPr>
          <w:trHeight w:val="142"/>
        </w:trPr>
        <w:tc>
          <w:tcPr>
            <w:tcW w:w="77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5,990</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7,950</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(9,359 )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(10,045 )</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(2,031 )</w:t>
            </w:r>
          </w:p>
        </w:tc>
        <w:tc>
          <w:tcPr>
            <w:tcW w:w="1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(144 )</w:t>
            </w: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(5,400 )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(2,239 )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(30 )</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244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(508 )</w:t>
            </w:r>
          </w:p>
        </w:tc>
        <w:tc>
          <w:tcPr>
            <w:tcW w:w="1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(5,694 )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(1,908 )</w:t>
            </w:r>
          </w:p>
        </w:tc>
      </w:tr>
      <w:tr>
        <w:trPr>
          <w:trHeight w:val="148"/>
        </w:trPr>
        <w:tc>
          <w:tcPr>
            <w:tcW w:w="77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1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(516 )</w:t>
            </w: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(5,644 )</w:t>
            </w:r>
          </w:p>
        </w:tc>
        <w:tc>
          <w:tcPr>
            <w:tcW w:w="4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(2,424 )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(0.45 )</w:t>
            </w:r>
          </w:p>
        </w:tc>
        <w:tc>
          <w:tcPr>
            <w:tcW w:w="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(0.19 )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(0.45 )</w:t>
            </w:r>
          </w:p>
        </w:tc>
        <w:tc>
          <w:tcPr>
            <w:tcW w:w="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(0.19 )</w:t>
            </w:r>
          </w:p>
        </w:tc>
      </w:tr>
      <w:tr>
        <w:trPr>
          <w:trHeight w:val="149"/>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2"/>
                <w:szCs w:val="12"/>
                <w:color w:val="auto"/>
              </w:rPr>
            </w:pPr>
          </w:p>
        </w:tc>
        <w:tc>
          <w:tcPr>
            <w:tcW w:w="14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12,513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12,456</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12,513</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-1182370</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-796925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27, 2024, AND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77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88"/>
              <w:spacing w:after="0" w:line="118" w:lineRule="exact"/>
              <w:rPr>
                <w:sz w:val="20"/>
                <w:szCs w:val="20"/>
                <w:color w:val="auto"/>
              </w:rPr>
            </w:pPr>
            <w:r>
              <w:rPr>
                <w:rFonts w:ascii="Times New Roman" w:cs="Times New Roman" w:eastAsia="Times New Roman" w:hAnsi="Times New Roman"/>
                <w:sz w:val="13"/>
                <w:szCs w:val="13"/>
                <w:color w:val="auto"/>
              </w:rPr>
              <w:t>October 29,</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112,211</w:t>
            </w:r>
          </w:p>
        </w:tc>
        <w:tc>
          <w:tcPr>
            <w:tcW w:w="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115,387</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(101,145 )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(100,352 )</w:t>
            </w:r>
          </w:p>
        </w:tc>
      </w:tr>
      <w:tr>
        <w:trPr>
          <w:trHeight w:val="142"/>
        </w:trPr>
        <w:tc>
          <w:tcPr>
            <w:tcW w:w="77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11,066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15,035</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2"/>
                <w:szCs w:val="12"/>
                <w:color w:val="auto"/>
              </w:rPr>
            </w:pP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(18,655 )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(19,874 )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Restructuring expense</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(4,662 )</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(482 )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2"/>
                <w:szCs w:val="12"/>
                <w:color w:val="auto"/>
              </w:rPr>
            </w:pPr>
          </w:p>
        </w:tc>
        <w:tc>
          <w:tcPr>
            <w:tcW w:w="14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(12,251 )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(5,321 )</w:t>
            </w:r>
          </w:p>
        </w:tc>
      </w:tr>
      <w:tr>
        <w:trPr>
          <w:trHeight w:val="149"/>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(58 )</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(913 )</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2"/>
                <w:szCs w:val="12"/>
                <w:color w:val="auto"/>
              </w:rPr>
            </w:pPr>
          </w:p>
        </w:tc>
        <w:tc>
          <w:tcPr>
            <w:tcW w:w="14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(12,715 )</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(4,549 )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(190 )</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(1,217 )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(12,905 )</w:t>
            </w:r>
          </w:p>
        </w:tc>
        <w:tc>
          <w:tcPr>
            <w:tcW w:w="4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(5,766 )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basic</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(1.03 )</w:t>
            </w:r>
          </w:p>
        </w:tc>
        <w:tc>
          <w:tcPr>
            <w:tcW w:w="4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(0.47 )</w:t>
            </w: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per share - diluted</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(1.03 )</w:t>
            </w:r>
          </w:p>
        </w:tc>
        <w:tc>
          <w:tcPr>
            <w:tcW w:w="4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(0.47 )</w:t>
            </w:r>
          </w:p>
        </w:tc>
      </w:tr>
      <w:tr>
        <w:trPr>
          <w:trHeight w:val="148"/>
        </w:trPr>
        <w:tc>
          <w:tcPr>
            <w:tcW w:w="77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basic</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12,491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12,394</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shares outstanding, diluted</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12,491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12,394</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OCTOBER 27, 2024, AND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7"/>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83"/>
        </w:trPr>
        <w:tc>
          <w:tcPr>
            <w:tcW w:w="7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October 27,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color w:val="auto"/>
              </w:rPr>
              <w:t>October 29,</w:t>
            </w:r>
          </w:p>
        </w:tc>
      </w:tr>
      <w:tr>
        <w:trPr>
          <w:trHeight w:val="215"/>
        </w:trPr>
        <w:tc>
          <w:tcPr>
            <w:tcW w:w="77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auto"/>
            </w:tcBorders>
          </w:tcPr>
          <w:p>
            <w:pPr>
              <w:spacing w:after="0"/>
              <w:rPr>
                <w:sz w:val="18"/>
                <w:szCs w:val="18"/>
                <w:color w:val="auto"/>
              </w:rPr>
            </w:pPr>
          </w:p>
        </w:tc>
      </w:tr>
      <w:tr>
        <w:trPr>
          <w:trHeight w:val="19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(5,644 )</w:t>
            </w:r>
          </w:p>
        </w:tc>
        <w:tc>
          <w:tcPr>
            <w:tcW w:w="42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(2,424 )</w:t>
            </w:r>
          </w:p>
        </w:tc>
      </w:tr>
      <w:tr>
        <w:trPr>
          <w:trHeight w:val="20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gain (loss) on investments, net of tax</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Borders>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(5,621 )</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(2,506 )</w:t>
            </w:r>
          </w:p>
        </w:tc>
      </w:tr>
      <w:tr>
        <w:trPr>
          <w:trHeight w:val="744"/>
        </w:trPr>
        <w:tc>
          <w:tcPr>
            <w:tcW w:w="7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7"/>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6"/>
        </w:trPr>
        <w:tc>
          <w:tcPr>
            <w:tcW w:w="7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October 27,</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October 29,</w:t>
            </w:r>
          </w:p>
        </w:tc>
        <w:tc>
          <w:tcPr>
            <w:tcW w:w="100" w:type="dxa"/>
            <w:vAlign w:val="bottom"/>
          </w:tcPr>
          <w:p>
            <w:pPr>
              <w:spacing w:after="0"/>
              <w:rPr>
                <w:sz w:val="16"/>
                <w:szCs w:val="16"/>
                <w:color w:val="auto"/>
              </w:rPr>
            </w:pPr>
          </w:p>
        </w:tc>
      </w:tr>
      <w:tr>
        <w:trPr>
          <w:trHeight w:val="215"/>
        </w:trPr>
        <w:tc>
          <w:tcPr>
            <w:tcW w:w="7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r>
      <w:tr>
        <w:trPr>
          <w:trHeight w:val="19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(12,905 )</w:t>
            </w:r>
          </w:p>
        </w:tc>
        <w:tc>
          <w:tcPr>
            <w:tcW w:w="42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(5,766 )</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holding gain (loss) on investments, net of tax</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36"/>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(12,802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-1207770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-1191260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-1344930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r>
        <w:rPr>
          <w:rFonts w:ascii="Times New Roman" w:cs="Times New Roman" w:eastAsia="Times New Roman" w:hAnsi="Times New Roman"/>
          <w:sz w:val="20"/>
          <w:szCs w:val="20"/>
          <w:color w:val="FF0000"/>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OCTOBER 27, 2024, OCTOBER 29, 2023, AND APRIL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October 27,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October 29,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10,531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10,012</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22,330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23,036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21,138</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45,132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44,465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3,187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3,371</w:t>
            </w:r>
          </w:p>
        </w:tc>
        <w:tc>
          <w:tcPr>
            <w:tcW w:w="0" w:type="dxa"/>
            <w:vAlign w:val="bottom"/>
          </w:tcPr>
          <w:p>
            <w:pPr>
              <w:spacing w:after="0"/>
              <w:rPr>
                <w:sz w:val="1"/>
                <w:szCs w:val="1"/>
                <w:color w:val="auto"/>
              </w:rPr>
            </w:pPr>
          </w:p>
        </w:tc>
      </w:tr>
      <w:tr>
        <w:trPr>
          <w:trHeight w:val="196"/>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86,901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88,594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80,881</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4,239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6,874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7,105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0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128,987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142,160</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183"/>
        </w:trPr>
        <w:tc>
          <w:tcPr>
            <w:tcW w:w="66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Line of credit - China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4,074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32,373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27,903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25,607</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1,108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1,129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02"/>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restructuring</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863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1,165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48,429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41,635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38,107</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1,378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6,624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5,663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6,379</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6,975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6,748</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6,929</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65,364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58,532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55,925</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11, 17, and 18)</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12,559,129 at October 27, 2024; 12,469,903 at October 29, 2023,</w:t>
            </w:r>
          </w:p>
        </w:tc>
        <w:tc>
          <w:tcPr>
            <w:tcW w:w="18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12,469,903 at April 28, 2024</w:t>
            </w:r>
          </w:p>
        </w:tc>
        <w:tc>
          <w:tcPr>
            <w:tcW w:w="18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18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44,581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45,011</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17,471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38,429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30,376</w:t>
            </w:r>
          </w:p>
        </w:tc>
        <w:tc>
          <w:tcPr>
            <w:tcW w:w="0" w:type="dxa"/>
            <w:vAlign w:val="bottom"/>
          </w:tcPr>
          <w:p>
            <w:pPr>
              <w:spacing w:after="0"/>
              <w:rPr>
                <w:sz w:val="1"/>
                <w:szCs w:val="1"/>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63,623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83,628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76,129</w:t>
            </w:r>
          </w:p>
        </w:tc>
        <w:tc>
          <w:tcPr>
            <w:tcW w:w="0" w:type="dxa"/>
            <w:vAlign w:val="bottom"/>
          </w:tcPr>
          <w:p>
            <w:pPr>
              <w:spacing w:after="0"/>
              <w:rPr>
                <w:sz w:val="1"/>
                <w:szCs w:val="1"/>
                <w:color w:val="auto"/>
              </w:rPr>
            </w:pPr>
          </w:p>
        </w:tc>
      </w:tr>
      <w:tr>
        <w:trPr>
          <w:trHeight w:val="196"/>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128,987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142,160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-5125720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-5125720</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-3822700</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-3805555</wp:posOffset>
            </wp:positionV>
            <wp:extent cx="93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-3822700</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-3805555</wp:posOffset>
            </wp:positionV>
            <wp:extent cx="94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-1464945</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-1464945</wp:posOffset>
            </wp:positionV>
            <wp:extent cx="94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93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-161925</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27, 2024, AND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2"/>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360" w:type="dxa"/>
            <w:vAlign w:val="bottom"/>
          </w:tcPr>
          <w:p>
            <w:pPr>
              <w:spacing w:after="0"/>
              <w:rPr>
                <w:sz w:val="18"/>
                <w:szCs w:val="18"/>
                <w:color w:val="auto"/>
              </w:rPr>
            </w:pPr>
          </w:p>
        </w:tc>
        <w:tc>
          <w:tcPr>
            <w:tcW w:w="13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October 29,</w:t>
            </w:r>
          </w:p>
        </w:tc>
      </w:t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2023</w:t>
            </w:r>
          </w:p>
        </w:tc>
      </w:tr>
      <w:tr>
        <w:trPr>
          <w:trHeight w:val="142"/>
        </w:trPr>
        <w:tc>
          <w:tcPr>
            <w:tcW w:w="7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(12,905 )</w:t>
            </w:r>
          </w:p>
        </w:tc>
        <w:tc>
          <w:tcPr>
            <w:tcW w:w="3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(5,766 )</w:t>
            </w:r>
          </w:p>
        </w:tc>
      </w:tr>
      <w:tr>
        <w:trPr>
          <w:trHeight w:val="126"/>
        </w:trPr>
        <w:tc>
          <w:tcPr>
            <w:tcW w:w="78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24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71"/>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49"/>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3,077</w:t>
            </w:r>
          </w:p>
        </w:tc>
        <w:tc>
          <w:tcPr>
            <w:tcW w:w="3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3,251</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inventory credit</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(309 )</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(2,001 )</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3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364</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485</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204</w:t>
            </w:r>
          </w:p>
        </w:tc>
        <w:tc>
          <w:tcPr>
            <w:tcW w:w="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(283 )</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Gain on sale of equipment</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(27 )</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(278 )</w:t>
            </w:r>
          </w:p>
        </w:tc>
      </w:tr>
      <w:tr>
        <w:trPr>
          <w:trHeight w:val="149"/>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Non-cash restructuring expenses</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2,178</w:t>
            </w:r>
          </w:p>
        </w:tc>
        <w:tc>
          <w:tcPr>
            <w:tcW w:w="3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379</w:t>
            </w:r>
          </w:p>
        </w:tc>
      </w:tr>
      <w:tr>
        <w:trPr>
          <w:trHeight w:val="148"/>
        </w:trPr>
        <w:tc>
          <w:tcPr>
            <w:tcW w:w="786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rPr>
              <w:t>Foreign currency exchange loss (gain)</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237</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(697 )</w:t>
            </w:r>
          </w:p>
        </w:tc>
      </w:tr>
      <w:tr>
        <w:trPr>
          <w:trHeight w:val="148"/>
        </w:trPr>
        <w:tc>
          <w:tcPr>
            <w:tcW w:w="78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(1,162 )</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1,644</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117</w:t>
            </w:r>
          </w:p>
        </w:tc>
        <w:tc>
          <w:tcPr>
            <w:tcW w:w="3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2,304</w:t>
            </w:r>
          </w:p>
        </w:tc>
      </w:tr>
      <w:tr>
        <w:trPr>
          <w:trHeight w:val="149"/>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194</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(1,355 )</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(123 )</w:t>
            </w: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Accounts payable – trade</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6,506</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(495 )</w:t>
            </w:r>
          </w:p>
        </w:tc>
      </w:tr>
      <w:tr>
        <w:trPr>
          <w:trHeight w:val="148"/>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2"/>
                <w:szCs w:val="12"/>
                <w:color w:val="auto"/>
              </w:rPr>
            </w:pPr>
          </w:p>
        </w:tc>
        <w:tc>
          <w:tcPr>
            <w:tcW w:w="14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(366 )</w:t>
            </w:r>
          </w:p>
        </w:tc>
        <w:tc>
          <w:tcPr>
            <w:tcW w:w="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(339 )</w:t>
            </w:r>
          </w:p>
        </w:tc>
      </w:tr>
      <w:tr>
        <w:trPr>
          <w:trHeight w:val="148"/>
        </w:trPr>
        <w:tc>
          <w:tcPr>
            <w:tcW w:w="7860" w:type="dxa"/>
            <w:vAlign w:val="bottom"/>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restructuring</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875</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8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Accrued expenses and deferred compensation</w:t>
            </w:r>
          </w:p>
        </w:tc>
        <w:tc>
          <w:tcPr>
            <w:tcW w:w="240" w:type="dxa"/>
            <w:vAlign w:val="bottom"/>
          </w:tcPr>
          <w:p>
            <w:pPr>
              <w:spacing w:after="0"/>
              <w:rPr>
                <w:sz w:val="12"/>
                <w:szCs w:val="12"/>
                <w:color w:val="auto"/>
              </w:rPr>
            </w:pPr>
          </w:p>
        </w:tc>
        <w:tc>
          <w:tcPr>
            <w:tcW w:w="14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(738 )</w:t>
            </w:r>
          </w:p>
        </w:tc>
        <w:tc>
          <w:tcPr>
            <w:tcW w:w="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(762 )</w:t>
            </w:r>
          </w:p>
        </w:tc>
      </w:tr>
      <w:tr>
        <w:trPr>
          <w:trHeight w:val="148"/>
        </w:trPr>
        <w:tc>
          <w:tcPr>
            <w:tcW w:w="7860" w:type="dxa"/>
            <w:vAlign w:val="bottom"/>
            <w:tcBorders>
              <w:bottom w:val="single" w:sz="8" w:color="CFF0FC"/>
            </w:tcBorders>
            <w:shd w:val="clear" w:color="auto" w:fill="CFF0FC"/>
          </w:tcPr>
          <w:p>
            <w:pPr>
              <w:ind w:left="74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(1,185 )</w:t>
            </w:r>
          </w:p>
        </w:tc>
        <w:tc>
          <w:tcPr>
            <w:tcW w:w="3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(633 )</w:t>
            </w:r>
          </w:p>
        </w:tc>
      </w:tr>
      <w:tr>
        <w:trPr>
          <w:trHeight w:val="142"/>
        </w:trPr>
        <w:tc>
          <w:tcPr>
            <w:tcW w:w="7860" w:type="dxa"/>
            <w:vAlign w:val="bottom"/>
          </w:tcPr>
          <w:p>
            <w:pPr>
              <w:ind w:left="9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(2,633 )</w:t>
            </w: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(4,476 )</w:t>
            </w:r>
          </w:p>
        </w:tc>
      </w:tr>
      <w:tr>
        <w:trPr>
          <w:trHeight w:val="142"/>
        </w:trPr>
        <w:tc>
          <w:tcPr>
            <w:tcW w:w="78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2"/>
                <w:szCs w:val="12"/>
                <w:color w:val="auto"/>
              </w:rPr>
            </w:pPr>
          </w:p>
        </w:tc>
        <w:tc>
          <w:tcPr>
            <w:tcW w:w="14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(1,578 )</w:t>
            </w:r>
          </w:p>
        </w:tc>
        <w:tc>
          <w:tcPr>
            <w:tcW w:w="3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(1,972 )</w:t>
            </w:r>
          </w:p>
        </w:tc>
      </w:tr>
      <w:tr>
        <w:trPr>
          <w:trHeight w:val="149"/>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the sale of equipment</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527</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309</w:t>
            </w: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note receivable</w:t>
            </w:r>
          </w:p>
        </w:tc>
        <w:tc>
          <w:tcPr>
            <w:tcW w:w="240" w:type="dxa"/>
            <w:vAlign w:val="bottom"/>
          </w:tcPr>
          <w:p>
            <w:pPr>
              <w:spacing w:after="0"/>
              <w:rPr>
                <w:sz w:val="12"/>
                <w:szCs w:val="12"/>
                <w:color w:val="auto"/>
              </w:rPr>
            </w:pPr>
          </w:p>
        </w:tc>
        <w:tc>
          <w:tcPr>
            <w:tcW w:w="14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180</w:t>
            </w:r>
          </w:p>
        </w:tc>
        <w:tc>
          <w:tcPr>
            <w:tcW w:w="360" w:type="dxa"/>
            <w:vAlign w:val="bottom"/>
          </w:tcPr>
          <w:p>
            <w:pPr>
              <w:spacing w:after="0"/>
              <w:rPr>
                <w:sz w:val="12"/>
                <w:szCs w:val="12"/>
                <w:color w:val="auto"/>
              </w:rPr>
            </w:pPr>
          </w:p>
        </w:tc>
        <w:tc>
          <w:tcPr>
            <w:tcW w:w="1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48"/>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462</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986</w:t>
            </w:r>
          </w:p>
        </w:tc>
      </w:tr>
      <w:tr>
        <w:trPr>
          <w:trHeight w:val="149"/>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investments (rabbi trust)</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(378 )</w:t>
            </w: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(472 )</w:t>
            </w:r>
          </w:p>
        </w:tc>
      </w:tr>
      <w:tr>
        <w:trPr>
          <w:trHeight w:val="142"/>
        </w:trPr>
        <w:tc>
          <w:tcPr>
            <w:tcW w:w="7860" w:type="dxa"/>
            <w:vAlign w:val="bottom"/>
            <w:tcBorders>
              <w:bottom w:val="single" w:sz="8" w:color="CFF0FC"/>
            </w:tcBorders>
            <w:shd w:val="clear" w:color="auto" w:fill="CFF0FC"/>
          </w:tcPr>
          <w:p>
            <w:pPr>
              <w:ind w:left="9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(787 )</w:t>
            </w:r>
          </w:p>
        </w:tc>
        <w:tc>
          <w:tcPr>
            <w:tcW w:w="3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(999 )</w:t>
            </w:r>
          </w:p>
        </w:tc>
      </w:tr>
      <w:tr>
        <w:trPr>
          <w:trHeight w:val="142"/>
        </w:trPr>
        <w:tc>
          <w:tcPr>
            <w:tcW w:w="7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78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Procceds from line credit - China</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4,010</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surrendered for withholding taxes payable</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(68 )</w:t>
            </w: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(146 )</w:t>
            </w:r>
          </w:p>
        </w:tc>
      </w:tr>
      <w:tr>
        <w:trPr>
          <w:trHeight w:val="142"/>
        </w:trPr>
        <w:tc>
          <w:tcPr>
            <w:tcW w:w="78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3,942</w:t>
            </w:r>
          </w:p>
        </w:tc>
        <w:tc>
          <w:tcPr>
            <w:tcW w:w="3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(146 )</w:t>
            </w:r>
          </w:p>
        </w:tc>
      </w:tr>
      <w:tr>
        <w:trPr>
          <w:trHeight w:val="142"/>
        </w:trPr>
        <w:tc>
          <w:tcPr>
            <w:tcW w:w="7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Pr>
          <w:p>
            <w:pPr>
              <w:spacing w:after="0"/>
              <w:rPr>
                <w:sz w:val="12"/>
                <w:szCs w:val="12"/>
                <w:color w:val="auto"/>
              </w:rPr>
            </w:pPr>
          </w:p>
        </w:tc>
        <w:tc>
          <w:tcPr>
            <w:tcW w:w="14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(3 )</w:t>
            </w:r>
          </w:p>
        </w:tc>
        <w:tc>
          <w:tcPr>
            <w:tcW w:w="36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(129 )</w:t>
            </w:r>
          </w:p>
        </w:tc>
      </w:tr>
      <w:tr>
        <w:trPr>
          <w:trHeight w:val="148"/>
        </w:trPr>
        <w:tc>
          <w:tcPr>
            <w:tcW w:w="78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40" w:type="dxa"/>
            <w:vAlign w:val="bottom"/>
            <w:shd w:val="clear" w:color="auto" w:fill="CFF0FC"/>
          </w:tcPr>
          <w:p>
            <w:pPr>
              <w:spacing w:after="0"/>
              <w:rPr>
                <w:sz w:val="12"/>
                <w:szCs w:val="12"/>
                <w:color w:val="auto"/>
              </w:rPr>
            </w:pPr>
          </w:p>
        </w:tc>
        <w:tc>
          <w:tcPr>
            <w:tcW w:w="144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519</w:t>
            </w:r>
          </w:p>
        </w:tc>
        <w:tc>
          <w:tcPr>
            <w:tcW w:w="3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(5,750 )</w:t>
            </w:r>
          </w:p>
        </w:tc>
      </w:tr>
      <w:tr>
        <w:trPr>
          <w:trHeight w:val="148"/>
        </w:trPr>
        <w:tc>
          <w:tcPr>
            <w:tcW w:w="7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10,012</w:t>
            </w: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20,964</w:t>
            </w:r>
          </w:p>
        </w:tc>
      </w:tr>
      <w:tr>
        <w:trPr>
          <w:trHeight w:val="182"/>
        </w:trPr>
        <w:tc>
          <w:tcPr>
            <w:tcW w:w="78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10,531</w:t>
            </w:r>
          </w:p>
        </w:tc>
        <w:tc>
          <w:tcPr>
            <w:tcW w:w="36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15,214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27,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color w:val="auto"/>
                <w:w w:val="95"/>
              </w:rPr>
              <w:t>Capital</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center"/>
              <w:ind w:left="119"/>
              <w:spacing w:after="0"/>
              <w:rPr>
                <w:sz w:val="20"/>
                <w:szCs w:val="20"/>
                <w:color w:val="auto"/>
              </w:rPr>
            </w:pPr>
            <w:r>
              <w:rPr>
                <w:rFonts w:ascii="Times New Roman" w:cs="Times New Roman" w:eastAsia="Times New Roman" w:hAnsi="Times New Roman"/>
                <w:sz w:val="12"/>
                <w:szCs w:val="12"/>
                <w:color w:val="auto"/>
                <w:w w:val="96"/>
              </w:rPr>
              <w:t>Accumulate</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jc w:val="center"/>
              <w:ind w:right="159"/>
              <w:spacing w:after="0" w:line="125" w:lineRule="exact"/>
              <w:rPr>
                <w:sz w:val="20"/>
                <w:szCs w:val="20"/>
                <w:color w:val="auto"/>
              </w:rPr>
            </w:pPr>
            <w:r>
              <w:rPr>
                <w:rFonts w:ascii="Times New Roman" w:cs="Times New Roman" w:eastAsia="Times New Roman" w:hAnsi="Times New Roman"/>
                <w:sz w:val="11"/>
                <w:szCs w:val="11"/>
                <w:color w:val="auto"/>
                <w:w w:val="71"/>
              </w:rPr>
              <w:t>d</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color w:val="auto"/>
                <w:w w:val="97"/>
              </w:rPr>
              <w:t>Contribute</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ind w:right="177"/>
              <w:spacing w:after="0" w:line="145" w:lineRule="exact"/>
              <w:rPr>
                <w:sz w:val="20"/>
                <w:szCs w:val="20"/>
                <w:color w:val="auto"/>
              </w:rPr>
            </w:pPr>
            <w:r>
              <w:rPr>
                <w:rFonts w:ascii="Times New Roman" w:cs="Times New Roman" w:eastAsia="Times New Roman" w:hAnsi="Times New Roman"/>
                <w:sz w:val="13"/>
                <w:szCs w:val="13"/>
                <w:color w:val="auto"/>
                <w:w w:val="91"/>
              </w:rPr>
              <w:t>d</w:t>
            </w: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Accumula</w:t>
            </w:r>
          </w:p>
        </w:tc>
        <w:tc>
          <w:tcPr>
            <w:tcW w:w="400" w:type="dxa"/>
            <w:vAlign w:val="bottom"/>
          </w:tcPr>
          <w:p>
            <w:pPr>
              <w:spacing w:after="0"/>
              <w:rPr>
                <w:sz w:val="12"/>
                <w:szCs w:val="12"/>
                <w:color w:val="auto"/>
              </w:rPr>
            </w:pPr>
          </w:p>
        </w:tc>
        <w:tc>
          <w:tcPr>
            <w:tcW w:w="62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rPr>
              <w:t>Other</w:t>
            </w:r>
          </w:p>
        </w:tc>
        <w:tc>
          <w:tcPr>
            <w:tcW w:w="480" w:type="dxa"/>
            <w:vAlign w:val="bottom"/>
          </w:tcPr>
          <w:p>
            <w:pPr>
              <w:spacing w:after="0"/>
              <w:rPr>
                <w:sz w:val="12"/>
                <w:szCs w:val="12"/>
                <w:color w:val="auto"/>
              </w:rPr>
            </w:pPr>
          </w:p>
        </w:tc>
        <w:tc>
          <w:tcPr>
            <w:tcW w:w="760" w:type="dxa"/>
            <w:vAlign w:val="bottom"/>
          </w:tcPr>
          <w:p>
            <w:pPr>
              <w:jc w:val="center"/>
              <w:ind w:right="197"/>
              <w:spacing w:after="0" w:line="145"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840" w:type="dxa"/>
            <w:vAlign w:val="bottom"/>
            <w:gridSpan w:val="3"/>
            <w:vMerge w:val="restart"/>
          </w:tcPr>
          <w:p>
            <w:pPr>
              <w:jc w:val="right"/>
              <w:ind w:right="537"/>
              <w:spacing w:after="0"/>
              <w:rPr>
                <w:sz w:val="20"/>
                <w:szCs w:val="20"/>
                <w:color w:val="auto"/>
              </w:rPr>
            </w:pPr>
            <w:r>
              <w:rPr>
                <w:rFonts w:ascii="Times New Roman" w:cs="Times New Roman" w:eastAsia="Times New Roman" w:hAnsi="Times New Roman"/>
                <w:sz w:val="13"/>
                <w:szCs w:val="13"/>
                <w:color w:val="auto"/>
              </w:rPr>
              <w:t>Common Stock</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20" w:type="dxa"/>
            <w:vAlign w:val="bottom"/>
            <w:gridSpan w:val="2"/>
          </w:tcPr>
          <w:p>
            <w:pPr>
              <w:jc w:val="center"/>
              <w:ind w:left="119"/>
              <w:spacing w:after="0" w:line="125" w:lineRule="exact"/>
              <w:rPr>
                <w:sz w:val="20"/>
                <w:szCs w:val="20"/>
                <w:color w:val="auto"/>
              </w:rPr>
            </w:pPr>
            <w:r>
              <w:rPr>
                <w:rFonts w:ascii="Times New Roman" w:cs="Times New Roman" w:eastAsia="Times New Roman" w:hAnsi="Times New Roman"/>
                <w:sz w:val="12"/>
                <w:szCs w:val="12"/>
                <w:color w:val="auto"/>
                <w:w w:val="98"/>
              </w:rPr>
              <w:t>Comprehens</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10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1040" w:type="dxa"/>
            <w:vAlign w:val="bottom"/>
            <w:gridSpan w:val="2"/>
          </w:tcPr>
          <w:p>
            <w:pPr>
              <w:jc w:val="center"/>
              <w:ind w:left="137"/>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440" w:type="dxa"/>
            <w:vAlign w:val="bottom"/>
          </w:tcPr>
          <w:p>
            <w:pPr>
              <w:spacing w:after="0"/>
              <w:rPr>
                <w:sz w:val="12"/>
                <w:szCs w:val="12"/>
                <w:color w:val="auto"/>
              </w:rPr>
            </w:pPr>
          </w:p>
        </w:tc>
        <w:tc>
          <w:tcPr>
            <w:tcW w:w="560" w:type="dxa"/>
            <w:vAlign w:val="bottom"/>
          </w:tcPr>
          <w:p>
            <w:pPr>
              <w:jc w:val="right"/>
              <w:ind w:right="277"/>
              <w:spacing w:after="0" w:line="140" w:lineRule="exact"/>
              <w:rPr>
                <w:sz w:val="20"/>
                <w:szCs w:val="20"/>
                <w:color w:val="auto"/>
              </w:rPr>
            </w:pPr>
            <w:r>
              <w:rPr>
                <w:rFonts w:ascii="Times New Roman" w:cs="Times New Roman" w:eastAsia="Times New Roman" w:hAnsi="Times New Roman"/>
                <w:sz w:val="13"/>
                <w:szCs w:val="13"/>
                <w:color w:val="auto"/>
              </w:rPr>
              <w:t>ted</w:t>
            </w:r>
          </w:p>
        </w:tc>
        <w:tc>
          <w:tcPr>
            <w:tcW w:w="400" w:type="dxa"/>
            <w:vAlign w:val="bottom"/>
          </w:tcPr>
          <w:p>
            <w:pPr>
              <w:spacing w:after="0"/>
              <w:rPr>
                <w:sz w:val="12"/>
                <w:szCs w:val="12"/>
                <w:color w:val="auto"/>
              </w:rPr>
            </w:pPr>
          </w:p>
        </w:tc>
        <w:tc>
          <w:tcPr>
            <w:tcW w:w="62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rPr>
              <w:t>ive</w:t>
            </w:r>
          </w:p>
        </w:tc>
        <w:tc>
          <w:tcPr>
            <w:tcW w:w="1240" w:type="dxa"/>
            <w:vAlign w:val="bottom"/>
            <w:gridSpan w:val="2"/>
          </w:tcPr>
          <w:p>
            <w:pPr>
              <w:jc w:val="center"/>
              <w:ind w:left="137"/>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jc w:val="center"/>
              <w:ind w:right="197"/>
              <w:spacing w:after="0" w:line="110" w:lineRule="exact"/>
              <w:rPr>
                <w:sz w:val="20"/>
                <w:szCs w:val="20"/>
                <w:color w:val="auto"/>
              </w:rPr>
            </w:pPr>
            <w:r>
              <w:rPr>
                <w:rFonts w:ascii="Times New Roman" w:cs="Times New Roman" w:eastAsia="Times New Roman" w:hAnsi="Times New Roman"/>
                <w:sz w:val="12"/>
                <w:szCs w:val="12"/>
                <w:color w:val="auto"/>
              </w:rPr>
              <w:t>of Par</w:t>
            </w: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00" w:type="dxa"/>
            <w:vAlign w:val="bottom"/>
          </w:tcPr>
          <w:p>
            <w:pPr>
              <w:spacing w:after="0"/>
              <w:rPr>
                <w:sz w:val="13"/>
                <w:szCs w:val="13"/>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Shares</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3"/>
              </w:rPr>
              <w:t>Amount</w:t>
            </w: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0"/>
              </w:rPr>
              <w:t>Value</w:t>
            </w:r>
          </w:p>
        </w:tc>
        <w:tc>
          <w:tcPr>
            <w:tcW w:w="100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Earnings</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2"/>
                <w:szCs w:val="12"/>
                <w:color w:val="auto"/>
                <w:w w:val="99"/>
              </w:rPr>
              <w:t>Income</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10"/>
        </w:trPr>
        <w:tc>
          <w:tcPr>
            <w:tcW w:w="510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Balance, April 28, 2024 *</w:t>
            </w:r>
          </w:p>
        </w:tc>
        <w:tc>
          <w:tcPr>
            <w:tcW w:w="780" w:type="dxa"/>
            <w:vAlign w:val="bottom"/>
            <w:shd w:val="clear" w:color="auto" w:fill="CFF0FC"/>
          </w:tcPr>
          <w:p>
            <w:pPr>
              <w:jc w:val="right"/>
              <w:ind w:right="98"/>
              <w:spacing w:after="0" w:line="110" w:lineRule="exact"/>
              <w:rPr>
                <w:sz w:val="20"/>
                <w:szCs w:val="20"/>
                <w:color w:val="auto"/>
              </w:rPr>
            </w:pPr>
            <w:r>
              <w:rPr>
                <w:rFonts w:ascii="Times New Roman" w:cs="Times New Roman" w:eastAsia="Times New Roman" w:hAnsi="Times New Roman"/>
                <w:sz w:val="12"/>
                <w:szCs w:val="12"/>
                <w:color w:val="auto"/>
              </w:rPr>
              <w:t>12,469,9</w:t>
            </w:r>
          </w:p>
        </w:tc>
        <w:tc>
          <w:tcPr>
            <w:tcW w:w="4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03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45,011</w:t>
            </w:r>
          </w:p>
        </w:tc>
        <w:tc>
          <w:tcPr>
            <w:tcW w:w="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30,376</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118</w:t>
            </w:r>
          </w:p>
        </w:tc>
        <w:tc>
          <w:tcPr>
            <w:tcW w:w="4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76,129</w:t>
            </w:r>
          </w:p>
        </w:tc>
        <w:tc>
          <w:tcPr>
            <w:tcW w:w="0" w:type="dxa"/>
            <w:vAlign w:val="bottom"/>
          </w:tcPr>
          <w:p>
            <w:pPr>
              <w:spacing w:after="0"/>
              <w:rPr>
                <w:sz w:val="1"/>
                <w:szCs w:val="1"/>
                <w:color w:val="auto"/>
              </w:rPr>
            </w:pPr>
          </w:p>
        </w:tc>
      </w:tr>
      <w:tr>
        <w:trPr>
          <w:trHeight w:val="135"/>
        </w:trPr>
        <w:tc>
          <w:tcPr>
            <w:tcW w:w="51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5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(7,261 )</w:t>
            </w:r>
          </w:p>
        </w:tc>
        <w:tc>
          <w:tcPr>
            <w:tcW w:w="400" w:type="dxa"/>
            <w:vAlign w:val="bottom"/>
          </w:tcPr>
          <w:p>
            <w:pPr>
              <w:spacing w:after="0"/>
              <w:rPr>
                <w:sz w:val="11"/>
                <w:szCs w:val="11"/>
                <w:color w:val="auto"/>
              </w:rPr>
            </w:pPr>
          </w:p>
        </w:tc>
        <w:tc>
          <w:tcPr>
            <w:tcW w:w="62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(7,261 )</w:t>
            </w:r>
          </w:p>
        </w:tc>
        <w:tc>
          <w:tcPr>
            <w:tcW w:w="0" w:type="dxa"/>
            <w:vAlign w:val="bottom"/>
          </w:tcPr>
          <w:p>
            <w:pPr>
              <w:spacing w:after="0"/>
              <w:rPr>
                <w:sz w:val="1"/>
                <w:szCs w:val="1"/>
                <w:color w:val="auto"/>
              </w:rPr>
            </w:pPr>
          </w:p>
        </w:tc>
      </w:tr>
      <w:tr>
        <w:trPr>
          <w:trHeight w:val="135"/>
        </w:trPr>
        <w:tc>
          <w:tcPr>
            <w:tcW w:w="51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4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35"/>
        </w:trPr>
        <w:tc>
          <w:tcPr>
            <w:tcW w:w="51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780" w:type="dxa"/>
            <w:vAlign w:val="bottom"/>
            <w:tcBorders>
              <w:bottom w:val="single" w:sz="8" w:color="auto"/>
            </w:tcBorders>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10"/>
        </w:trPr>
        <w:tc>
          <w:tcPr>
            <w:tcW w:w="510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Balance, July 28, 2024</w:t>
            </w:r>
          </w:p>
        </w:tc>
        <w:tc>
          <w:tcPr>
            <w:tcW w:w="780" w:type="dxa"/>
            <w:vAlign w:val="bottom"/>
            <w:shd w:val="clear" w:color="auto" w:fill="CFF0FC"/>
          </w:tcPr>
          <w:p>
            <w:pPr>
              <w:jc w:val="right"/>
              <w:ind w:right="98"/>
              <w:spacing w:after="0" w:line="110" w:lineRule="exact"/>
              <w:rPr>
                <w:sz w:val="20"/>
                <w:szCs w:val="20"/>
                <w:color w:val="auto"/>
              </w:rPr>
            </w:pPr>
            <w:r>
              <w:rPr>
                <w:rFonts w:ascii="Times New Roman" w:cs="Times New Roman" w:eastAsia="Times New Roman" w:hAnsi="Times New Roman"/>
                <w:sz w:val="12"/>
                <w:szCs w:val="12"/>
                <w:color w:val="auto"/>
              </w:rPr>
              <w:t>12,469,9</w:t>
            </w:r>
          </w:p>
        </w:tc>
        <w:tc>
          <w:tcPr>
            <w:tcW w:w="4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03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45,187</w:t>
            </w:r>
          </w:p>
        </w:tc>
        <w:tc>
          <w:tcPr>
            <w:tcW w:w="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23,115</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198</w:t>
            </w:r>
          </w:p>
        </w:tc>
        <w:tc>
          <w:tcPr>
            <w:tcW w:w="4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69,124</w:t>
            </w:r>
          </w:p>
        </w:tc>
        <w:tc>
          <w:tcPr>
            <w:tcW w:w="0" w:type="dxa"/>
            <w:vAlign w:val="bottom"/>
          </w:tcPr>
          <w:p>
            <w:pPr>
              <w:spacing w:after="0"/>
              <w:rPr>
                <w:sz w:val="1"/>
                <w:szCs w:val="1"/>
                <w:color w:val="auto"/>
              </w:rPr>
            </w:pPr>
          </w:p>
        </w:tc>
      </w:tr>
      <w:tr>
        <w:trPr>
          <w:trHeight w:val="135"/>
        </w:trPr>
        <w:tc>
          <w:tcPr>
            <w:tcW w:w="51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5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(5,644 )</w:t>
            </w:r>
          </w:p>
        </w:tc>
        <w:tc>
          <w:tcPr>
            <w:tcW w:w="400" w:type="dxa"/>
            <w:vAlign w:val="bottom"/>
          </w:tcPr>
          <w:p>
            <w:pPr>
              <w:spacing w:after="0"/>
              <w:rPr>
                <w:sz w:val="11"/>
                <w:szCs w:val="11"/>
                <w:color w:val="auto"/>
              </w:rPr>
            </w:pPr>
          </w:p>
        </w:tc>
        <w:tc>
          <w:tcPr>
            <w:tcW w:w="62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(5,644 )</w:t>
            </w:r>
          </w:p>
        </w:tc>
        <w:tc>
          <w:tcPr>
            <w:tcW w:w="0" w:type="dxa"/>
            <w:vAlign w:val="bottom"/>
          </w:tcPr>
          <w:p>
            <w:pPr>
              <w:spacing w:after="0"/>
              <w:rPr>
                <w:sz w:val="1"/>
                <w:szCs w:val="1"/>
                <w:color w:val="auto"/>
              </w:rPr>
            </w:pPr>
          </w:p>
        </w:tc>
      </w:tr>
      <w:tr>
        <w:trPr>
          <w:trHeight w:val="135"/>
        </w:trPr>
        <w:tc>
          <w:tcPr>
            <w:tcW w:w="51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4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35"/>
        </w:trPr>
        <w:tc>
          <w:tcPr>
            <w:tcW w:w="51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780" w:type="dxa"/>
            <w:vAlign w:val="bottom"/>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6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620" w:type="dxa"/>
            <w:vAlign w:val="bottom"/>
          </w:tcPr>
          <w:p>
            <w:pPr>
              <w:jc w:val="right"/>
              <w:ind w:right="59"/>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48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17"/>
        </w:trPr>
        <w:tc>
          <w:tcPr>
            <w:tcW w:w="510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7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78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102,720</w:t>
            </w:r>
          </w:p>
        </w:tc>
        <w:tc>
          <w:tcPr>
            <w:tcW w:w="4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w:t>
            </w:r>
          </w:p>
        </w:tc>
        <w:tc>
          <w:tcPr>
            <w:tcW w:w="4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(5 )</w:t>
            </w:r>
          </w:p>
        </w:tc>
        <w:tc>
          <w:tcPr>
            <w:tcW w:w="4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10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78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(13,494 )</w:t>
            </w:r>
          </w:p>
        </w:tc>
        <w:tc>
          <w:tcPr>
            <w:tcW w:w="420" w:type="dxa"/>
            <w:vAlign w:val="bottom"/>
          </w:tcPr>
          <w:p>
            <w:pPr>
              <w:spacing w:after="0"/>
              <w:rPr>
                <w:sz w:val="10"/>
                <w:szCs w:val="10"/>
                <w:color w:val="auto"/>
              </w:rPr>
            </w:pPr>
          </w:p>
        </w:tc>
        <w:tc>
          <w:tcPr>
            <w:tcW w:w="6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420" w:type="dxa"/>
            <w:vAlign w:val="bottom"/>
          </w:tcPr>
          <w:p>
            <w:pPr>
              <w:spacing w:after="0"/>
              <w:rPr>
                <w:sz w:val="10"/>
                <w:szCs w:val="10"/>
                <w:color w:val="auto"/>
              </w:rPr>
            </w:pPr>
          </w:p>
        </w:tc>
        <w:tc>
          <w:tcPr>
            <w:tcW w:w="6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(67 )</w:t>
            </w:r>
          </w:p>
        </w:tc>
        <w:tc>
          <w:tcPr>
            <w:tcW w:w="440" w:type="dxa"/>
            <w:vAlign w:val="bottom"/>
          </w:tcPr>
          <w:p>
            <w:pPr>
              <w:spacing w:after="0"/>
              <w:rPr>
                <w:sz w:val="10"/>
                <w:szCs w:val="10"/>
                <w:color w:val="auto"/>
              </w:rPr>
            </w:pPr>
          </w:p>
        </w:tc>
        <w:tc>
          <w:tcPr>
            <w:tcW w:w="5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0"/>
                <w:szCs w:val="10"/>
                <w:color w:val="auto"/>
              </w:rPr>
            </w:pP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140"/>
        </w:trPr>
        <w:tc>
          <w:tcPr>
            <w:tcW w:w="5100" w:type="dxa"/>
            <w:vAlign w:val="bottom"/>
          </w:tcPr>
          <w:p>
            <w:pPr>
              <w:ind w:left="30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7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10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Balance, October 27, 2024</w:t>
            </w:r>
          </w:p>
        </w:tc>
        <w:tc>
          <w:tcPr>
            <w:tcW w:w="780" w:type="dxa"/>
            <w:vAlign w:val="bottom"/>
            <w:shd w:val="clear" w:color="auto" w:fill="CFF0FC"/>
          </w:tcPr>
          <w:p>
            <w:pPr>
              <w:jc w:val="right"/>
              <w:ind w:right="98"/>
              <w:spacing w:after="0" w:line="110" w:lineRule="exact"/>
              <w:rPr>
                <w:sz w:val="20"/>
                <w:szCs w:val="20"/>
                <w:color w:val="auto"/>
              </w:rPr>
            </w:pPr>
            <w:r>
              <w:rPr>
                <w:rFonts w:ascii="Times New Roman" w:cs="Times New Roman" w:eastAsia="Times New Roman" w:hAnsi="Times New Roman"/>
                <w:sz w:val="12"/>
                <w:szCs w:val="12"/>
                <w:color w:val="auto"/>
              </w:rPr>
              <w:t>12,559,1</w:t>
            </w:r>
          </w:p>
        </w:tc>
        <w:tc>
          <w:tcPr>
            <w:tcW w:w="4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1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29</w:t>
            </w:r>
          </w:p>
        </w:tc>
        <w:tc>
          <w:tcPr>
            <w:tcW w:w="42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628</w:t>
            </w:r>
          </w:p>
        </w:tc>
        <w:tc>
          <w:tcPr>
            <w:tcW w:w="42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45,303</w:t>
            </w:r>
          </w:p>
        </w:tc>
        <w:tc>
          <w:tcPr>
            <w:tcW w:w="4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17,471</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221</w:t>
            </w:r>
          </w:p>
        </w:tc>
        <w:tc>
          <w:tcPr>
            <w:tcW w:w="480" w:type="dxa"/>
            <w:vAlign w:val="bottom"/>
            <w:tcBorders>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63,623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34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SIX MONTHS ENDED OCTOBER 29,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Capital</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Accumulated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720" w:type="dxa"/>
            <w:vAlign w:val="bottom"/>
            <w:gridSpan w:val="3"/>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Contributed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4"/>
              </w:rPr>
              <w:t>Other</w:t>
            </w:r>
          </w:p>
        </w:tc>
        <w:tc>
          <w:tcPr>
            <w:tcW w:w="26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80"/>
              <w:spacing w:after="0" w:line="140" w:lineRule="exact"/>
              <w:rPr>
                <w:sz w:val="20"/>
                <w:szCs w:val="20"/>
                <w:color w:val="auto"/>
              </w:rPr>
            </w:pPr>
            <w:r>
              <w:rPr>
                <w:rFonts w:ascii="Times New Roman" w:cs="Times New Roman" w:eastAsia="Times New Roman" w:hAnsi="Times New Roman"/>
                <w:sz w:val="13"/>
                <w:szCs w:val="13"/>
                <w:color w:val="auto"/>
                <w:w w:val="96"/>
              </w:rPr>
              <w:t>in Excess</w:t>
            </w:r>
          </w:p>
        </w:tc>
        <w:tc>
          <w:tcPr>
            <w:tcW w:w="1020" w:type="dxa"/>
            <w:vAlign w:val="bottom"/>
            <w:gridSpan w:val="3"/>
          </w:tcPr>
          <w:p>
            <w:pPr>
              <w:jc w:val="right"/>
              <w:ind w:right="180"/>
              <w:spacing w:after="0" w:line="140" w:lineRule="exact"/>
              <w:rPr>
                <w:sz w:val="20"/>
                <w:szCs w:val="20"/>
                <w:color w:val="auto"/>
              </w:rPr>
            </w:pPr>
            <w:r>
              <w:rPr>
                <w:rFonts w:ascii="Times New Roman" w:cs="Times New Roman" w:eastAsia="Times New Roman" w:hAnsi="Times New Roman"/>
                <w:sz w:val="13"/>
                <w:szCs w:val="13"/>
                <w:color w:val="auto"/>
              </w:rPr>
              <w:t>Accumulated</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Comprehensive</w:t>
            </w:r>
          </w:p>
        </w:tc>
        <w:tc>
          <w:tcPr>
            <w:tcW w:w="1020" w:type="dxa"/>
            <w:vAlign w:val="bottom"/>
            <w:gridSpan w:val="3"/>
          </w:tcPr>
          <w:p>
            <w:pPr>
              <w:jc w:val="center"/>
              <w:ind w:right="20"/>
              <w:spacing w:after="0" w:line="140" w:lineRule="exact"/>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98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3"/>
                <w:szCs w:val="13"/>
                <w:color w:val="auto"/>
              </w:rPr>
              <w:t>Shares</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Amount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4"/>
              </w:rPr>
              <w:t>of Par Value</w:t>
            </w:r>
          </w:p>
        </w:tc>
        <w:tc>
          <w:tcPr>
            <w:tcW w:w="24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Earnings</w:t>
            </w:r>
          </w:p>
        </w:tc>
        <w:tc>
          <w:tcPr>
            <w:tcW w:w="10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Income (Loss)</w:t>
            </w:r>
          </w:p>
        </w:tc>
        <w:tc>
          <w:tcPr>
            <w:tcW w:w="26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28"/>
        </w:trPr>
        <w:tc>
          <w:tcPr>
            <w:tcW w:w="5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April 30, 2023 *</w:t>
            </w:r>
          </w:p>
        </w:tc>
        <w:tc>
          <w:tcPr>
            <w:tcW w:w="8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12,327,414</w:t>
            </w:r>
          </w:p>
        </w:tc>
        <w:tc>
          <w:tcPr>
            <w:tcW w:w="1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81"/>
              </w:rPr>
              <w:t>616</w:t>
            </w:r>
          </w:p>
        </w:tc>
        <w:tc>
          <w:tcPr>
            <w:tcW w:w="10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44,250</w:t>
            </w:r>
          </w:p>
        </w:tc>
        <w:tc>
          <w:tcPr>
            <w:tcW w:w="1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44,195</w:t>
            </w:r>
          </w:p>
        </w:tc>
        <w:tc>
          <w:tcPr>
            <w:tcW w:w="1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89,080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3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(3,342 )</w:t>
            </w:r>
          </w:p>
        </w:tc>
        <w:tc>
          <w:tcPr>
            <w:tcW w:w="2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(3,342 )</w:t>
            </w: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3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Immediately vested common stock award</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16,616</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July 30, 2023</w:t>
            </w: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12,344,030</w:t>
            </w:r>
          </w:p>
        </w:tc>
        <w:tc>
          <w:tcPr>
            <w:tcW w:w="1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81"/>
              </w:rPr>
              <w:t>617</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44,571</w:t>
            </w: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40,853</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86,117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(2,424 )</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(2,424 )</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3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(82 )</w:t>
            </w:r>
          </w:p>
        </w:tc>
        <w:tc>
          <w:tcPr>
            <w:tcW w:w="2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(82 )</w:t>
            </w:r>
          </w:p>
        </w:tc>
        <w:tc>
          <w:tcPr>
            <w:tcW w:w="0" w:type="dxa"/>
            <w:vAlign w:val="bottom"/>
          </w:tcPr>
          <w:p>
            <w:pPr>
              <w:spacing w:after="0"/>
              <w:rPr>
                <w:sz w:val="1"/>
                <w:szCs w:val="1"/>
                <w:color w:val="auto"/>
              </w:rPr>
            </w:pPr>
          </w:p>
        </w:tc>
      </w:tr>
      <w:tr>
        <w:trPr>
          <w:trHeight w:val="117"/>
        </w:trPr>
        <w:tc>
          <w:tcPr>
            <w:tcW w:w="512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issued in connection with the</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vesting of time-based restricted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151,653</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2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512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stock surrendered in connection with</w:t>
            </w: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(25,780 )</w:t>
            </w:r>
          </w:p>
        </w:tc>
        <w:tc>
          <w:tcPr>
            <w:tcW w:w="74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(145 )</w:t>
            </w:r>
          </w:p>
        </w:tc>
        <w:tc>
          <w:tcPr>
            <w:tcW w:w="2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40"/>
        </w:trPr>
        <w:tc>
          <w:tcPr>
            <w:tcW w:w="5120" w:type="dxa"/>
            <w:vAlign w:val="bottom"/>
            <w:shd w:val="clear" w:color="auto" w:fill="CFF0FC"/>
          </w:tcPr>
          <w:p>
            <w:pPr>
              <w:ind w:left="320"/>
              <w:spacing w:after="0" w:line="140" w:lineRule="exact"/>
              <w:rPr>
                <w:sz w:val="20"/>
                <w:szCs w:val="20"/>
                <w:color w:val="auto"/>
              </w:rPr>
            </w:pPr>
            <w:r>
              <w:rPr>
                <w:rFonts w:ascii="Times New Roman" w:cs="Times New Roman" w:eastAsia="Times New Roman" w:hAnsi="Times New Roman"/>
                <w:sz w:val="13"/>
                <w:szCs w:val="13"/>
                <w:color w:val="auto"/>
              </w:rPr>
              <w:t>payroll withholding taxes</w:t>
            </w:r>
          </w:p>
        </w:tc>
        <w:tc>
          <w:tcPr>
            <w:tcW w:w="980" w:type="dxa"/>
            <w:vAlign w:val="bottom"/>
            <w:gridSpan w:val="2"/>
            <w:vMerge w:val="continue"/>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October 29, 2023</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12,469,903</w:t>
            </w:r>
          </w:p>
        </w:tc>
        <w:tc>
          <w:tcPr>
            <w:tcW w:w="120" w:type="dxa"/>
            <w:vAlign w:val="bottom"/>
          </w:tcPr>
          <w:p>
            <w:pPr>
              <w:spacing w:after="0"/>
              <w:rPr>
                <w:sz w:val="11"/>
                <w:szCs w:val="11"/>
                <w:color w:val="auto"/>
              </w:rPr>
            </w:pPr>
          </w:p>
        </w:tc>
        <w:tc>
          <w:tcPr>
            <w:tcW w:w="740" w:type="dxa"/>
            <w:vAlign w:val="bottom"/>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81"/>
              </w:rPr>
              <w:t>624</w:t>
            </w:r>
          </w:p>
        </w:tc>
        <w:tc>
          <w:tcPr>
            <w:tcW w:w="10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44,581</w:t>
            </w:r>
          </w:p>
        </w:tc>
        <w:tc>
          <w:tcPr>
            <w:tcW w:w="10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38,429</w:t>
            </w:r>
          </w:p>
        </w:tc>
        <w:tc>
          <w:tcPr>
            <w:tcW w:w="1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(6 )</w:t>
            </w:r>
          </w:p>
        </w:tc>
        <w:tc>
          <w:tcPr>
            <w:tcW w:w="2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83,628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-805180</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-805180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-805180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-805180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-805180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-119380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-119380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-119380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-119380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340"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12, 2024, for the fiscal year ended April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six-months ended October 27, 2024, and October 29, 2023, each represent 26-week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27, 2024, there were no changes in the nature of our significant accounting policies or the application of those policies from those reported in our annual report on Form 10-K for the year then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through the second quarter of fiscal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Standards Update 2023-07 ("ASU 2023-07") </w:t>
      </w:r>
      <w:r>
        <w:rPr>
          <w:rFonts w:ascii="Times New Roman" w:cs="Times New Roman" w:eastAsia="Times New Roman" w:hAnsi="Times New Roman"/>
          <w:sz w:val="20"/>
          <w:szCs w:val="20"/>
          <w:i w:val="1"/>
          <w:iCs w:val="1"/>
          <w:color w:val="auto"/>
        </w:rPr>
        <w:t xml:space="preserve">Improvements to Reportable Segment Disclosures </w:t>
      </w:r>
      <w:r>
        <w:rPr>
          <w:rFonts w:ascii="Times New Roman" w:cs="Times New Roman" w:eastAsia="Times New Roman" w:hAnsi="Times New Roman"/>
          <w:sz w:val="20"/>
          <w:szCs w:val="20"/>
          <w:color w:val="auto"/>
        </w:rPr>
        <w:t>which enhances disclosure requirements to segment reporting including (i)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expenses that are 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The company expects that the adoption ASU 2023-07 will not have an impact on our results of operations and financial condition, but will have a material impact on the disclosures required in the notes to the consolidated financial statements, which are disclosed in Note 14.</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which is an update to Topic 740, Income Taxes ("ASU 2023-09").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ASU 2023-09 will not have an impact on our results of operations and financial condition, but will have a material impact on the disclosures required in the notes to the consolidated financial statements, which are disclosed in Note 15.</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w:t>
      </w:r>
      <w:r>
        <w:rPr>
          <w:rFonts w:ascii="Times New Roman" w:cs="Times New Roman" w:eastAsia="Times New Roman" w:hAnsi="Times New Roman"/>
          <w:sz w:val="20"/>
          <w:szCs w:val="20"/>
          <w:i w:val="1"/>
          <w:iCs w:val="1"/>
          <w:color w:val="auto"/>
        </w:rPr>
        <w:t>2024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03 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w:t>
      </w:r>
      <w:r>
        <w:rPr>
          <w:rFonts w:ascii="Times New Roman" w:cs="Times New Roman" w:eastAsia="Times New Roman" w:hAnsi="Times New Roman"/>
          <w:sz w:val="20"/>
          <w:szCs w:val="20"/>
          <w:i w:val="1"/>
          <w:iCs w:val="1"/>
          <w:color w:val="auto"/>
        </w:rPr>
        <w:t xml:space="preserve"> 2024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03”</w:t>
      </w:r>
      <w:r>
        <w:rPr>
          <w:rFonts w:ascii="Times New Roman" w:cs="Times New Roman" w:eastAsia="Times New Roman" w:hAnsi="Times New Roman"/>
          <w:sz w:val="20"/>
          <w:szCs w:val="20"/>
          <w:color w:val="auto"/>
        </w:rPr>
        <w:t>) which is an update to Topic 220, Income Statement - Reporting Comprehensive Income.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enhances transparency and decision-usefulness of expense disclosures in response to investors' requests for more detailed, disaggregated expense information, enabling a clearer understanding of a public business entity's performance and cost structure. The amendments improve disclosure requirements in financial statement notes for specific expense categories including: (a) purchases of inventory, (b) employee compensation, (c) depreciation, (d) intangible asset amortization, (e) certain amounts that are already required to be disclosed under current generally accepted accounting principles in the same disclosure as other disaggregation requirements, (f) qualitative description of amounts remaining in relevant expense captions that are not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necessarily disaggregated quantitatively, as well as (g) the total amount of selling expenses, and in annual reporting periods, the entity's definition of selling expense. ASU 2024-03 is effective for annual reporting periods beginning after December 15, 2026, (i.e., our fiscal 2028 annual report) and interim reporting periods beginning after December 15, 2027 (i.e., first quarter of fiscal 2029 interim report). Early adoption is permitted. The company is currently evaluating ASU 2024-03 to determine the impact it will have on its consolidated financial statements and related disclosures.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October 27, 2024</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r>
      <w:tr>
        <w:trPr>
          <w:trHeight w:val="20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34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w:t>
            </w:r>
          </w:p>
        </w:tc>
      </w:tr>
      <w:tr>
        <w:trPr>
          <w:trHeight w:val="20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3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r>
    </w:tbl>
    <w:p>
      <w:pPr>
        <w:spacing w:after="0" w:line="3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six-month periods ended October 27, 2024, and October 29, 2023,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$518,000 and $541,000 as of October 27, 2024, and October 29, 2023, respectively.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sources, manufactures, and sells fabrics primarily to residential, commercial, and hospitality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payments in advance in the form of customer deposits that result in a contract liability which is recorded in the Consolidated Balance Sheets as deferred revenue. If payments in advance are not required, customers may be granted terms which generally range from 15-60 days. Our terms are customary within the industries in which we operate and are not considered financing arrangements. There were no contract assets recognized as of October 27, 2024, October 29, 2023, or April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27, 2024</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440" w:type="dxa"/>
            <w:vAlign w:val="bottom"/>
          </w:tcPr>
          <w:p>
            <w:pPr>
              <w:spacing w:after="0"/>
              <w:rPr>
                <w:sz w:val="17"/>
                <w:szCs w:val="17"/>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(1,901 )</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(1,986 )</w:t>
            </w:r>
          </w:p>
        </w:tc>
      </w:tr>
      <w:tr>
        <w:trPr>
          <w:trHeight w:val="203"/>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1,535</w:t>
            </w:r>
          </w:p>
        </w:tc>
        <w:tc>
          <w:tcPr>
            <w:tcW w:w="2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1,647</w:t>
            </w:r>
          </w:p>
        </w:tc>
      </w:tr>
      <w:tr>
        <w:trPr>
          <w:trHeight w:val="19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27,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30,074</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22,502</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52,576</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3,098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3,098</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30,074</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25,600</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55,674</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27, 2024: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47,967</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October 29,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24,194</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27,348</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six-month period ending October 29, 2023: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48,968</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October 29,</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auto"/>
            </w:tcBorders>
            <w:vMerge w:val="continue"/>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8,433</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6,214</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1,787</w:t>
            </w:r>
          </w:p>
        </w:tc>
        <w:tc>
          <w:tcPr>
            <w:tcW w:w="32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2,196</w:t>
            </w:r>
          </w:p>
        </w:tc>
        <w:tc>
          <w:tcPr>
            <w:tcW w:w="3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37,121</w:t>
            </w: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33,836</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36,775</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45,132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44,465</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Measurement of Inventory to Net Realizable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69" w:lineRule="auto"/>
        <w:rPr>
          <w:sz w:val="20"/>
          <w:szCs w:val="20"/>
          <w:color w:val="auto"/>
        </w:rPr>
      </w:pPr>
      <w:r>
        <w:rPr>
          <w:rFonts w:ascii="Times New Roman" w:cs="Times New Roman" w:eastAsia="Times New Roman" w:hAnsi="Times New Roman"/>
          <w:sz w:val="20"/>
          <w:szCs w:val="20"/>
          <w:color w:val="auto"/>
        </w:rPr>
        <w:t>We recorded a non-cash inventory credit of $(309,000) for the six months ended October 27, 2024, related to adjustments made to our inventory markdowns reserve estimated based on our policy for aged inventory for both the mattress and upholstery fabrics segments.</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recorded a non-cash inventory credit of $(2.0) million for the six months ended October 29, 2023. The non-cash inventory credit of $(2.0) million represented a $(2.1) million credit related to adjustments made to our inventory markdown reserve estimated based on our policy for aged inventory for both our mattress and upholstery fabrics segments, partially offset by a net restructuring related charge of $101,000. This net restructuring related charge represented markdowns of inventory totaling $179,000 during the first quarter of fiscal 2024, partially offset by a gain on disposal of inventory totaling $78,000 during the second quarter of fiscal 2024, both of which related to the discontinuation of production of cut and sewn upholstery kits at our facility in Ouanaminthe, Haiti during the respective periods. Of the $(2.0) million non-cash inventory credit for the first half of fiscal 2024, $(1.5) million and $(453,000) pertained to our mattress fabrics and upholstery fabrics segments,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Assessment</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six months ended October 27, 2024, other than the markdowns of inventory associated with our restructuring activities described in Note 10 of the consolidated financial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current unfavorable macroeconomic conditions, it is possible that estimates used by management to determine the write down of inventory to its net realizable value could be materially different from the actual amounts or our results. These differences could result in higher than expected inventory provisions, which could adversely affect the company’s results of operations and financial condition in the near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29,</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54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885</w:t>
            </w:r>
          </w:p>
        </w:tc>
        <w:tc>
          <w:tcPr>
            <w:tcW w:w="3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1,185</w:t>
            </w:r>
          </w:p>
        </w:tc>
        <w:tc>
          <w:tcPr>
            <w:tcW w:w="3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2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339</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1,688</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2,064</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October 27, 2024, no indicators of impairment existed, and therefore we did not record any asset impairment charges associated with our tradename through the second quarter of fiscal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19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27, 2024</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r>
      <w:tr>
        <w:trPr>
          <w:trHeight w:val="20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(150 )</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196"/>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October 27, 2024, October 29, 2023, and April 28, 2024, respectively. Accumulated amortization for these customer relationships was $2.2 million, $1.9 million, and $2.1 million as of October 27, 2024, October 29, 2023, and April 28, 2024, respectively.</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are as follows: FY 2025 - $151,000; FY 2026 - $301,000; FY 2027 - $280,000; FY 2028 - $51,000; FY 2029 - $51,000; and thereafter - $51,000.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3.4 years as of October 27,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19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27, 2024</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r>
      <w:tr>
        <w:trPr>
          <w:trHeight w:val="20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(38 )</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196"/>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339</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October 27, 2024, October 29, 2023, and April 28, 2024, respectively. Accumulated amortization for our non-compete agreement was $1.8 million, $1.7 million, and $1.7 million as of October 27, 2024, October 29, 2023, and April 28, 2024,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2025 - $38,000; FY 2026 - $76,000; FY 2027 - $76,000; FY 2028 - $73,000.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3.5 years as of October 27,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Definite Lived Assets - Mattress Fabrics Segment</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October 27, 2024, management reviewed the long-lived assets associated with our mattress fabrics segment, which consisted of property, plant, and equipment, right of use assets, and definite-lived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$32.6 million commencing in the second quarter of fiscal 2023, and continuing through the second quarter of fiscal 2025. We believe this significant cumulative operating loss stemmed from a decline in consumer discretionary spending on mattress products, which we 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Mattress Asset Group totaled $25.5 million, which represents property, plant, and equipment of $24.7 million, right of use assets of $275,000, customer relationships of $281,000, and a non-compete agreement of $263,000. The total carrying amount of the Mattress Asset Group did not exceed the sum of its future undiscounted cash flows from its use and disposition. As a result, we determined there was no impairment associated with the Mattress Asset Group as of October 27, 2024.</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Note Receivables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Culp Upholstery Fabrics Haiti, Ltd. ("CUF Haiti")</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activity of our upholstery fabrics cut and sew operation located in Ouanaminthe, Haiti, effective January 24, 2023, CUF Haiti entered into an agreement to terminate a lease of a facility (“Termination Agreement”). See Note 10 of the consolidated financial statements for further details regarding this restructuring activity.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Termination Agreement, an affiliate of the Lessee has guaranteed payment in full of all amounts due and payable to CUF Haiti by the Lessee, and CUF Haiti has been fully and unconditionally discharged from all of its remaining obligations under the Original Lease.</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the end of our third quarter of fiscal 2023, the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We used an interest rate of 6% to determine the present value of the future discounted cash flows,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12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May 1, 2024, CUF Haiti formally assigned the $2.4 million note receivable to Culp, Inc. (its U.S. 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as of October 27, 2024</w:t>
      </w:r>
      <w:r>
        <w:rPr>
          <w:rFonts w:ascii="Times New Roman" w:cs="Times New Roman" w:eastAsia="Times New Roman" w:hAnsi="Times New Roman"/>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r>
      <w:tr>
        <w:trPr>
          <w:trHeight w:val="19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(264 )</w:t>
            </w:r>
          </w:p>
        </w:tc>
      </w:tr>
      <w:tr>
        <w:trPr>
          <w:trHeight w:val="236"/>
        </w:trPr>
        <w:tc>
          <w:tcPr>
            <w:tcW w:w="5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October 27, 2024, this note receivable totaled $1.6 million, of which $272,000 and $1.3 million were classified as short-term note receivable and long-term note receivable, respectively. As of October 29, 2023, this note receivable totaled $1.9 million, of which $256,000 and $1.6 million were classified as short-term note receivable and long-term note receivable, respectively. As of April 28, 2024, this note receivable totaled $1.7 million, of which $264,000 and $1.5 million were classified as short-term note receivable and long-term note receivable, respectively.</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classified amortization of unearned interest income totaling $50,000 and $57,000 within interest income on our consolidated statements of net loss during the six-month periods ending October 27, 2024, and October 29, 2023,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27, 2024, we believe there is no expected credit loss related to the collectability of this note receivable, as the Lessee has made all of the required principal payments stated in the Termination Agreement. We will continue to evaluate the facts and circumstances at the end of each reporting period to determine if an expected credit loss is deemed necessary</w:t>
      </w:r>
      <w:r>
        <w:rPr>
          <w:rFonts w:ascii="Times New Roman" w:cs="Times New Roman" w:eastAsia="Times New Roman" w:hAnsi="Times New Roman"/>
          <w:sz w:val="20"/>
          <w:szCs w:val="20"/>
          <w:color w:val="FF0000"/>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Culp Home Fashions Haiti, Ltd. ("CHF Haiti")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August 2, 2024, CHF Haiti entered into an agreement to terminate a lease of a facility (“CHF Termination Agreement”). Pursuant to the terms of the CHF Termination Agreement, CHF Haiti is entitled to a payment of $250,000 from the lessor for payment made in advance based on the terms of the original lease agreement at the earlier of February 18, 2025 or 15 days after a new lease with a third party lessee is signed. In connection with the CHF Termination Agreement, CHF Haiti has been fully and unconditionally discharged from all of its remaining obligations under this lease.</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27, 2024, we believe there is no expected credit loss related to the collectability of this note receivable. We will continue to evaluate the facts and circumstances at the end of each reporting period to determine if an expected credit loss is deemed necessary</w:t>
      </w:r>
      <w:r>
        <w:rPr>
          <w:rFonts w:ascii="Times New Roman" w:cs="Times New Roman" w:eastAsia="Times New Roman" w:hAnsi="Times New Roman"/>
          <w:sz w:val="20"/>
          <w:szCs w:val="20"/>
          <w:color w:val="FF0000"/>
        </w:rPr>
        <w: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Assets Held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assets held for sale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258445</wp:posOffset>
            </wp:positionV>
            <wp:extent cx="93980" cy="299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258445</wp:posOffset>
            </wp:positionV>
            <wp:extent cx="93980" cy="299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258445</wp:posOffset>
            </wp:positionV>
            <wp:extent cx="93980" cy="299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27,</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October 29,</w:t>
            </w: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auto"/>
            </w:tcBorders>
            <w:vMerge w:val="continue"/>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Mattress Fabrics Segment - U.S.</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34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Mattress Fabrics Segment - Canada</w:t>
            </w:r>
          </w:p>
        </w:tc>
        <w:tc>
          <w:tcPr>
            <w:tcW w:w="2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shd w:val="clear" w:color="auto" w:fill="CFF0FC"/>
          </w:tcPr>
          <w:p>
            <w:pPr>
              <w:spacing w:after="0"/>
              <w:rPr>
                <w:sz w:val="17"/>
                <w:szCs w:val="17"/>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values of these assets held for sale totaling $3.3 million are presented separately on the October 27, 2024, consolidated balance sheet and are no longer being depreciated.</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second quarter of fiscal 2025, we determined that the carrying value of the assets classified as held for sale were less than or equal to their fair value. The fair value used in the determination was based on quoted market prices and from third party buyer sales offers which are either directly or indirectly observable, and therefore we believe are classified as Level 2 within the fair value hierarchy (see Note 12 for further explanation of the fair value hierarchy). Consequently, we did not have to record an impairment loss on these assets.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Accrued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October 29,</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3,547</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2,649</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3,566</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6,196</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8,106</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Restructuring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Mattress Fabrics Segment, Upholstery Fabrics Segment, and Unallocated Corporate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2025 Restructuring Plan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NC; (3) transition the mattress fabrics segment's weaving operation to a strategic sourcing model through the company's long standing supply partners; (4) consolidate the company's two leased facilities related to the sewn mattress cover operation located in Ouanaminthe, Haiti, and reduce other operating expenses at this location; as well as (5) reduce unallocated corporate expenses and shared service expenses.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expect the gradual discontinuance of operations and the closure of the facility located in Quebec, Canada will be completed by the end of the third quarter of fiscal 2025. The consolidation activity associated with the sewn mattress cover operation located in Haiti was completed during the first quarter of fiscal 2025. During fiscal 2025, these actions are expected to result in restructuring and restructuring related charges of approximately $7.3 million, of which approximately $4.4 million is expected to be cash expenditures. The $7.3 million of estimated restructuring and restructuring related charges represents approximately $7.2 million and $147,000 associated with the mattress fabrics and upholstery fabrics segments, respectively.</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$7.2 million of estimated restructuring and restructuring related charges associated with our mattress fabrics segment represents (i) other associated costs of $2.7 million mostly related to relocating equipment from our facility in Quebec, Canada to our facility in Stokesdale, NC,</w:t>
      </w:r>
    </w:p>
    <w:p>
      <w:pPr>
        <w:jc w:val="both"/>
        <w:ind w:firstLine="8"/>
        <w:spacing w:after="0"/>
        <w:tabs>
          <w:tab w:leader="none" w:pos="3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depreciation expense related to the shortening of useful lives of equipment associated with the gradual discontinuance of our operations located in Canada noted above totaling $1.3 million, (iii) employee termination benefits of $1.3 million, (iv) $1.1 million related to losses on disposal and valuation of inventory, and (v) lease termination costs of $860,000, (vi) partially offset by net gains on the disposal of equipment totaling $110,000. These restructuring and restructuring related charges exclude any expected gain on the sale of real estate associated with the closure of the Canadian facility, the amount of which is currently undetermined but which will ultimately reduce the amount of the restructuring charges incurred. Based on management's internal analysis we expect cash proceeds from the sale of real estate (net of all taxes and commissions) to exceed the amount of cash restructuring charges incurred.</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changes in business and current industry economic conditions, it is possible that the above estimates provided by management to determine restructuring and restructuring related charges incurred during fiscal 2025, and proceeds generated from the sale of the manufacturing facility located in Quebec, Canada, could be materially different from our actual results, and therefore could adversely affect the success of this restructuring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six-month period ending October 27,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60" w:type="dxa"/>
            <w:vAlign w:val="bottom"/>
          </w:tcPr>
          <w:p>
            <w:pPr>
              <w:jc w:val="center"/>
              <w:ind w:left="1759"/>
              <w:spacing w:after="0"/>
              <w:rPr>
                <w:sz w:val="20"/>
                <w:szCs w:val="20"/>
                <w:color w:val="auto"/>
              </w:rPr>
            </w:pPr>
            <w:r>
              <w:rPr>
                <w:rFonts w:ascii="Times New Roman" w:cs="Times New Roman" w:eastAsia="Times New Roman" w:hAnsi="Times New Roman"/>
                <w:sz w:val="16"/>
                <w:szCs w:val="16"/>
                <w:color w:val="auto"/>
              </w:rPr>
              <w:t>Employee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Pr>
          <w:p>
            <w:pPr>
              <w:jc w:val="center"/>
              <w:ind w:left="1759"/>
              <w:spacing w:after="0"/>
              <w:rPr>
                <w:sz w:val="20"/>
                <w:szCs w:val="20"/>
                <w:color w:val="auto"/>
              </w:rPr>
            </w:pPr>
            <w:r>
              <w:rPr>
                <w:rFonts w:ascii="Times New Roman" w:cs="Times New Roman" w:eastAsia="Times New Roman" w:hAnsi="Times New Roman"/>
                <w:sz w:val="16"/>
                <w:szCs w:val="16"/>
                <w:color w:val="auto"/>
                <w:w w:val="98"/>
              </w:rPr>
              <w:t>Termination</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Associated</w:t>
            </w: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tcPr>
          <w:p>
            <w:pPr>
              <w:jc w:val="center"/>
              <w:ind w:left="1759"/>
              <w:spacing w:after="0"/>
              <w:rPr>
                <w:sz w:val="20"/>
                <w:szCs w:val="20"/>
                <w:color w:val="auto"/>
              </w:rPr>
            </w:pPr>
            <w:r>
              <w:rPr>
                <w:rFonts w:ascii="Times New Roman" w:cs="Times New Roman" w:eastAsia="Times New Roman" w:hAnsi="Times New Roman"/>
                <w:sz w:val="16"/>
                <w:szCs w:val="16"/>
                <w:color w:val="auto"/>
              </w:rPr>
              <w:t>Benefits</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6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1,302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26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4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6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(453 )</w:t>
            </w:r>
          </w:p>
        </w:tc>
        <w:tc>
          <w:tcPr>
            <w:tcW w:w="46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(1,140 )</w:t>
            </w:r>
          </w:p>
        </w:tc>
        <w:tc>
          <w:tcPr>
            <w:tcW w:w="5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(1,593 )</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26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(8 )</w:t>
            </w:r>
          </w:p>
        </w:tc>
        <w:tc>
          <w:tcPr>
            <w:tcW w:w="4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5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6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-144780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following summarizes restructuring and restructuring related charges for the three-month and six-month periods ending October 27,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400" w:type="dxa"/>
            <w:vAlign w:val="bottom"/>
          </w:tcPr>
          <w:p>
            <w:pPr>
              <w:spacing w:after="0"/>
              <w:rPr>
                <w:sz w:val="17"/>
                <w:szCs w:val="17"/>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0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4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October 27, 2024</w:t>
            </w:r>
          </w:p>
        </w:tc>
        <w:tc>
          <w:tcPr>
            <w:tcW w:w="0" w:type="dxa"/>
            <w:vAlign w:val="bottom"/>
          </w:tcPr>
          <w:p>
            <w:pPr>
              <w:spacing w:after="0"/>
              <w:rPr>
                <w:sz w:val="1"/>
                <w:szCs w:val="1"/>
                <w:color w:val="auto"/>
              </w:rPr>
            </w:pPr>
          </w:p>
        </w:tc>
      </w:tr>
      <w:tr>
        <w:trPr>
          <w:trHeight w:val="199"/>
        </w:trPr>
        <w:tc>
          <w:tcPr>
            <w:tcW w:w="6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5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5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disposal of equipment</w:t>
            </w:r>
          </w:p>
        </w:tc>
        <w:tc>
          <w:tcPr>
            <w:tcW w:w="152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40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6"/>
        </w:trPr>
        <w:tc>
          <w:tcPr>
            <w:tcW w:w="60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60" w:right="200" w:hanging="352"/>
        <w:spacing w:after="0" w:line="274" w:lineRule="auto"/>
        <w:tabs>
          <w:tab w:leader="none" w:pos="29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$2.8 million restructuring and restructuring related charges, $2.0 million and $769,000 were classified within restructuring expense and cost of sales, respectively, in the Consolidated Statement of Net Loss for the three-month period ending October 27, 2024. Of the total $2.8 million, $2.8 million and $29,000 relate to the mattress fabrics and upholstery fabrics segments, respectively.</w:t>
      </w:r>
    </w:p>
    <w:p>
      <w:pPr>
        <w:spacing w:after="0" w:line="169" w:lineRule="exact"/>
        <w:rPr>
          <w:rFonts w:ascii="Times New Roman" w:cs="Times New Roman" w:eastAsia="Times New Roman" w:hAnsi="Times New Roman"/>
          <w:sz w:val="19"/>
          <w:szCs w:val="19"/>
          <w:color w:val="auto"/>
        </w:rPr>
      </w:pPr>
    </w:p>
    <w:p>
      <w:pPr>
        <w:ind w:left="360" w:right="60" w:hanging="352"/>
        <w:spacing w:after="0" w:line="254" w:lineRule="auto"/>
        <w:tabs>
          <w:tab w:leader="none" w:pos="2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$5.5 million restructuring and restructuring related charges, $4.6 million and $885,000 were classified within restructuring expense and cost of sales, respectively, in the Consolidated Statement of Net Loss for the six-month period ending October 27, 2024. Of the total $5.5 million, $5.4 million and $147,000 relate to the mattress fabrics and upholstery fabrics segments, respectively.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Upholstery Fabrics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2024, we closed our upholstery fabrics finishing operation to align with current demand trends and will continue to leverage our strategic supply relationships to meet customer finishing needs in China. This restructuring activity was completed during the first quarter of fiscal 2025 and resulted in cumulative restructuring and restructuring related charges totaling $218,000.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the six-month period ending October 27,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700" w:type="dxa"/>
            <w:vAlign w:val="bottom"/>
          </w:tcPr>
          <w:p>
            <w:pPr>
              <w:spacing w:after="0"/>
              <w:rPr>
                <w:sz w:val="18"/>
                <w:szCs w:val="18"/>
                <w:color w:val="auto"/>
              </w:rPr>
            </w:pP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 (1)</w:t>
            </w:r>
          </w:p>
        </w:tc>
        <w:tc>
          <w:tcPr>
            <w:tcW w:w="4700" w:type="dxa"/>
            <w:vAlign w:val="bottom"/>
            <w:tcBorders>
              <w:top w:val="single" w:sz="8" w:color="auto"/>
            </w:tcBorders>
            <w:shd w:val="clear" w:color="auto" w:fill="CFF0FC"/>
          </w:tcPr>
          <w:p>
            <w:pPr>
              <w:jc w:val="right"/>
              <w:ind w:right="185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 (2)</w:t>
            </w:r>
          </w:p>
        </w:tc>
        <w:tc>
          <w:tcPr>
            <w:tcW w:w="47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r>
      <w:tr>
        <w:trPr>
          <w:trHeight w:val="20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470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196"/>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4700" w:type="dxa"/>
            <w:vAlign w:val="bottom"/>
            <w:tcBorders>
              <w:top w:val="single" w:sz="8" w:color="auto"/>
              <w:bottom w:val="single" w:sz="8" w:color="auto"/>
            </w:tcBorders>
          </w:tcPr>
          <w:p>
            <w:pPr>
              <w:jc w:val="right"/>
              <w:ind w:right="1859"/>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expense of $3,000 was reported within accrued expenses in the Consolidated Balance Sheet for the period ending April 28, 2024.</w:t>
      </w:r>
    </w:p>
    <w:p>
      <w:pPr>
        <w:spacing w:after="0" w:line="27" w:lineRule="exact"/>
        <w:rPr>
          <w:rFonts w:ascii="Times New Roman" w:cs="Times New Roman" w:eastAsia="Times New Roman" w:hAnsi="Times New Roman"/>
          <w:sz w:val="18"/>
          <w:szCs w:val="18"/>
          <w:color w:val="auto"/>
        </w:rPr>
      </w:pPr>
    </w:p>
    <w:p>
      <w:pPr>
        <w:ind w:left="320" w:right="380" w:hanging="312"/>
        <w:spacing w:after="0" w:line="260"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represent other associated costs and were recognized in our Consolidated Statement of Net Loss for the six month period ending October 27,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Haiti, Ltd. ("CUF Haiti") entered into an agreement to terminate a lease associated with a facility, and in turn moved the production of upholstery cut and sewn kits to an existing facility leased by Culp Home Fashions Haiti, Ltd. ("CHF Haiti") during the fourth quarter of fiscal 2023. Both CUF Haiti and CHF Haiti are indirectly wholly-owned subsidiaries of the company. During the first quarter of fiscal 2024, demand for upholstery cut and sewn kits declined more than previously anticipated, resulting in the strategic action to discontinue the production of upholstery cut and sew kits in Haiti.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(credits) for the three months and six months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3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c>
          <w:tcPr>
            <w:tcW w:w="3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October 29, 2023</w:t>
            </w:r>
          </w:p>
        </w:tc>
        <w:tc>
          <w:tcPr>
            <w:tcW w:w="0" w:type="dxa"/>
            <w:vAlign w:val="bottom"/>
          </w:tcPr>
          <w:p>
            <w:pPr>
              <w:spacing w:after="0"/>
              <w:rPr>
                <w:sz w:val="1"/>
                <w:szCs w:val="1"/>
                <w:color w:val="auto"/>
              </w:rPr>
            </w:pPr>
          </w:p>
        </w:tc>
      </w:tr>
      <w:tr>
        <w:trPr>
          <w:trHeight w:val="199"/>
        </w:trPr>
        <w:tc>
          <w:tcPr>
            <w:tcW w:w="6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on disposal and markdowns of inventory</w:t>
            </w:r>
          </w:p>
        </w:tc>
        <w:tc>
          <w:tcPr>
            <w:tcW w:w="16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(credits) charges (1) (2)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340" w:hanging="242"/>
        <w:spacing w:after="0" w:line="269" w:lineRule="auto"/>
        <w:tabs>
          <w:tab w:leader="none" w:pos="421"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$66,000, $144,000 and ($78,000) were recorded within restructuring expense and cost of sales, respectively, in the Consolidated Statement of Net Loss for the three-month period ending October 29, 2023</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3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$583,000, $482,000 and $101,000 were recorded within restructuring expense and cost of sales, respectively, in the Consolidated Statement of Net Loss for the six-month period ending October 29, 2023</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restructuring activity was completed during the third quarter of fiscal 2024 and resulted in cumulative restructuring and restructuring related charges of $1.3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Culp, Inc., as borrower (the “borrower”), and Read, as guarantor (the “Guarantor”), are parties to an agreement (the "ABL Credit Agreement") by and among the borrower, the Guarantor and Wells Fargo Bank, National Association, as the lender (the “Lender”), to establish an asset-based revolving credit facility (the “ABL Facility”). The proceeds from the ABL Facility may be used to pay fees and expenses related to the ABL Facility and provide funding for ongoing working capital and general corporate purposes.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$1.0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66" w:lineRule="exact"/>
        <w:rPr>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color w:val="auto"/>
        </w:rPr>
        <w:t>The borrower’s obligations under the ABL Facility (and certain related obligations) are guaranteed by the Guarantor. In addition, the ABL Credit Agreement requires that the borrower's future domestic subsidiaries guarantee the ABL Facility on a senior secured basis (such future domestic subsidiaries, together with the Guarantor and the borrower, the "Loan Parties"). The borrower's obligations under the ABL Facility are secured by first priority liens and other security interests on all assets of the Loan Parties, subject to certain exceptions and permitted liens.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$5.25 million. Such compliance period shall end when Excess Availability shall be equal to or greater than $5.25 million for a period of 60 consecutive days and no event of default is continuing.</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is charged at a rate (applicable interest rate of 6.33%, and 6.80% and 6.81% as of October 27, 2024, October 29, 2023, and April 28, 2024, respectively) calculated using the Applicable Margin over SOFR based on the borrower's excess availability under the ABL Facility, as defined in the ABL Credit Agreement.</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There were $535,000 of outstanding letters of credit provided by the ABL Credit Agreement as of October 27, 2024, October 29, 2023, and April 28, 2024. As of October 27, 2024, the borrower had $465,000 remaining for the issuance of additional letters of credit under the ABL Credit Agreement.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borrowings outstanding under the ABL Credit Agreement as of October 27, 2024, October 29, 2023, and April 28, 2024, respectively. In addition, on November 25, 2024, we borrowed $2.5 million under the ABL Credit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27, 2024, our available borrowings calculated under the provisions of the ABL Credit Agreement totaled $22.6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Agricultural Bank of China - 29.0 Million RMB Unsecured Credit Agreement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Effective on March 20, 2024, we entered into an unsecured credit agreement denominated in RMB, that provides for a line of credit up to 29.0 million RMB ($4.1 million USD as of October 27, 2024). The 29.0 million RMB line of credit expires on March 18,</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Interest charged under this agreement is based on the Loan Prime Rate ("LPR") in China minus 50 basis points (2.60% as of October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 2024).</w:t>
      </w:r>
    </w:p>
    <w:p>
      <w:pPr>
        <w:spacing w:after="0" w:line="16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27, 2024, the amount outstanding was 29.0 million RMB ($4.1 million USD). There were no borrowings outstanding under this agreement as of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Bank of China - 35.0 Million RMB Credit Agreement</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November 5, 2024 (third quarter fiscal 2025), we entered into a credit agreement (“Agreement”) denominated in RMB that provides borrowing capacity up to 35.0 million RMB ($4.9 million USD as of November 5, 2024), of which 25.0 million RMB ($3.5 million USD as of November 5, 2024) relates to a line of credit secured by trade accounts receivable associated with the company’s operations located in China and 10.0 million RMB ($1.4 million USD as of November 5, 2024) related to a working capital loan. The line of credit and working capital loan expire on July 31, 2025, and November 5, 2025, respectively. Interest is charged under the Agreement based on the LPR in China minus 50 basis points (2.60% as of November 5, 2024). The borrowing capacity regarding the 25.0 million line of credit is restricted to certain Culp, Inc. consolidated net sales and consolidated profitability requirements as defined in the Agreement. Currently, Culp, Inc. does not meet the consolidated net sales and consolidated profitability conditions required for borrowing under the 25.0 million line of credit. During the third quarter of fiscal 2025, we borrowed the entire 10.0 million ($1.4 million USD as of November 6, 2024) working capital loan to fund certain working capital expenditures incurred in China. There are no consolidated net sales and profitability requirements related to the 10.0 million working capital loan.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October 27, 2024, we were in compliance with our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interest payments were made during the three-month or six-month periods ending October 27, 2024, and October 29,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color w:val="auto"/>
        </w:rPr>
        <w:t>Fair value measurements as of October 27, 2024,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02"/>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6,724</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6,724</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787</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241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r>
      <w:tr>
        <w:trPr>
          <w:trHeight w:val="202"/>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229</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r>
      <w:tr>
        <w:trPr>
          <w:trHeight w:val="40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Fair value measurements as of October 29, 2023, using:</w:t>
            </w:r>
          </w:p>
        </w:tc>
        <w:tc>
          <w:tcPr>
            <w:tcW w:w="900" w:type="dxa"/>
            <w:vAlign w:val="bottom"/>
            <w:tcBorders>
              <w:bottom w:val="single" w:sz="8" w:color="auto"/>
            </w:tcBorders>
          </w:tcPr>
          <w:p>
            <w:pPr>
              <w:spacing w:after="0"/>
              <w:rPr>
                <w:sz w:val="24"/>
                <w:szCs w:val="24"/>
                <w:color w:val="auto"/>
              </w:rPr>
            </w:pPr>
          </w:p>
        </w:tc>
      </w:tr>
      <w:tr>
        <w:trPr>
          <w:trHeight w:val="185"/>
        </w:trPr>
        <w:tc>
          <w:tcPr>
            <w:tcW w:w="4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7,060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7,060</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560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02"/>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r>
      <w:tr>
        <w:trPr>
          <w:trHeight w:val="40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Fair value measurements as of April 28, 2024, using:</w:t>
            </w:r>
          </w:p>
        </w:tc>
        <w:tc>
          <w:tcPr>
            <w:tcW w:w="900" w:type="dxa"/>
            <w:vAlign w:val="bottom"/>
            <w:tcBorders>
              <w:bottom w:val="single" w:sz="8" w:color="auto"/>
            </w:tcBorders>
          </w:tcPr>
          <w:p>
            <w:pPr>
              <w:spacing w:after="0"/>
              <w:rPr>
                <w:sz w:val="24"/>
                <w:szCs w:val="24"/>
                <w:color w:val="auto"/>
              </w:rPr>
            </w:pPr>
          </w:p>
        </w:tc>
      </w:tr>
      <w:tr>
        <w:trPr>
          <w:trHeight w:val="185"/>
        </w:trPr>
        <w:tc>
          <w:tcPr>
            <w:tcW w:w="4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9"/>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6,910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6,910</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691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182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of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our investments associated with the Trust totaled $8.0 million, of which $919,000 and $7.1 million were classified as short-term and long-term, respectively. As of October 29, 2023, our investments associated with the Trust totaled $7.9 million, of which $937,000 and $7.0 million were classified as short-term and long-term, respectively. As of April 28, 2024, our investments associated with the Trust totaled $8.0 million, of which $903,000 and $7.1 million were classified as short-term and long-term, respectively. The investments associated with the Trust had an accumulated unrealized gain (loss) of $221,000, $(6,000), and $118,000 as of October 27, 2024, October 29, 2023, and April 28,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long-term investments associated with the Trust approximates their cost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766" w:gutter="0" w:footer="0" w:header="0"/>
        </w:sectPr>
      </w:pPr>
    </w:p>
    <w:bookmarkStart w:id="22" w:name="page23"/>
    <w:bookmarkEnd w:id="22"/>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12,513,000 and 12,456,000 for the three months ending October 27, 2024, and October 29,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151130</wp:posOffset>
            </wp:positionV>
            <wp:extent cx="21945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560" w:type="dxa"/>
            <w:vAlign w:val="bottom"/>
            <w:gridSpan w:val="4"/>
          </w:tcPr>
          <w:p>
            <w:pPr>
              <w:ind w:left="1040"/>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12,491,000 and 12,394,000 for the six months ending October 27, 2024, and October 29,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r>
        <w:rPr>
          <w:rFonts w:ascii="Times New Roman" w:cs="Times New Roman" w:eastAsia="Times New Roman" w:hAnsi="Times New Roman"/>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151130</wp:posOffset>
            </wp:positionV>
            <wp:extent cx="21945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3560" w:type="dxa"/>
            <w:vAlign w:val="bottom"/>
            <w:gridSpan w:val="4"/>
          </w:tcPr>
          <w:p>
            <w:pPr>
              <w:ind w:left="114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upholstery fabrics segment develops, manufactures, sources, and sells fabrics to customers in the residential, commercial, and hospitality industries.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0"/>
          <w:szCs w:val="20"/>
          <w:color w:val="auto"/>
        </w:rPr>
        <w:t>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The mattress fabrics segment also includes assets held for sale associated with a right of use asset and equipment related to the fiscal 2025 restructuring plan announced on April 29, 2024 (see Note 10 to the consolidated financial statements for further details regarding this restructuring plan).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r>
      <w:tr>
        <w:trPr>
          <w:trHeight w:val="213"/>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30,074</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7"/>
                <w:szCs w:val="17"/>
                <w:color w:val="auto"/>
              </w:rPr>
            </w:pPr>
          </w:p>
        </w:tc>
      </w:tr>
      <w:tr>
        <w:trPr>
          <w:trHeight w:val="202"/>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Segment gross profit</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(charge) credit (1)(2)</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(769 )</w:t>
            </w: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r>
      <w:tr>
        <w:trPr>
          <w:trHeight w:val="19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(1,037 )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(936 )</w:t>
            </w: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(2,178 )</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(2,628 )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(2,600 )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(2,173 )</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(charge) credit (1) (2)</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(769 )</w:t>
            </w: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 (3)(4)</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(2,031 )</w:t>
            </w:r>
          </w:p>
        </w:tc>
        <w:tc>
          <w:tcPr>
            <w:tcW w:w="34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(144 )</w:t>
            </w: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(5,400 )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(2,239 )</w:t>
            </w:r>
          </w:p>
        </w:tc>
      </w:tr>
      <w:tr>
        <w:trPr>
          <w:trHeight w:val="20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3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(508 )</w:t>
            </w: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(5,694 )</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(1,908 )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-2700020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-2433955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jc w:val="both"/>
        <w:ind w:left="300" w:hanging="292"/>
        <w:spacing w:after="0" w:line="254" w:lineRule="auto"/>
        <w:tabs>
          <w:tab w:leader="none" w:pos="2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ending October 27, 2024, gross profit from operations includes restructuring related charges totaling $769,000 for losses on the disposal and valuation of inventory related to the gradual discontinuation of operations at our manufacturing facility located in Quebec, Canada.</w:t>
      </w:r>
    </w:p>
    <w:p>
      <w:pPr>
        <w:spacing w:after="0" w:line="187" w:lineRule="exact"/>
        <w:rPr>
          <w:rFonts w:ascii="Times New Roman" w:cs="Times New Roman" w:eastAsia="Times New Roman" w:hAnsi="Times New Roman"/>
          <w:sz w:val="20"/>
          <w:szCs w:val="20"/>
          <w:color w:val="auto"/>
        </w:rPr>
      </w:pPr>
    </w:p>
    <w:p>
      <w:pPr>
        <w:ind w:left="300" w:right="20" w:hanging="292"/>
        <w:spacing w:after="0" w:line="269" w:lineRule="auto"/>
        <w:tabs>
          <w:tab w:leader="none" w:pos="29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ending October 29, 2023, gross profit from operations includes restructuring related credits of $78,000 for the gain on disposal of inventory related to the discontinuation of production of cut and sewn upholstery kits in Ouanaminthe, Haiti.</w:t>
      </w:r>
    </w:p>
    <w:p>
      <w:pPr>
        <w:spacing w:after="0" w:line="172" w:lineRule="exact"/>
        <w:rPr>
          <w:rFonts w:ascii="Times New Roman" w:cs="Times New Roman" w:eastAsia="Times New Roman" w:hAnsi="Times New Roman"/>
          <w:sz w:val="20"/>
          <w:szCs w:val="20"/>
          <w:color w:val="auto"/>
        </w:rPr>
      </w:pPr>
    </w:p>
    <w:p>
      <w:pPr>
        <w:jc w:val="both"/>
        <w:ind w:left="300" w:hanging="292"/>
        <w:spacing w:after="0" w:line="243" w:lineRule="auto"/>
        <w:tabs>
          <w:tab w:leader="none" w:pos="3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ending October 27, 2024, restructuring expense of $2.0 million represents $2.0 million and $29,000, related to the mattress fabrics and upholstery fabrics segments, respectively. The $2.0 million of restructuring expense represents (i) $1.4 million related to the gradual discontinuation of operations and the process of selling the manufacturing facility located in Quebec, Canada, which includes employee termination benefits of $505,000, additional depreciation related to the shortening of useful lives of equipment of $465,000, other associated costs of $373,000, and lease termination costs of $179,000, partially offset by gains on the disposal of equipment totaling $133,000; (ii) $600,000 related to relocating certain equipment and consolidating production from the mattress fabric manufacturing facility located in Quebec, Canada to the U.S facility located in Stokesdale, North Carolina, which includes other associated costs of $527,000, employee termination benefits of $58,000, and losses on the disposal of equipment totaling $15,000; (iii) $29,000 of other associated costs related to moving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certain equipment from our upholstery fabrics operation located in Knoxville, Tennessee to our upholstery fabrics distribution center located in Burlington, N.C.; and (iv) $13,000 for losses on the disposal of equipment related to the consolidation of two leased facilities at our mattress cover operation located in Ouanaminthe, Haiti.</w:t>
      </w:r>
    </w:p>
    <w:p>
      <w:pPr>
        <w:spacing w:after="0" w:line="188" w:lineRule="exact"/>
        <w:rPr>
          <w:sz w:val="20"/>
          <w:szCs w:val="20"/>
          <w:color w:val="auto"/>
        </w:rPr>
      </w:pPr>
    </w:p>
    <w:p>
      <w:pPr>
        <w:jc w:val="both"/>
        <w:ind w:left="300" w:hanging="292"/>
        <w:spacing w:after="0" w:line="254" w:lineRule="auto"/>
        <w:tabs>
          <w:tab w:leader="none" w:pos="28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ending October 29, 2023, restructuring expense of $144,000 represents $142,000 of impairment charges related to equipment and $2,000 of employee termination benefits related to the discontinuation of production of cut and sewn upholstery kits in Ouanaminthe, Haiti.</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7"/>
                <w:szCs w:val="17"/>
                <w:color w:val="auto"/>
              </w:rPr>
            </w:pPr>
          </w:p>
        </w:tc>
      </w:tr>
      <w:tr>
        <w:trPr>
          <w:trHeight w:val="213"/>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29, 2023</w:t>
            </w:r>
          </w:p>
        </w:tc>
      </w:tr>
      <w:tr>
        <w:trPr>
          <w:trHeight w:val="19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10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15,136</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(885 )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r>
      <w:tr>
        <w:trPr>
          <w:trHeight w:val="19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0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(4,586 )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r>
      <w:tr>
        <w:trPr>
          <w:trHeight w:val="202"/>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(4,445 )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(5,124 )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(6,704 )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(4,738 )</w:t>
            </w:r>
          </w:p>
        </w:tc>
      </w:tr>
      <w:tr>
        <w:trPr>
          <w:trHeight w:val="203"/>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(2)</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(885 )</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r>
      <w:tr>
        <w:trPr>
          <w:trHeight w:val="20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expense (3) (4)</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(4,662 )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(482 )</w:t>
            </w: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(12,251 )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(5,321 )</w:t>
            </w:r>
          </w:p>
        </w:tc>
      </w:tr>
      <w:tr>
        <w:trPr>
          <w:trHeight w:val="20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(913 )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(12,715 )</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(4,549 )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-3248660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-2700020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-2433955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-1619885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-1602740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jc w:val="both"/>
        <w:ind w:left="300" w:hanging="292"/>
        <w:spacing w:after="0" w:line="254" w:lineRule="auto"/>
        <w:tabs>
          <w:tab w:leader="none" w:pos="2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 months ending October 27, 2024, gross profit from operations includes restructuring related charges totaling $885,000 for losses on the disposal and valuation of inventory related to the gradual discontinuation of operations at our manufacturing facility located in Quebec, Canada.</w:t>
      </w:r>
    </w:p>
    <w:p>
      <w:pPr>
        <w:spacing w:after="0" w:line="187" w:lineRule="exact"/>
        <w:rPr>
          <w:rFonts w:ascii="Times New Roman" w:cs="Times New Roman" w:eastAsia="Times New Roman" w:hAnsi="Times New Roman"/>
          <w:sz w:val="20"/>
          <w:szCs w:val="20"/>
          <w:color w:val="auto"/>
        </w:rPr>
      </w:pPr>
    </w:p>
    <w:p>
      <w:pPr>
        <w:jc w:val="both"/>
        <w:ind w:left="300" w:hanging="292"/>
        <w:spacing w:after="0" w:line="249" w:lineRule="auto"/>
        <w:tabs>
          <w:tab w:leader="none" w:pos="29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 months ending October 29, 2023, gross profit from operations includes a net restructuring related charge of $101,000, which represents a markdown of inventory totaling $179,000 during the first quarter of fiscal 2024, partially offset by a gain on disposal of inventory totaling $78,000 during the second quarter of fiscal 2024, both of which related to the discontinuation of production of cut and sewn upholstery kits at our facility located in Ouanaminthe, Haiti.</w:t>
      </w:r>
    </w:p>
    <w:p>
      <w:pPr>
        <w:spacing w:after="0" w:line="193" w:lineRule="exact"/>
        <w:rPr>
          <w:rFonts w:ascii="Times New Roman" w:cs="Times New Roman" w:eastAsia="Times New Roman" w:hAnsi="Times New Roman"/>
          <w:sz w:val="20"/>
          <w:szCs w:val="20"/>
          <w:color w:val="auto"/>
        </w:rPr>
      </w:pPr>
    </w:p>
    <w:p>
      <w:pPr>
        <w:jc w:val="both"/>
        <w:ind w:left="300" w:hanging="292"/>
        <w:spacing w:after="0" w:line="242" w:lineRule="auto"/>
        <w:tabs>
          <w:tab w:leader="none" w:pos="2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 months ending October 27, 2024, restructuring expense of $4.7 million represents $4.5 million and $161,000, related to the mattress fabrics and upholstery fabrics segments, respectively. The $4.7 million of restructuring expense represents (i) $3.3 million related to the gradual discontinuation of operations and the process of selling the manufacturing facility located in Quebec, Canada, which includes $1.3 million of additional depreciation related to the shortening of useful lives of equipment, employee termination benefits of $1.0 million, other associated costs of $463,000, and lease termination costs of $443,000, partially offset by net gains on the disposal of equipment of $38,000; (ii) $767,000 related to relocating certain equipment and consolidating production from the mattress fabric manufacturing facility located in Quebec, Canada to the U.S facility located in Stokesdale, North Carolina, which includes other associated costs of $694,000, employee termination benefits of $58,000, and losses on the disposal of equipment totaling $15,000; (iii) $483,000 related to the consolidation of two leased facilities at our mattress cover operation located in Ouanaminthe, Haiti, which includes lease termination costs of $406,000, employee termination benefits of $48,000, other associated costs of $16,000, and losses of the disposal of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of $13,000; and (iv) $161,000 related to our upholstery fabrics segment, which includes employee termination benefits of $102,000 and other associated costs of $59,000 for moving equipment from our upholstery fabrics operation located in Knoxville, Tennessee to our upholstery fabrics distribution center located in Burlington, N.C.</w:t>
      </w:r>
    </w:p>
    <w:p>
      <w:pPr>
        <w:spacing w:after="0" w:line="188" w:lineRule="exact"/>
        <w:rPr>
          <w:sz w:val="20"/>
          <w:szCs w:val="20"/>
          <w:color w:val="auto"/>
        </w:rPr>
      </w:pPr>
    </w:p>
    <w:p>
      <w:pPr>
        <w:ind w:left="300" w:right="40" w:hanging="292"/>
        <w:spacing w:after="0" w:line="254" w:lineRule="auto"/>
        <w:tabs>
          <w:tab w:leader="none" w:pos="28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 months ending October 29, 2023, restructuring expense of $482,000 represents $379,000 for impairment charge associated with equipment and $103,000 for employee termination benefits related to the discontinuation of production of cut and sewn upholstery kits in Ouanaminthe, Haiti.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r>
        <w:rPr>
          <w:rFonts w:ascii="Times New Roman" w:cs="Times New Roman" w:eastAsia="Times New Roman" w:hAnsi="Times New Roman"/>
          <w:sz w:val="20"/>
          <w:szCs w:val="20"/>
          <w:color w:val="FF0000"/>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27, 2024</w:t>
            </w: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October 29, 2023</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28, 2024</w:t>
            </w:r>
          </w:p>
        </w:tc>
      </w:tr>
      <w:tr>
        <w:trPr>
          <w:trHeight w:val="19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11,303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10,003</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29,253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27,671</w:t>
            </w: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(1)</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24,702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32,862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31,472</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(2)</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1,627</w:t>
            </w:r>
          </w:p>
        </w:tc>
      </w:tr>
      <w:tr>
        <w:trPr>
          <w:trHeight w:val="20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Assets held for sale (3)</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3,301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67,883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73,329</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70,773</w:t>
            </w:r>
          </w:p>
        </w:tc>
      </w:tr>
      <w:tr>
        <w:trPr>
          <w:trHeight w:val="196"/>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11,135</w:t>
            </w:r>
          </w:p>
        </w:tc>
      </w:tr>
      <w:tr>
        <w:trPr>
          <w:trHeight w:val="203"/>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15,879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17,270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17,172</w:t>
            </w:r>
          </w:p>
        </w:tc>
      </w:tr>
      <w:tr>
        <w:trPr>
          <w:trHeight w:val="203"/>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(4)</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r>
      <w:tr>
        <w:trPr>
          <w:trHeight w:val="20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Right of use assets (5)</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1,992</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1,952</w:t>
            </w:r>
          </w:p>
        </w:tc>
      </w:tr>
      <w:tr>
        <w:trPr>
          <w:trHeight w:val="196"/>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30,165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32,170</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31,384</w:t>
            </w:r>
          </w:p>
        </w:tc>
      </w:tr>
      <w:tr>
        <w:trPr>
          <w:trHeight w:val="196"/>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98,048</w:t>
            </w: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105,499</w:t>
            </w: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102,157</w:t>
            </w:r>
          </w:p>
        </w:tc>
      </w:tr>
      <w:tr>
        <w:trPr>
          <w:trHeight w:val="196"/>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15,214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10,012</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3,371</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note receivable</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(6)</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 (7)</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2,913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2,624</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r>
      <w:tr>
        <w:trPr>
          <w:trHeight w:val="20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r>
      <w:tr>
        <w:trPr>
          <w:trHeight w:val="20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661</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r>
      <w:tr>
        <w:trPr>
          <w:trHeight w:val="236"/>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128,987</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142,160</w:t>
            </w:r>
          </w:p>
        </w:tc>
        <w:tc>
          <w:tcPr>
            <w:tcW w:w="3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-2905125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-2905125</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-2116455</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-2116455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22" w:lineRule="exact"/>
        <w:rPr>
          <w:sz w:val="20"/>
          <w:szCs w:val="20"/>
          <w:color w:val="auto"/>
        </w:rPr>
      </w:pPr>
    </w:p>
    <w:p>
      <w:pPr>
        <w:jc w:val="both"/>
        <w:ind w:left="380" w:hanging="372"/>
        <w:spacing w:after="0" w:line="246"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$24.7 million as of October 27, 2024, represents property, plant, and equipment of $22.2 million, $1.6 million, and $889,000 located in the U.S., Canada, and Haiti, respectively. The $32.9 million as of October 29, 2023, represents property, plant, and equipment of $22.2 million, $10.0 million, and $661,000 located in the U.S., Canada, and Haiti, respectively. The $31.5 million as of April 28, 2024, represents property, plant, and equipment of $21.5 million, $9.4 million, and $555,000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right="2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$275,000 as of October 27, 2024, represents a right of use asset in Haiti. The $2.0 million as of October 29, 2023, represents right of use assets of $1.3 million and $663,000 located in Haiti, and Canada, respectively. The $1.6 million as of April 28, 2024, represents right of use assets of $1.1 million and $545,000 located in Haiti and Canada, respectively.</w:t>
      </w:r>
    </w:p>
    <w:p>
      <w:pPr>
        <w:spacing w:after="0" w:line="133" w:lineRule="exact"/>
        <w:rPr>
          <w:rFonts w:ascii="Times New Roman" w:cs="Times New Roman" w:eastAsia="Times New Roman" w:hAnsi="Times New Roman"/>
          <w:sz w:val="20"/>
          <w:szCs w:val="20"/>
          <w:color w:val="auto"/>
        </w:rPr>
      </w:pPr>
    </w:p>
    <w:p>
      <w:pPr>
        <w:ind w:left="380" w:right="20" w:hanging="372"/>
        <w:spacing w:after="0" w:line="26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$3.3 million as of October 27, 2024, represents assets held for sale of $2.9 million and $358,000 located in Canada and the U.S., respectively.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149" w:lineRule="exact"/>
        <w:rPr>
          <w:sz w:val="20"/>
          <w:szCs w:val="20"/>
          <w:color w:val="auto"/>
        </w:rPr>
      </w:pPr>
    </w:p>
    <w:p>
      <w:pPr>
        <w:jc w:val="both"/>
        <w:ind w:left="380" w:hanging="372"/>
        <w:spacing w:after="0" w:line="24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 million as of October 27, 2024, represents property, plant, and equipment of $1.1 million and $95,000 located in the U.S., and China, respectively. The $1.2 million as of October 29, 2023, represents property, plant, and equipment of $1.0 million, and $140,000 located in the U.S. and China, respectively. The $1.1 million as of April 28, 2024, represents property, plant, and equipment of $1.0 million and $120,000 located in the U.S., and China,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$1.1 million as of October 27, 2024, represents right of use assets of $925,000 and $195,000 located in the U.S., and China, respectively. The $2.0 million as of October 29, 2023, represents right of use assets of $1.2 million and $818,000 located in China and the U.S. respectively. The $2.0 million as of April 28, 2024, represents right of use assets of $1.3 million and $709,000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$620,000, $627,000, and $585,000 as of October 27, 2024, October 29, 2023, and April 28, 2024, respectively, represents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33" w:lineRule="exact"/>
        <w:rPr>
          <w:rFonts w:ascii="Times New Roman" w:cs="Times New Roman" w:eastAsia="Times New Roman" w:hAnsi="Times New Roman"/>
          <w:sz w:val="20"/>
          <w:szCs w:val="20"/>
          <w:color w:val="auto"/>
        </w:rPr>
      </w:pPr>
    </w:p>
    <w:p>
      <w:pPr>
        <w:ind w:left="400" w:hanging="392"/>
        <w:spacing w:after="0" w:line="269" w:lineRule="auto"/>
        <w:tabs>
          <w:tab w:leader="none" w:pos="4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$2.8 million, $2.9 million, and $2.6 million as of October 27, 2024, October 29, 2023, and April 28, 2024,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October 27, 2024</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October 29, 2023</w:t>
            </w:r>
          </w:p>
        </w:tc>
        <w:tc>
          <w:tcPr>
            <w:tcW w:w="0" w:type="dxa"/>
            <w:vAlign w:val="bottom"/>
          </w:tcPr>
          <w:p>
            <w:pPr>
              <w:spacing w:after="0"/>
              <w:rPr>
                <w:sz w:val="1"/>
                <w:szCs w:val="1"/>
                <w:color w:val="auto"/>
              </w:rPr>
            </w:pPr>
          </w:p>
        </w:tc>
      </w:tr>
      <w:tr>
        <w:trPr>
          <w:trHeight w:val="19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(1):</w:t>
            </w:r>
          </w:p>
        </w:tc>
        <w:tc>
          <w:tcPr>
            <w:tcW w:w="29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265</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2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761</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1,838</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 (2)</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4,084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2,922</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333</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4,417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hanging="392"/>
        <w:spacing w:after="0" w:line="26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an accrual basis. See Consolidated Statements of Cash Flows for capital expenditure amounts on a cash basis.</w:t>
      </w:r>
    </w:p>
    <w:p>
      <w:pPr>
        <w:spacing w:after="0" w:line="118" w:lineRule="exact"/>
        <w:rPr>
          <w:rFonts w:ascii="Times New Roman" w:cs="Times New Roman" w:eastAsia="Times New Roman" w:hAnsi="Times New Roman"/>
          <w:sz w:val="20"/>
          <w:szCs w:val="20"/>
          <w:color w:val="auto"/>
        </w:rPr>
      </w:pPr>
    </w:p>
    <w:p>
      <w:pPr>
        <w:jc w:val="both"/>
        <w:ind w:left="400" w:hanging="392"/>
        <w:spacing w:after="0" w:line="249" w:lineRule="auto"/>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six-month period ending October 27, 2024, depreciation expense for the mattress fabrics segment included additional depreciation expense related to the shortening of useful lives of equipment associated with the gradual discontinuation of operations at our manufacturing facility located in Quebec, Canada. The amount of additional depreciation expense was $1.3 million and was classified as restructuring expense.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$190,000, or (1.5%) of loss before income taxes, for the six-month period ending October 27, 2024, compared with income tax expense of $1.2 million, or (26.8%) of loss before income taxes, for the six-month period ending October 29, 2023.</w:t>
      </w:r>
    </w:p>
    <w:p>
      <w:pPr>
        <w:spacing w:after="0" w:line="13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27, 2024, and October 29, 2023, were based upon the estimated effective income tax rate applicable for the full year after giving effect to any significant items related specifically to interim periods. When calculating the annual estimated effective income tax rates for the six-month periods ended October 27, 2024, and October 29,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27, 2024, and October 29, 2023:</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368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October 27,</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October 29,</w:t>
            </w:r>
          </w:p>
        </w:tc>
      </w:tr>
      <w:tr>
        <w:trPr>
          <w:trHeight w:val="213"/>
        </w:trPr>
        <w:tc>
          <w:tcPr>
            <w:tcW w:w="60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6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(18.8 )</w:t>
            </w: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(32.8 )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(losses) gains</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(9.9 )</w:t>
            </w: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6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40" w:type="dxa"/>
            <w:vAlign w:val="bottom"/>
          </w:tcPr>
          <w:p>
            <w:pPr>
              <w:spacing w:after="0"/>
              <w:rPr>
                <w:sz w:val="17"/>
                <w:szCs w:val="17"/>
                <w:color w:val="auto"/>
              </w:rPr>
            </w:pPr>
          </w:p>
        </w:tc>
      </w:tr>
      <w:tr>
        <w:trPr>
          <w:trHeight w:val="236"/>
        </w:trPr>
        <w:tc>
          <w:tcPr>
            <w:tcW w:w="6020" w:type="dxa"/>
            <w:vAlign w:val="bottom"/>
            <w:tcBorders>
              <w:top w:val="single" w:sz="8" w:color="auto"/>
              <w:bottom w:val="single" w:sz="8" w:color="auto"/>
            </w:tcBorders>
            <w:shd w:val="clear" w:color="auto" w:fill="CFF0FC"/>
          </w:tcPr>
          <w:p>
            <w:pPr>
              <w:spacing w:after="0"/>
              <w:rPr>
                <w:sz w:val="20"/>
                <w:szCs w:val="20"/>
                <w:color w:val="auto"/>
              </w:rPr>
            </w:pP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first half of fiscal 2025 and the first half of fiscal 2024 were both adversely affected by the mix of earnings between our U.S. operations and foreign subsidiaries, as our taxable income stems mostly from our operations located in China, which has a higher income tax rate than the U.S. In addition, during the first half of fiscal 2025 and the first half of 2024, we incurred pre-tax losses associated with our U.S. operations, for which an income tax benefit was not recorded due to a full valuation allowance applied against our U.S. net deferred income tax assets. The income tax charge associated with the full valuation allowance applied against our U.S. net deferred income tax assets was higher during the first half of fiscal 2025 compared with the first half of fiscal 2024, as our $(12.4) million U.S. pre-tax loss incurred during the first half of fiscal 2025 was significantly greater than the $(5.8) million U.S. pre-tax loss incurred during the first half of fiscal 2024.</w:t>
      </w:r>
    </w:p>
    <w:p>
      <w:pPr>
        <w:spacing w:after="0" w:line="20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2025, we incurred a greater consolidated pre-tax loss totaling $(12.7) million, compared with $(4.5) million during the first half of fiscal 2024.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09" w:right="299" w:bottom="1440" w:gutter="0" w:footer="0" w:header="0"/>
        </w:sectPr>
      </w:pPr>
    </w:p>
    <w:bookmarkStart w:id="28" w:name="page29"/>
    <w:bookmarkEnd w:id="28"/>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are currently expecting significant U.S. pre-tax losses to continue during fiscal 2025. As a result of the significant weight of this negative evidence, we believe it is more likely than not that our U.S. net deferred income tax assets will not be fully realizable, and therefore we provided for a full valuation allowance against our U.S. net deferred income tax assets.</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27, 2024, October 29, 2023, and April 28, 2024,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222885</wp:posOffset>
            </wp:positionV>
            <wp:extent cx="1022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222885</wp:posOffset>
            </wp:positionV>
            <wp:extent cx="939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222885</wp:posOffset>
            </wp:positionV>
            <wp:extent cx="939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27, 2024</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19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22,060</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19,674</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October 27, 2024,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October 27, 2024, October 29, 2023, and April 28, 2024, we recorded a deferred income tax liability of $5.0 million, $4.6 million, and $4.8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October 29, 2023, and April 28, 2024 we had a $1.4 million, $1.2 million, and $1.3 million total of gross unrecognized income tax benefits, of which the entire amount was classified as income taxes payable – long-term in the accompanying Consolidated Balance Sheets. As of October 27, 2024, the unrecognized tax benefit would favorably affect income tax expense in future periods by $1.4 million.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as of October 27, 2024, relates to income tax positions for which significant change could occur within the next year if the statute of limitations for relevant taxing authorities to examine and challenge the tax position expires.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Six Months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Six Months</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24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October 27,</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October 29,</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3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3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80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the issuance of the 2015 Plan. The Amended and Restated Plan also removed certain sub-limits that previously applied with respect to specific types of awards that may be issued under the plan.</w:t>
      </w:r>
    </w:p>
    <w:p>
      <w:pPr>
        <w:spacing w:after="0" w:line="159" w:lineRule="exact"/>
        <w:rPr>
          <w:sz w:val="20"/>
          <w:szCs w:val="20"/>
          <w:color w:val="auto"/>
        </w:rPr>
      </w:pPr>
    </w:p>
    <w:p>
      <w:pPr>
        <w:ind w:right="920"/>
        <w:spacing w:after="0" w:line="422" w:lineRule="auto"/>
        <w:rPr>
          <w:sz w:val="20"/>
          <w:szCs w:val="20"/>
          <w:color w:val="auto"/>
        </w:rPr>
      </w:pPr>
      <w:r>
        <w:rPr>
          <w:rFonts w:ascii="Times New Roman" w:cs="Times New Roman" w:eastAsia="Times New Roman" w:hAnsi="Times New Roman"/>
          <w:sz w:val="20"/>
          <w:szCs w:val="20"/>
          <w:color w:val="auto"/>
        </w:rPr>
        <w:t xml:space="preserve">As of October 27, 2024, there were 460,543 shares available for future equity-based grants under the Amended and Restated Plan. </w:t>
      </w:r>
      <w:r>
        <w:rPr>
          <w:rFonts w:ascii="Times New Roman" w:cs="Times New Roman" w:eastAsia="Times New Roman" w:hAnsi="Times New Roman"/>
          <w:sz w:val="20"/>
          <w:szCs w:val="20"/>
          <w:i w:val="1"/>
          <w:iCs w:val="1"/>
          <w:color w:val="auto"/>
        </w:rPr>
        <w:t>Performance-Based Restricted Stock Units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7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8, 2024, January 8, 2024, September 28, 2023, and August 10,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January 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September 28,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August 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6"/>
        </w:trPr>
        <w:tc>
          <w:tcPr>
            <w:tcW w:w="3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2023</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1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8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8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22.6- 104.0  %</w:t>
            </w:r>
          </w:p>
        </w:tc>
        <w:tc>
          <w:tcPr>
            <w:tcW w:w="16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33.7 - 102.6  %</w:t>
            </w:r>
          </w:p>
        </w:tc>
        <w:tc>
          <w:tcPr>
            <w:tcW w:w="18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35.7- 91.5  %</w:t>
            </w:r>
          </w:p>
        </w:tc>
        <w:tc>
          <w:tcPr>
            <w:tcW w:w="1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41.6 - 105.1  %</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- 0.17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0.01 - 0.21</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0.05 - 0.23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that were unvested as of October 27,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0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7"/>
                <w:szCs w:val="17"/>
                <w:color w:val="auto"/>
              </w:rPr>
            </w:pPr>
          </w:p>
        </w:tc>
        <w:tc>
          <w:tcPr>
            <w:tcW w:w="1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5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Performance-Based</w:t>
            </w:r>
          </w:p>
        </w:tc>
        <w:tc>
          <w:tcPr>
            <w:tcW w:w="120" w:type="dxa"/>
            <w:vAlign w:val="bottom"/>
          </w:tcPr>
          <w:p>
            <w:pPr>
              <w:spacing w:after="0"/>
              <w:rPr>
                <w:sz w:val="17"/>
                <w:szCs w:val="17"/>
                <w:color w:val="auto"/>
              </w:rPr>
            </w:pPr>
          </w:p>
        </w:tc>
        <w:tc>
          <w:tcPr>
            <w:tcW w:w="18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25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7"/>
                <w:szCs w:val="17"/>
                <w:color w:val="auto"/>
              </w:rPr>
            </w:pPr>
          </w:p>
        </w:tc>
        <w:tc>
          <w:tcPr>
            <w:tcW w:w="18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Units Expected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52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Units Awarded</w:t>
            </w:r>
          </w:p>
        </w:tc>
        <w:tc>
          <w:tcPr>
            <w:tcW w:w="120" w:type="dxa"/>
            <w:vAlign w:val="bottom"/>
          </w:tcPr>
          <w:p>
            <w:pPr>
              <w:spacing w:after="0"/>
              <w:rPr>
                <w:sz w:val="18"/>
                <w:szCs w:val="18"/>
                <w:color w:val="auto"/>
              </w:rPr>
            </w:pPr>
          </w:p>
        </w:tc>
        <w:tc>
          <w:tcPr>
            <w:tcW w:w="18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6"/>
              </w:rPr>
              <w:t>to Vest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8, 2024 (1)</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505,003</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2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7"/>
                <w:szCs w:val="17"/>
                <w:color w:val="auto"/>
              </w:rPr>
            </w:pPr>
          </w:p>
        </w:tc>
        <w:tc>
          <w:tcPr>
            <w:tcW w:w="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(4)</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months</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(1)</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24,597</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8,501</w:t>
            </w:r>
          </w:p>
        </w:tc>
        <w:tc>
          <w:tcPr>
            <w:tcW w:w="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0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192,771</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43"/>
        </w:trPr>
        <w:tc>
          <w:tcPr>
            <w:tcW w:w="2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146,048</w:t>
            </w:r>
          </w:p>
        </w:tc>
        <w:tc>
          <w:tcPr>
            <w:tcW w:w="1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6"/>
              </w:rPr>
              <w:t>(7)</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3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October 27, 2024.</w:t>
      </w:r>
    </w:p>
    <w:p>
      <w:pPr>
        <w:spacing w:after="0" w:line="133"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$0.70 to the closing price of our common stock on the date of grant) determined using the Monte Carlo simulation model for the market-based total shareholder return component and the closing price of our common stock ($4.65) for the performance-based component of the performance-based restricted stock units granted to senior executives on August 8, 2024.</w:t>
      </w:r>
    </w:p>
    <w:p>
      <w:pPr>
        <w:spacing w:after="0" w:line="139" w:lineRule="exact"/>
        <w:rPr>
          <w:rFonts w:ascii="Times New Roman" w:cs="Times New Roman" w:eastAsia="Times New Roman" w:hAnsi="Times New Roman"/>
          <w:sz w:val="20"/>
          <w:szCs w:val="20"/>
          <w:color w:val="auto"/>
        </w:rPr>
      </w:pPr>
    </w:p>
    <w:p>
      <w:pPr>
        <w:jc w:val="both"/>
        <w:ind w:left="380" w:right="20" w:hanging="372"/>
        <w:spacing w:after="0" w:line="24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a senior executive on January 8, 2024.</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six-month periods ended October 27, 2024 and October 29, 2023, respectively.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$33,000 and $23,000 within selling, general, and administrative expenses associated with our performance-based restricted stock unit awards for the six-month periods ended October 27, 2024, and October 29, 2023, respectively.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27, 2024, the remaining unrecognized compensation expense related to our performance-based restricted stock units was $283,000, which is expected to be recognized over a weighted average vesting period of 2.6 years. As of October 27, 2024, performance-based restricted stock units that are expected to vest had a fair value of $333,000.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key employees, and outside directors that were unvested as of October 27,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rPr>
              <w:t>Time-Based</w:t>
            </w: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5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5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w w:val="98"/>
              </w:rPr>
              <w:t>Units Awarded</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26, 2024 (2)</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46,823</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8, 2024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months</w:t>
            </w: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(3)</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 (3)</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outside directors.</w:t>
      </w:r>
    </w:p>
    <w:p>
      <w:pPr>
        <w:ind w:left="380" w:hanging="372"/>
        <w:spacing w:after="0"/>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six-month period ending October 27, 2024, time-based restricted stock units totaling 103,320, vested at a fair value of $581,000, or $5.63 per share. During the six-month period ending October 29, 2023, time-based restricted stock units totaling 151,652, vested at a fair value of $857,000, or $5.65 per share.</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$332,000 and $378,000 within selling, general, and administrative expenses associated with our time-based restricted stock unit awards for the six-month periods ended October 27, 2024, and October 29, 2023,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27, 2024, the remaining unrecognized compensation expense related to our time-based restricted stock units was $813,000, which is expected to be recognized over a weighted average vesting period of 1.5 years. As of October 27, 2024, the time-based restricted stock units that are expected to vest had a fair value totaling $1.4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Immediately Vested Common Stock Awards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which represents the closing price of our common stock on the date of grant.</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$84,000 of compensation expense within selling, general, and administrative expenses for common stock awards that immediately vested to our outside directors during the six-month period ended October 29,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seven years, with renewal options for additional periods ranging up to twelve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October 27, 2024, October 29, 2023, and April 28,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8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October 27,</w:t>
            </w:r>
          </w:p>
        </w:tc>
        <w:tc>
          <w:tcPr>
            <w:tcW w:w="32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October 29,</w:t>
            </w:r>
          </w:p>
        </w:tc>
        <w:tc>
          <w:tcPr>
            <w:tcW w:w="3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4,239</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6,874</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2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1,108</w:t>
            </w:r>
          </w:p>
        </w:tc>
        <w:tc>
          <w:tcPr>
            <w:tcW w:w="3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2,540</w:t>
            </w:r>
          </w:p>
        </w:tc>
        <w:tc>
          <w:tcPr>
            <w:tcW w:w="3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02"/>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2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1,958</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2,431</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Six Months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Six Months</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0" w:type="dxa"/>
            <w:vAlign w:val="bottom"/>
          </w:tcPr>
          <w:p>
            <w:pPr>
              <w:spacing w:after="0"/>
              <w:rPr>
                <w:sz w:val="17"/>
                <w:szCs w:val="17"/>
                <w:color w:val="auto"/>
              </w:rPr>
            </w:pPr>
          </w:p>
        </w:tc>
        <w:tc>
          <w:tcPr>
            <w:tcW w:w="15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Ended</w:t>
            </w:r>
          </w:p>
        </w:tc>
        <w:tc>
          <w:tcPr>
            <w:tcW w:w="300" w:type="dxa"/>
            <w:vAlign w:val="bottom"/>
          </w:tcPr>
          <w:p>
            <w:pPr>
              <w:spacing w:after="0"/>
              <w:rPr>
                <w:sz w:val="17"/>
                <w:szCs w:val="17"/>
                <w:color w:val="auto"/>
              </w:rPr>
            </w:pPr>
          </w:p>
        </w:tc>
        <w:tc>
          <w:tcPr>
            <w:tcW w:w="15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October 27, 2024</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October 29, 2023</w:t>
            </w:r>
          </w:p>
        </w:tc>
        <w:tc>
          <w:tcPr>
            <w:tcW w:w="0" w:type="dxa"/>
            <w:vAlign w:val="bottom"/>
          </w:tcPr>
          <w:p>
            <w:pPr>
              <w:spacing w:after="0"/>
              <w:rPr>
                <w:sz w:val="1"/>
                <w:szCs w:val="1"/>
                <w:color w:val="auto"/>
              </w:rPr>
            </w:pPr>
          </w:p>
        </w:tc>
      </w:tr>
      <w:tr>
        <w:trPr>
          <w:trHeight w:val="19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1,319</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2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Operating lease expense for the three-month periods ended October 27, 2024, and October 29, 2023, was $643,000 and $781,000, respectively. Operating lease expense for the six-month periods ended October 27, 2024, and October 29, 2023, was $1.4 million and $1.6 million, respectively. Short-term lease and variable lease expenses were immaterial for the three-month and six-month periods ended October 27, 2024, and October 29,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2025, the subsequent next four fiscal years, and thereafter follows:</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w:t>
            </w:r>
          </w:p>
        </w:tc>
      </w:tr>
      <w:tr>
        <w:trPr>
          <w:trHeight w:val="20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607</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r>
      <w:tr>
        <w:trPr>
          <w:trHeight w:val="20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r>
      <w:tr>
        <w:trPr>
          <w:trHeight w:val="20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576</w:t>
            </w:r>
          </w:p>
        </w:tc>
      </w:tr>
      <w:tr>
        <w:trPr>
          <w:trHeight w:val="196"/>
        </w:trPr>
        <w:tc>
          <w:tcPr>
            <w:tcW w:w="5660" w:type="dxa"/>
            <w:vAlign w:val="bottom"/>
            <w:shd w:val="clear" w:color="auto" w:fill="CFF0FC"/>
          </w:tcPr>
          <w:p>
            <w:pPr>
              <w:spacing w:after="0"/>
              <w:rPr>
                <w:sz w:val="17"/>
                <w:szCs w:val="17"/>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3,216</w:t>
            </w:r>
          </w:p>
        </w:tc>
      </w:tr>
      <w:tr>
        <w:trPr>
          <w:trHeight w:val="20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36"/>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27, 2024,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auto"/>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ind w:left="3520"/>
              <w:spacing w:after="0"/>
              <w:rPr>
                <w:sz w:val="20"/>
                <w:szCs w:val="20"/>
                <w:color w:val="auto"/>
              </w:rPr>
            </w:pPr>
            <w:r>
              <w:rPr>
                <w:rFonts w:ascii="Times New Roman" w:cs="Times New Roman" w:eastAsia="Times New Roman" w:hAnsi="Times New Roman"/>
                <w:sz w:val="16"/>
                <w:szCs w:val="16"/>
                <w:color w:val="auto"/>
              </w:rPr>
              <w:t>October 27, 2024</w:t>
            </w:r>
          </w:p>
        </w:tc>
        <w:tc>
          <w:tcPr>
            <w:tcW w:w="40" w:type="dxa"/>
            <w:vAlign w:val="bottom"/>
          </w:tcPr>
          <w:p>
            <w:pPr>
              <w:spacing w:after="0"/>
              <w:rPr>
                <w:sz w:val="18"/>
                <w:szCs w:val="18"/>
                <w:color w:val="auto"/>
              </w:rPr>
            </w:pPr>
          </w:p>
        </w:tc>
      </w:tr>
      <w:tr>
        <w:trPr>
          <w:trHeight w:val="19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160" w:type="dxa"/>
            <w:vAlign w:val="bottom"/>
            <w:shd w:val="clear" w:color="auto" w:fill="CFF0FC"/>
          </w:tcPr>
          <w:p>
            <w:pPr>
              <w:ind w:left="4760"/>
              <w:spacing w:after="0"/>
              <w:rPr>
                <w:sz w:val="20"/>
                <w:szCs w:val="20"/>
                <w:color w:val="auto"/>
              </w:rPr>
            </w:pPr>
            <w:r>
              <w:rPr>
                <w:rFonts w:ascii="Times New Roman" w:cs="Times New Roman" w:eastAsia="Times New Roman" w:hAnsi="Times New Roman"/>
                <w:sz w:val="16"/>
                <w:szCs w:val="16"/>
                <w:color w:val="auto"/>
              </w:rPr>
              <w:t>4.24</w:t>
            </w:r>
          </w:p>
        </w:tc>
        <w:tc>
          <w:tcPr>
            <w:tcW w:w="40" w:type="dxa"/>
            <w:vAlign w:val="bottom"/>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0" w:type="dxa"/>
            <w:vAlign w:val="bottom"/>
            <w:gridSpan w:val="2"/>
          </w:tcPr>
          <w:p>
            <w:pPr>
              <w:ind w:left="4760"/>
              <w:spacing w:after="0"/>
              <w:rPr>
                <w:sz w:val="20"/>
                <w:szCs w:val="20"/>
                <w:color w:val="auto"/>
              </w:rPr>
            </w:pPr>
            <w:r>
              <w:rPr>
                <w:rFonts w:ascii="Times New Roman" w:cs="Times New Roman" w:eastAsia="Times New Roman" w:hAnsi="Times New Roman"/>
                <w:sz w:val="16"/>
                <w:szCs w:val="16"/>
                <w:color w:val="auto"/>
                <w:w w:val="92"/>
              </w:rPr>
              <w:t>3.30 %</w:t>
            </w:r>
          </w:p>
        </w:tc>
      </w:tr>
      <w:tr>
        <w:trPr>
          <w:trHeight w:val="20"/>
        </w:trPr>
        <w:tc>
          <w:tcPr>
            <w:tcW w:w="608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Subsequent Lease Activity</w:t>
      </w:r>
    </w:p>
    <w:p>
      <w:pPr>
        <w:spacing w:after="0" w:line="23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lease for our corporate offices and shared service departments located in High Point, North Carolina expires on November 30, 2024 (third quarter fiscal 2025). We entered a new lease at the same location with a commencement date of December 1, 2024. Under the new lease agreement, we expect to generate annualized savings of approximately $360,000. The reduction in lease expense is part of the Fiscal 2025 Restructuring Plan described in Note 10. The lease liability and right of use asset associated with the new lease are expected to be $774,000 on the commencement date.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consolidated financial position, consolidated results of operations, or consolidated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As of October 27, 2024, October 29, 2023, and April 28, 2024, we had amounts due regarding capital expenditures totaling $602,000, $298,000, and $343,000, respectively, which pertained to outstanding vendor invoices, none of which were financed.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27, 2024, we had open purchase commitments to acquire equipment for our mattress fabrics segment totaling $571,000.</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09" w:right="299" w:bottom="1440" w:gutter="0" w:footer="0" w:header="0"/>
        </w:sectPr>
      </w:pPr>
    </w:p>
    <w:bookmarkStart w:id="33" w:name="page34"/>
    <w:bookmarkEnd w:id="33"/>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Statutory Reserves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October 27, 2024,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October 27, 2024, the company’s statutory surplus reserve was $4.1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$4.1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repurchase any shares of common stock during the six-month periods ending October 27, 2024, and October 29,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27, 2024, $3.2 million is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actions, production levels, new product launches, sales, profit margins, profitability, operating (loss) income, capital expenditures, working capital levels, cost savings (including, without limitation, anticipated cost savings from restructuring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restructuring-related asset dispositions, future economic or industry trends, public health epidemics, or future developments. There can be no assurance that we will realize these expectations or meet our guidance, or that these beliefs will prove correct.</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recent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mattress fabric operations and return the segment to profitability.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six months ended October 27, 2024, and October 29, 2023, both represent 26-week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Currently, we have mattress fabric manufacturing operations located in Stokesdale, North Carolina, and Quebec, Canada. We also have a mattress cover operation located in Ouanaminthe, Haiti.</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(the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 See Note 10 of the consolidated financial statements for further details regarding our restructuring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upholstery fabrics segment develops, sources, manufactures, and sells fabrics primarily to residential, commercial, and hospitality furniture manufacturers. We have upholstery fabric operations located in Shanghai, China, and Burlington, North Carolina. During the fourth quarter of fiscal 2024, we established a wholly owned subsidiary, Culp Fabrics Vietnam Limited, with an administrative office located in Ho Chi Minh City, Vietnam, for the purpose of enhancing our strategic sourcing opportunities and to further diversify our supply chain in Asia.</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Read Window Products, LLC (“Read”), a wholly owned subsidiary with operations located in Knoxville, Tennessee, and Burlington, North Carolina (established during the first quarter of fiscal 2025 within an existing upholstery fabrics facility)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56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October 29,</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58,725</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(5.2)%</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(24.7)%</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10.8 %</w:t>
            </w: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13.5 %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(270)bp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(5,400 )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(2,239 )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(590)bp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(5,694 )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(1,908 )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(516 )</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(109.7)%</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(5,644 )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(2,424 )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132.8%</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spacing w:after="0"/>
              <w:rPr>
                <w:sz w:val="18"/>
                <w:szCs w:val="18"/>
                <w:color w:val="auto"/>
              </w:rPr>
            </w:pPr>
          </w:p>
        </w:tc>
        <w:tc>
          <w:tcPr>
            <w:tcW w:w="100" w:type="dxa"/>
            <w:vAlign w:val="bottom"/>
            <w:vMerge w:val="restart"/>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40" w:type="dxa"/>
            <w:vAlign w:val="bottom"/>
            <w:gridSpan w:val="4"/>
          </w:tcPr>
          <w:p>
            <w:pPr>
              <w:jc w:val="right"/>
              <w:ind w:right="739"/>
              <w:spacing w:after="0" w:line="182" w:lineRule="exact"/>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56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October 29,</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115,387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(26.4)%</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9.9 %</w:t>
            </w: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13.0 %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(310)bp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(12,251 )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(5,321 )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(4.6 )%</w:t>
            </w: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(630)bp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(12,715 )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(4,549 )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(1,217 )</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(84.4)%</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(12,905 )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(5,766 )</w:t>
            </w:r>
          </w:p>
        </w:tc>
        <w:tc>
          <w:tcPr>
            <w:tcW w:w="28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Overall, our consolidated net sales for the second quarter of fiscal 2025 decreased by 5.2% compared with the same period a year ago, with mattress fabrics sales decreasing 4.2% and upholstery fabrics sales decreasing 6.4%. Our consolidated net sales for the first half of fiscal 2025 decreased by 2.8% compared with the same period a year ago, with mattress fabrics sale decreasing 4.0% and upholstery fabrics sales decreasing 1.3%.</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net sales for our mattress fabrics segment for both the second quarter and the first half of fiscal 2025, as compared to the prior-year periods, reflects reduced demand as a result of weakness in the domestic mattress industry. The decrease in net sales for our upholstery fabrics segment for both the second quarter and the first half of fiscal 2025, as compared to the prior-year periods, reflects reduced demand for our residential upholstery fabric products due to weakness in the residential home furnishings industry.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Overall, our loss before income taxes for the second quarter of fiscal 2025 was $(5.7) million, compared with loss before income taxes of $(1.9) million for the prior-year period, while our loss before income taxes for the first six months of fiscal 2025 was $(12.7) million, compared with loss before income taxes of $(4.5) million for the prior-year period.</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Operating performance for both the second quarter and the first half of fiscal 2025, as compared to the prior-year periods, was negatively affected by lower sales and by manufacturing inefficiencies primarily related to the significant restructuring activity underway in the mattress fabrics segment, along with restructuring and restructuring related charges during both periods ($2.8 million during the second quarter of fiscal 2025, as compared to $66,000 during the second quarter of fiscal 2024, and $5.5 million during the first half of fiscal 2025, as compared to $583,000 during the first half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recorded income tax expense of $190,000, or (1.5%) of loss before income taxes, for the six-month period ended October 27, 2024, compared with income tax expense of $1.2 million, or (26.8%) of loss before income taxes, for the six-month period ended October 29, 2023.</w:t>
      </w:r>
    </w:p>
    <w:p>
      <w:pPr>
        <w:spacing w:after="0" w:line="3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for the first half of fiscal 2025 and the first half of fiscal 2024 were both adversely affected by the mix of earnings between our U.S. operations and foreign subsidiaries, as our taxable income stems mostly from our operations located in China, which has a higher income tax rate than the U.S. In addition, during the first half of fiscal 2025 and the first half of fiscal 2024, we incurred pre-tax losses associated with our U.S. operations, for which an income tax benefit was not recorded due to a full valuation allowance applied against our U.S. net deferred income tax assets. The income tax charge associated with the full valuation allowance applied against our U.S. net deferred income tax assets was higher during the first half of fiscal 2025 compared with the first half of fiscal 2024, as our $(12.4) million U.S. pre-tax loss incurred during the first half of fiscal 2025 was significantly greater than the $(5.8) million U.S. pre-tax loss incurred during the first half of fiscal 2024.</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2025, we incurred a greater consolidated pre-tax loss totaling $(12.7) million, compared with $(4.5) million during the first half of fiscal 2024.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2025.</w:t>
      </w:r>
    </w:p>
    <w:p>
      <w:pPr>
        <w:spacing w:after="0" w:line="139" w:lineRule="exact"/>
        <w:rPr>
          <w:sz w:val="20"/>
          <w:szCs w:val="20"/>
          <w:color w:val="auto"/>
        </w:rPr>
      </w:pPr>
    </w:p>
    <w:p>
      <w:pPr>
        <w:ind w:right="1960"/>
        <w:spacing w:after="0" w:line="429" w:lineRule="auto"/>
        <w:rPr>
          <w:sz w:val="20"/>
          <w:szCs w:val="20"/>
          <w:color w:val="auto"/>
        </w:rPr>
      </w:pPr>
      <w:r>
        <w:rPr>
          <w:rFonts w:ascii="Times New Roman" w:cs="Times New Roman" w:eastAsia="Times New Roman" w:hAnsi="Times New Roman"/>
          <w:sz w:val="20"/>
          <w:szCs w:val="20"/>
          <w:color w:val="auto"/>
        </w:rPr>
        <w:t xml:space="preserve">Refer to Note 15 of the consolidated financial statements for further details regarding our provision for income taxes. </w:t>
      </w:r>
      <w:r>
        <w:rPr>
          <w:rFonts w:ascii="Times New Roman" w:cs="Times New Roman" w:eastAsia="Times New Roman" w:hAnsi="Times New Roman"/>
          <w:sz w:val="20"/>
          <w:szCs w:val="20"/>
          <w:u w:val="single" w:color="auto"/>
          <w:color w:val="auto"/>
        </w:rPr>
        <w:t>Liquidity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our cash and cash equivalents (collectively, “cash”) totaled $10.5 million, which represents a slight increase compared with cash of $10.0 million as of April 28, 2024. This increase was mostly due to $4.0 million in cash proceeds from borrowings on a line of credit associated with our operations located in China and 527,000 in cash proceeds from the sale of equipment associated with our restructuring activities, mostly offset by $1.6 million in capital expenditures and $2.6 million of net cash used in operating activities.</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net cash used in operating activities was $2.6 million during the first half of fiscal 2025, a decrease of $1.9 million compared with net cash used in operating activities of $4.5 million during the first half of fiscal 2024. This trend mostly reflects (i) an increase in accounts payable due to an increase in inventory purchases with significant vendors who extended their terms during the first half of fiscal 2025 compared with fiscal 2024, partially offset by (ii) an increase in inventory purchases to maintain an appropriate level of inventory during the company's restructuring activities, as described below in the section titled “—Segment Analysis—Mattress Fabrics Segment—Restructuring Activities,” and (iii) an increase in accounts receivable primarily due to an increase in net sales during the second quarter of fiscal 2025, as compared with the fourth quarter of fiscal 2024.</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27, 2024, we had outstanding borrowings totaling $4.1 million under a line of credit agreement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5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October 29,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30,074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8.1 %</w:t>
            </w:r>
          </w:p>
        </w:tc>
        <w:tc>
          <w:tcPr>
            <w:tcW w:w="1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7.9 %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20bp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(1,037 )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(936 )</w:t>
            </w:r>
          </w:p>
        </w:tc>
        <w:tc>
          <w:tcPr>
            <w:tcW w:w="30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(3.0 )%</w:t>
            </w: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rPr>
              <w:t>(40)bp</w:t>
            </w:r>
          </w:p>
        </w:tc>
        <w:tc>
          <w:tcPr>
            <w:tcW w:w="0" w:type="dxa"/>
            <w:vAlign w:val="bottom"/>
          </w:tcPr>
          <w:p>
            <w:pPr>
              <w:spacing w:after="0"/>
              <w:rPr>
                <w:sz w:val="1"/>
                <w:szCs w:val="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8" w:name="page39"/>
    <w:bookmarkEnd w:id="3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2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58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October 29,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19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58,150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(52.7)%</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3.6 %</w:t>
            </w:r>
          </w:p>
        </w:tc>
        <w:tc>
          <w:tcPr>
            <w:tcW w:w="1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7.4 %</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(380)bp</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2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(4,586 )</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(2,334 )</w:t>
            </w:r>
          </w:p>
        </w:tc>
        <w:tc>
          <w:tcPr>
            <w:tcW w:w="300" w:type="dxa"/>
            <w:vAlign w:val="bottom"/>
          </w:tcPr>
          <w:p>
            <w:pPr>
              <w:spacing w:after="0"/>
              <w:rPr>
                <w:sz w:val="17"/>
                <w:szCs w:val="17"/>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(3.9 )%</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(400)bp</w:t>
            </w:r>
          </w:p>
        </w:tc>
        <w:tc>
          <w:tcPr>
            <w:tcW w:w="0" w:type="dxa"/>
            <w:vAlign w:val="bottom"/>
          </w:tcPr>
          <w:p>
            <w:pPr>
              <w:spacing w:after="0"/>
              <w:rPr>
                <w:sz w:val="1"/>
                <w:szCs w:val="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Mattress fabrics sales decreased 4.2% in the second quarter of fiscal 2025 compared to the prior-year period. Mattress fabrics sales decreased 4.0% in the first half of fiscal 2025 compared to the first half of fiscal 2024.</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decrease in net sales for our mattress fabrics segment for both the second quarter and the first half of fiscal 2025 reflects reduced demand due to weakness in the domestic mattress industry, driven by a challenging macroeconomic environment that has affected consumer discretionary spending and housing markets.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Based on demand trends and ongoing macroeconomic challenges, we took aggressive action during the first quarter of fiscal 2025 to bring our manufacturing costs and capacity in line with current and expected demand. We announced a major restructuring plan primarily focused on the mattress fabrics segment early in the first quarter of fiscal 2025, and we are making steady progress on the execution of this restructuring plan, which is expected to be mostly completed by the end of the third quarter of fiscal 2025. See “—Restructuring Activities” below for further details.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Looking ahead, we are diligently focused on winning new placements to increase revenue and margins. However, with no ascertainable catalysts that might be expected to drive recovery in the near term, we expect the current macroeconomic environment will continue to pressure consumer spending and housing market trends (and our net sales) for some time. In the face of these macro headwinds, we are working to manage the aspects of our business we can control, including the execution of our restructuring plan. We believe the strategic actions we are taking will position us for profitable growth opportunities, but greater macro-industry and end-consumer support will be needed to drive recovery in the mattress industry and support our future sales growth. Additionally, the potential ongoing geopolitical disruptions related to wars in Ukraine and the Middle East, as well as the potential impact of future tariffs, remain unknown and depend on factors beyond our knowledge or control. These situations could cause disruption to global markets or increased costs that could adversely affect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Loss from Operations</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Loss from operations was $1.0 million for the second quarter of fiscal 2025, compared to loss from operations of $936,000 for the second quarter of fiscal 2024. Loss from operations was $4.6 million for the first half of fiscal 2025, compared to loss from operations of $2.3 million for the first half of fiscal 2024.</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performance for both the second quarter and the first half of fiscal 2025, as compared to the prior-year periods, was pressured by lower sales volumes and manufacturing inefficiencies primarily related to our significant restructuring initiatives to gradually wind down our Canadian operation and move certain knitting equipment to our Stokesdale, North Carolina, manufacturing facility, partially offset by lower fixed costs.</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expect manufacturing inefficiencies related our restructuring initiatives, as well as ongoing industry softness affecting sales volumes, will affect profitability through at least the third quarter of fiscal 2025, as we work to implement our restructuring plan to align capacity with current and expected demand. However, we expect these restructuring initiatives, once fully implemented, will enable the mattress fabrics segment to grow more efficiently and profitably with a lower level of fixed costs, even at currently depressed sales levels. See “— Restructuring Activities” below for further details. Importantly, these strategic steps do not limit our ability to grow the mattress fabrics business, but instead allow us to better optimize our global mix of manufacturing capabilities and long-term sourcing partners. We will also consider further adjustments to right-size and restructure our operations as necessary to align with current demand levels, as well as additional reasonable pricing actions as competitive conditions permit to further mitigate and manage inflation.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two leased facilities related to the sewn mattress cover operation into one facility located in Ouanaminthe, Haiti, and reduce other operating expenses at this location.</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the gradual discontinuance of operations and the closure of the facility located in Quebec, Canada, will be completed by December 31, 2024. The consolidation activity associated with the sewn mattress cover operation located in Haiti was completed during the first quarter of fiscal 2025. These actions are expected to result in restructuring and restructuring related charges for the mattress segment of approximately $7.2 million during fiscal 2025, of which approximately $4.3 million is expected to be cash expenditures.</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$7.2 million of estimated restructuring and restructuring related charges associated with our mattress fabrics segment represents (i) other associated costs of $2.7 million mostly related to relocating equipment from our facility in Quebec, Canada to our facility in Stokesdale, NC,</w:t>
      </w:r>
    </w:p>
    <w:p>
      <w:pPr>
        <w:jc w:val="both"/>
        <w:ind w:firstLine="8"/>
        <w:spacing w:after="0"/>
        <w:tabs>
          <w:tab w:leader="none" w:pos="30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depreciation expense related to the shortening of useful lives of equipment associated with the gradual discontinuance of our operations located in Canada noted above totaling $1.3 million, (iii) employee termination benefits of $1.3 million, (iv) $1.1 million related to losses on disposal and valuation of inventory, and (v) lease termination costs of $860,000, (vi) partially offset by net gains on the disposal of equipment totaling $110,000. These restructuring and restructuring related charges exclude any expected gain on the sale of real estate associated with the closure of the Canadian facility, the amount of which is currently undetermined but which will ultimately reduce the amount of the restructuring charges incurred. Based on management's internal analysis we expect cash proceeds from the sale of real estate (net of all taxes and commissions) to exceed the amount of cash restructuring charges incurred.</w:t>
      </w:r>
    </w:p>
    <w:p>
      <w:pPr>
        <w:spacing w:after="0" w:line="204" w:lineRule="exact"/>
        <w:rPr>
          <w:sz w:val="20"/>
          <w:szCs w:val="20"/>
          <w:color w:val="auto"/>
        </w:rPr>
      </w:pPr>
    </w:p>
    <w:p>
      <w:pPr>
        <w:jc w:val="both"/>
        <w:ind w:firstLine="59"/>
        <w:spacing w:after="0" w:line="249" w:lineRule="auto"/>
        <w:rPr>
          <w:sz w:val="20"/>
          <w:szCs w:val="20"/>
          <w:color w:val="auto"/>
        </w:rPr>
      </w:pPr>
      <w:r>
        <w:rPr>
          <w:rFonts w:ascii="Times New Roman" w:cs="Times New Roman" w:eastAsia="Times New Roman" w:hAnsi="Times New Roman"/>
          <w:sz w:val="20"/>
          <w:szCs w:val="20"/>
          <w:color w:val="auto"/>
        </w:rPr>
        <w:t>Based on changes in business and current industry economic conditions, it is possible that the above estimates provided by management to determine restructuring and restructuring related charges incurred during fiscal 2025 and proceeds generated from the sale of the manufacturing facility located in Quebec, Canada, could be materially different from our actual results, and therefore could adversely affect the success of this restructuring plan.</w:t>
      </w:r>
    </w:p>
    <w:p>
      <w:pPr>
        <w:spacing w:after="0" w:line="19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following summarizes the restructuring and restructuring related charges for the mattress fabrics segment for the three-month period ending October 27,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3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7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October 27, 2024</w:t>
            </w:r>
          </w:p>
        </w:tc>
      </w:tr>
      <w:tr>
        <w:trPr>
          <w:trHeight w:val="199"/>
        </w:trPr>
        <w:tc>
          <w:tcPr>
            <w:tcW w:w="6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7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17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7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7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 on disposal of equipment</w:t>
            </w:r>
          </w:p>
        </w:tc>
        <w:tc>
          <w:tcPr>
            <w:tcW w:w="178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196"/>
        </w:trPr>
        <w:tc>
          <w:tcPr>
            <w:tcW w:w="6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 (2)</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360" w:right="200" w:hanging="352"/>
        <w:spacing w:after="0" w:line="295" w:lineRule="auto"/>
        <w:tabs>
          <w:tab w:leader="none" w:pos="29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$2.8 million restructuring and restructuring related charges, $2.0 million and $769,000 were classified within restructuring expense and cost of sales, respectively, in the Consolidated Statement of Net Loss for the three-month period ending October 27, 2024.</w:t>
      </w:r>
    </w:p>
    <w:p>
      <w:pPr>
        <w:spacing w:after="0" w:line="151" w:lineRule="exact"/>
        <w:rPr>
          <w:rFonts w:ascii="Times New Roman" w:cs="Times New Roman" w:eastAsia="Times New Roman" w:hAnsi="Times New Roman"/>
          <w:sz w:val="19"/>
          <w:szCs w:val="19"/>
          <w:color w:val="auto"/>
        </w:rPr>
      </w:pPr>
    </w:p>
    <w:p>
      <w:pPr>
        <w:jc w:val="both"/>
        <w:ind w:left="360" w:right="300" w:hanging="352"/>
        <w:spacing w:after="0" w:line="295" w:lineRule="auto"/>
        <w:tabs>
          <w:tab w:leader="none" w:pos="29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$5.4 million restructuring and restructuring related charges, $4.5 million and $885,000 were classified within restructuring expense and cost of sales, respectively, in the Consolidated Statement of Net Loss for the six-month period ending October 27,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details.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r>
        <w:rPr>
          <w:rFonts w:ascii="Times New Roman" w:cs="Times New Roman" w:eastAsia="Times New Roman" w:hAnsi="Times New Roman"/>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138430</wp:posOffset>
            </wp:positionV>
            <wp:extent cx="939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138430</wp:posOffset>
            </wp:positionV>
            <wp:extent cx="939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5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67,883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73,329</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70,773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-144780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-144780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October 27, 2024, accounts receivable decreased by $951,000, or 8.4%, compared with October 29, 2023. This reflects the 4.2% decrease in net sales during the second quarter of fiscal 2025, as compared to the second quarter of fiscal 2024. In addition, the decrease in accounts receivable was due to improved payment trends with larger customers during the second quarter of fiscal 2025, compared with the second quarter of fiscal 2024. Accordingly, days’ sales outstanding decreased to 31 days for the second quarter of fiscal 2025, as compared to 33 days for the second quarter of fiscal 2024.</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accounts receivable remained flat compared with April 28, 2024. This trend primarily reflects an increase in net sales for the second quarter of fiscal 2025, as compared to the fourth quarter of fiscal 2024, offset by faster cash collections, as we experienced improved payment trends with larger customers during the second quarter of fiscal 2025 compared to the second quarter of fiscal 2024. Net sales for the second quarter of fiscal 2025 were $30.1 million, an increase of 16.8%, compared with net sales of $25.8 million during the fourth quarter of fiscal 2024. Days’ sales outstanding decreased to 31 days for the first quarter of fiscal 2025, as compared to 35 days for the fourth quarter of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of October 27, 2024, inventory increased by $2.1 million, or 7.6%, compared with October 29, 2023. In connection with the restructuring activity described above in “Restructuring Activities,” this trend represents an increase in finished goods inventory to accommodate customers while the weaving operation is transitioned to a strategic sourcing model and knitting and finishing capacity is relocated from the manufacturing facility in Quebec, Canada, to our facility in Stokesdale, North Carolina. This increase in finished goods inventory was partially offset by lower raw material purchases related to the gradual discontinuation of operations of the company's manufacturing facility located in Quebec, Canada, as described above in “Restructuring Activities,” and also by the decrease in net sales described above.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27, 2024, inventory increased by $1.6 million, or 5.7%, compared with April 28, 2024. This increase in inventory represents an increase in net sales of $4.3 million, or 16.8%, during the second quarter of fiscal 2025, as compared with the fourth quarter of fiscal 2024. This trend is also due to the effect of the restructuring activity described in the preceding paragraph.</w:t>
      </w:r>
    </w:p>
    <w:p>
      <w:pPr>
        <w:spacing w:after="0" w:line="13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4.1 for the second quarter of fiscal 2025, as compared with 4.5 for the second quarter of fiscal 2024 and 3.6 for the fourth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fiscal 2024 and continuing through the second quarter of fiscal 2025, property, plant, and equipment has steadily decreased due to reduced capital spending stemming from current unfavorable macro-economic conditions within the home furnishings and bedding industries, as well as the actions taken as described above in “Restructuring Activities.”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$24.7 million as of October 27, 2024, represents property, plant, and equipment of $22.2 million, $1.6 million, and $889,000 located in the U.S., Canada, and Haiti, respectively. The $32.9 million as of October 29, 2023, represents property, plant, and equipment of $22.2 million, $10.0 million, and $661,000 located in the U.S., Canada, and Haiti, respectively. The $31.5 million as of April 28, 2024, represents property, plant, and equipment of $21.5 million, $9.4 million, and $555,000 located in the U.S., Canada, and Haiti, respectively.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During fiscal 2024 and continuing through the second quarter of fiscal 2025, right of use assets have steadily decreased due to rent expense incurred over the terms of the existing lease agreements. In addition, in connection with the restructuring activity described above in “Restructuring Activities,” right of use assets (i) decreased due to the termination of an agreement to lease a facility located in Ouanaminthe, Haiti, and (ii) shortened the period of use associated with two leased facilities located in Quebec, Canada.</w:t>
      </w:r>
    </w:p>
    <w:p>
      <w:pPr>
        <w:spacing w:after="0" w:line="13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$275,000 as of October 27, 2024, represents a right of use asset in Haiti. The $2.0 million as of October 29, 2023, represents right of use assets of $1.3 million and $663,000 located in Haiti, and Canada, respectively. The $1.6 million as of April 28, 2024, represents right of use assets of $1.1 million and $545,000 located in Haiti and Canada,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9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As of October 27, 2024, and in connection with actions described above in “Restructuring Activities,” we classified certain equipment relating to both our U.S. and Canadian operations and our building located in Quebec, Canada, as held for sale. The $3.3 million represents assets held for sale of $2.9 million and $358,000 located in Canada and the U.S., respectively. Refer to Note 8 of the consolidated financial statements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October 27,</w:t>
            </w:r>
          </w:p>
        </w:tc>
        <w:tc>
          <w:tcPr>
            <w:tcW w:w="15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Three Months Ended</w:t>
            </w: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October 29,</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22,372</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87 %</w:t>
            </w:r>
          </w:p>
        </w:tc>
        <w:tc>
          <w:tcPr>
            <w:tcW w:w="6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24,129</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13 %</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6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27,348</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23"/>
        </w:trPr>
        <w:tc>
          <w:tcPr>
            <w:tcW w:w="34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60" w:type="dxa"/>
            <w:vAlign w:val="bottom"/>
            <w:vMerge w:val="restart"/>
          </w:tcPr>
          <w:p>
            <w:pPr>
              <w:jc w:val="center"/>
              <w:ind w:left="179"/>
              <w:spacing w:after="0"/>
              <w:rPr>
                <w:sz w:val="20"/>
                <w:szCs w:val="20"/>
                <w:color w:val="auto"/>
              </w:rPr>
            </w:pPr>
            <w:r>
              <w:rPr>
                <w:rFonts w:ascii="Times New Roman" w:cs="Times New Roman" w:eastAsia="Times New Roman" w:hAnsi="Times New Roman"/>
                <w:sz w:val="16"/>
                <w:szCs w:val="16"/>
                <w:color w:val="auto"/>
              </w:rPr>
              <w:t>October 27,</w:t>
            </w:r>
          </w:p>
        </w:tc>
        <w:tc>
          <w:tcPr>
            <w:tcW w:w="120" w:type="dxa"/>
            <w:vAlign w:val="bottom"/>
          </w:tcPr>
          <w:p>
            <w:pPr>
              <w:spacing w:after="0"/>
              <w:rPr>
                <w:sz w:val="17"/>
                <w:szCs w:val="17"/>
                <w:color w:val="auto"/>
              </w:rPr>
            </w:pPr>
          </w:p>
        </w:tc>
        <w:tc>
          <w:tcPr>
            <w:tcW w:w="14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Six Months Ended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October 29,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2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47,709</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88 %</w:t>
            </w:r>
          </w:p>
        </w:tc>
        <w:tc>
          <w:tcPr>
            <w:tcW w:w="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48,762</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89 %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2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12 %</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54,061</w:t>
            </w:r>
          </w:p>
        </w:tc>
        <w:tc>
          <w:tcPr>
            <w:tcW w:w="1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Upholstery fabrics sales decreased 6.4% in the second quarter of fiscal 2025 compared to the prior-year period. Upholstery fabrics sales decreased 1.3% in the first half of fiscal 2025 compared to the first half of fiscal 2024.</w:t>
      </w:r>
    </w:p>
    <w:p>
      <w:pPr>
        <w:spacing w:after="0" w:line="173"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The decrease in net sales for our upholstery fabrics segment for both the second quarter and the first half of fiscal 2025 reflects reduced demand for our residential upholstery fabric products as compared to the prior-year periods. This reduced demand was driven primarily by ongoing weakness in the residential home furnishings industry, including increased weakness during the second quarter which resulted in lower order levels as many customers, including a significant customer, adjusted their inventory positions to align with industry softness. Net sales for our hospitality/contract fabrics for both the second quarter and the first half of fiscal 2025 were relatively flat compared to the prior-year periods.</w:t>
      </w:r>
    </w:p>
    <w:p>
      <w:pPr>
        <w:spacing w:after="0" w:line="198"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Looking ahead, we expect the lower customer order levels noted above will pressure residential fabric sales during the third quarter of fiscal 2025 as some customers continue to adjust inventory positions. We also expect the soft industry demand backdrop for residential home furnishings may affect our residential business for some period of time. Despite these challenges, we believe our business is well positioned for the long term with our product-driven strategy and innovative product offerings, including our popular portfolio of LiveSmart® performance products, supported by our flexible Asian platform and our long-term supplier relationships. We also believe overall demand remains solid for our hospitality/commercial business.</w:t>
      </w:r>
    </w:p>
    <w:p>
      <w:pPr>
        <w:spacing w:after="0" w:line="198"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Notably, the potential ongoing geopolitical disruptions related to wars in Ukraine and the Middle East, as well as the potential impact of future tariffs, remain unknown and depend on factors beyond our control. At this time, we cannot reasonably estimate the impact of these items on our upholstery fabrics segment, but we note that if conditions worsen in these situations, including shipping disruptions related to wars in the Middle East, or if new tariffs are imposed on our products, the impact on our operations, and/or on our suppliers, customers, consumers, and the global economy, could adversely affect our financial performance.</w:t>
      </w:r>
    </w:p>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Income from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4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October 29,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19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(19.9)%</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16.9 %</w:t>
            </w:r>
          </w:p>
        </w:tc>
        <w:tc>
          <w:tcPr>
            <w:tcW w:w="18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19.7 %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(280)bp</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(7.5)%</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(79.9)%</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(55.8)%</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2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5.1 %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(270)bp</w:t>
            </w:r>
          </w:p>
        </w:tc>
        <w:tc>
          <w:tcPr>
            <w:tcW w:w="0" w:type="dxa"/>
            <w:vAlign w:val="bottom"/>
          </w:tcPr>
          <w:p>
            <w:pPr>
              <w:spacing w:after="0"/>
              <w:rPr>
                <w:sz w:val="1"/>
                <w:szCs w:val="1"/>
                <w:color w:val="auto"/>
              </w:rPr>
            </w:pPr>
          </w:p>
        </w:tc>
      </w:tr>
      <w:tr>
        <w:trPr>
          <w:trHeight w:val="574"/>
        </w:trPr>
        <w:tc>
          <w:tcPr>
            <w:tcW w:w="5020" w:type="dxa"/>
            <w:vAlign w:val="bottom"/>
            <w:tcBorders>
              <w:top w:val="single" w:sz="8" w:color="auto"/>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gridSpan w:val="2"/>
          </w:tcPr>
          <w:p>
            <w:pPr>
              <w:spacing w:after="0"/>
              <w:rPr>
                <w:sz w:val="24"/>
                <w:szCs w:val="24"/>
                <w:color w:val="auto"/>
              </w:rPr>
            </w:pPr>
          </w:p>
        </w:tc>
        <w:tc>
          <w:tcPr>
            <w:tcW w:w="120" w:type="dxa"/>
            <w:vAlign w:val="bottom"/>
            <w:vMerge w:val="restart"/>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60" w:type="dxa"/>
            <w:vAlign w:val="bottom"/>
            <w:gridSpan w:val="4"/>
          </w:tcPr>
          <w:p>
            <w:pPr>
              <w:jc w:val="right"/>
              <w:ind w:right="619"/>
              <w:spacing w:after="0" w:line="182" w:lineRule="exact"/>
              <w:rPr>
                <w:sz w:val="20"/>
                <w:szCs w:val="20"/>
                <w:color w:val="auto"/>
              </w:rPr>
            </w:pPr>
            <w:r>
              <w:rPr>
                <w:rFonts w:ascii="Times New Roman" w:cs="Times New Roman" w:eastAsia="Times New Roman" w:hAnsi="Times New Roman"/>
                <w:sz w:val="16"/>
                <w:szCs w:val="16"/>
                <w:color w:val="auto"/>
              </w:rPr>
              <w:t>Six Months Ended</w:t>
            </w:r>
          </w:p>
        </w:tc>
        <w:tc>
          <w:tcPr>
            <w:tcW w:w="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October 27,</w:t>
            </w:r>
          </w:p>
        </w:tc>
        <w:tc>
          <w:tcPr>
            <w:tcW w:w="180" w:type="dxa"/>
            <w:vAlign w:val="bottom"/>
          </w:tcPr>
          <w:p>
            <w:pPr>
              <w:spacing w:after="0"/>
              <w:rPr>
                <w:sz w:val="17"/>
                <w:szCs w:val="17"/>
                <w:color w:val="auto"/>
              </w:rPr>
            </w:pPr>
          </w:p>
        </w:tc>
        <w:tc>
          <w:tcPr>
            <w:tcW w:w="14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October 29,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8"/>
              </w:rPr>
              <w:t>Change</w:t>
            </w:r>
          </w:p>
        </w:tc>
        <w:tc>
          <w:tcPr>
            <w:tcW w:w="0" w:type="dxa"/>
            <w:vAlign w:val="bottom"/>
          </w:tcPr>
          <w:p>
            <w:pPr>
              <w:spacing w:after="0"/>
              <w:rPr>
                <w:sz w:val="1"/>
                <w:szCs w:val="1"/>
                <w:color w:val="auto"/>
              </w:rPr>
            </w:pPr>
          </w:p>
        </w:tc>
      </w:tr>
      <w:tr>
        <w:trPr>
          <w:trHeight w:val="19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(7.7)%</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18.2 %</w:t>
            </w:r>
          </w:p>
        </w:tc>
        <w:tc>
          <w:tcPr>
            <w:tcW w:w="18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19.5 %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(130)bp</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(5.5)%</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(66.6)%</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(14.4)%</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2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c>
          <w:tcPr>
            <w:tcW w:w="18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5.0 %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(70)bp</w:t>
            </w:r>
          </w:p>
        </w:tc>
        <w:tc>
          <w:tcPr>
            <w:tcW w:w="0" w:type="dxa"/>
            <w:vAlign w:val="bottom"/>
          </w:tcPr>
          <w:p>
            <w:pPr>
              <w:spacing w:after="0"/>
              <w:rPr>
                <w:sz w:val="1"/>
                <w:szCs w:val="1"/>
                <w:color w:val="auto"/>
              </w:rPr>
            </w:pPr>
          </w:p>
        </w:tc>
      </w:tr>
      <w:tr>
        <w:trPr>
          <w:trHeight w:val="20"/>
        </w:trPr>
        <w:tc>
          <w:tcPr>
            <w:tcW w:w="50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Income from operations was $615,000 for the second quarter of fiscal 2025, compared to income from operations of $1.4 million for the second quarter of fiscal 2024. Income from operations was $2.3 million for the first half of fiscal 2025, compared to income from operations of $2.7 million for the first half of fiscal 2024.</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upholstery fabrics profitability for the second quarter and the first half of fiscal 2025, as compared to the prior-year periods, primarily reflects lower sales; higher inventory markdown expense during the second quarter (as compared with especially low inventory markdown expense during the prior-year period); a less favorable foreign exchange rate associated with this segment's operations in China; and higher freight costs. These factors were offset somewhat by lower SG&amp;A expense and lower fixed costs during both periods.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market dynamics, we took action during the fourth quarter of fiscal 2024 to restructure our upholstery fabrics finishing operation in China to align with current demand and further leverage our strategic supply relationships. We completed this restructuring initiative during the first quarter of fiscal 2025 (see “—Restructuring Activities—Shanghai, China—Upholstery Fabrics Finishing Operation” below). We believe this move is allowing us to reduce our operating costs while maintaining our ability to support our customers.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the residential home furnishings industry remains under pressure due to shifting consumer spending trends, inflation, reduced home sales, and other macroeconomic conditions affecting discretionary consumer spending. As a result, we expect lower sales volumes in our residential business may affect our profitability until market conditions improve. However, for fiscal 2025, we expect to benefit from continued solid demand in our hospitality/commercial fabrics business; improvement in our Read business; and fixed cost savings from our strategic decision to rationalize our upholstery fabric finishing operation in China and further leverage our long-term supply relationships. We will also continue our ongoing cost reduction efforts and will consider further adjustments to rationalize our operations as necessary to align with current demand levels, while maintaining our ability to service our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fourth quarter of fiscal 2024, we rationalized our upholstery fabrics finishing operation in Shanghai, China, to align with current demand trends and further leverage our strategic supply relationships to meet customer finishing needs. This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3" w:name="page44"/>
    <w:bookmarkEnd w:id="4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restructuring activity was completed during the first quarter of fiscal 2025 and resulted in cumulative restructuring and restructuring related charges totaling $218,000.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Haiti, Ltd. ("CUF Haiti") entered into an agreement to terminate a lease associated with one facility, and in turn moved the production of upholstery cut and sewn kits to another existing facility leased by Culp Home Fashions Haiti, Ltd. ("CHF Haiti") during the fourth quarter of fiscal 2023. Both CUF Haiti and CHF Haiti are indirectly wholly owned subsidiaries of the company. During the first quarter of fiscal 2024, demand for upholstery cut and sewn kits declined more than previously anticipated, resulting in the strategic action to discontinue the production of upholstery cut and sewn kits in Haiti. This restructuring activity was completed during the third quarter of fiscal 2024 and resulted in cumulative restructuring and restructuring related charges of $1.3 million.</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for all restructuring activities for the upholstery fabrics segment for the three-months ending October 27, 2024, and October 29,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20" w:type="dxa"/>
            <w:vAlign w:val="bottom"/>
          </w:tcPr>
          <w:p>
            <w:pPr>
              <w:spacing w:after="0"/>
              <w:rPr>
                <w:sz w:val="20"/>
                <w:szCs w:val="20"/>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20"/>
                <w:szCs w:val="20"/>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920" w:type="dxa"/>
            <w:vAlign w:val="bottom"/>
          </w:tcPr>
          <w:p>
            <w:pPr>
              <w:spacing w:after="0"/>
              <w:rPr>
                <w:sz w:val="17"/>
                <w:szCs w:val="17"/>
                <w:color w:val="auto"/>
              </w:rPr>
            </w:pPr>
          </w:p>
        </w:tc>
        <w:tc>
          <w:tcPr>
            <w:tcW w:w="1480" w:type="dxa"/>
            <w:vAlign w:val="bottom"/>
          </w:tcPr>
          <w:p>
            <w:pPr>
              <w:ind w:left="13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920" w:type="dxa"/>
            <w:vAlign w:val="bottom"/>
            <w:shd w:val="clear" w:color="auto" w:fill="CFF0FC"/>
          </w:tcPr>
          <w:p>
            <w:pPr>
              <w:spacing w:after="0"/>
              <w:rPr>
                <w:sz w:val="17"/>
                <w:szCs w:val="17"/>
                <w:color w:val="auto"/>
              </w:rPr>
            </w:pP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disposal and markdowns of inventory</w:t>
            </w:r>
          </w:p>
        </w:tc>
        <w:tc>
          <w:tcPr>
            <w:tcW w:w="1920" w:type="dxa"/>
            <w:vAlign w:val="bottom"/>
          </w:tcPr>
          <w:p>
            <w:pPr>
              <w:spacing w:after="0"/>
              <w:rPr>
                <w:sz w:val="17"/>
                <w:szCs w:val="17"/>
                <w:color w:val="auto"/>
              </w:rPr>
            </w:pPr>
          </w:p>
        </w:tc>
        <w:tc>
          <w:tcPr>
            <w:tcW w:w="1480" w:type="dxa"/>
            <w:vAlign w:val="bottom"/>
          </w:tcPr>
          <w:p>
            <w:pPr>
              <w:ind w:left="13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196"/>
        </w:trPr>
        <w:tc>
          <w:tcPr>
            <w:tcW w:w="5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(3) (4)</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280" w:hanging="272"/>
        <w:spacing w:after="0" w:line="269" w:lineRule="auto"/>
        <w:tabs>
          <w:tab w:leader="none" w:pos="2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$29,000 affected our U.S. upholstery fabrics operations and related to cost reductions under the Fiscal 2025 Restructuring Plan, which are described in Note 10 of the consolidated financial statements.</w:t>
      </w:r>
    </w:p>
    <w:p>
      <w:pPr>
        <w:spacing w:after="0" w:line="15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$66,000 related to the closure of our upholstery cut and sewn kits operation located in Ouanaminthe, Haiti, as described above.</w:t>
      </w:r>
    </w:p>
    <w:p>
      <w:pPr>
        <w:spacing w:after="0" w:line="229" w:lineRule="exact"/>
        <w:rPr>
          <w:rFonts w:ascii="Times New Roman" w:cs="Times New Roman" w:eastAsia="Times New Roman" w:hAnsi="Times New Roman"/>
          <w:sz w:val="20"/>
          <w:szCs w:val="20"/>
          <w:color w:val="auto"/>
        </w:rPr>
      </w:pPr>
    </w:p>
    <w:p>
      <w:pPr>
        <w:ind w:left="280" w:hanging="272"/>
        <w:spacing w:after="0" w:line="269"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total $29,000 was recorded within restructuring expense in the Consolidated Statement of Net Loss for the three-month period ending October 27, 2024.</w:t>
      </w:r>
    </w:p>
    <w:p>
      <w:pPr>
        <w:spacing w:after="0" w:line="172" w:lineRule="exact"/>
        <w:rPr>
          <w:rFonts w:ascii="Times New Roman" w:cs="Times New Roman" w:eastAsia="Times New Roman" w:hAnsi="Times New Roman"/>
          <w:sz w:val="18"/>
          <w:szCs w:val="18"/>
          <w:color w:val="auto"/>
        </w:rPr>
      </w:pPr>
    </w:p>
    <w:p>
      <w:pPr>
        <w:ind w:left="280" w:right="20" w:hanging="272"/>
        <w:spacing w:after="0" w:line="26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$66,000 total, $144,000 and $(78,000) were recorded within restructuring expense and cost of sales, respectively, in the Consolidated Statement of Net Loss for the three-month period ending October 29, 2023.</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for all restructuring activities for the upholstery fabrics segment for the six-months ending October 27, 2024, and October 29,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20"/>
                <w:szCs w:val="20"/>
                <w:color w:val="auto"/>
              </w:rPr>
            </w:pPr>
          </w:p>
        </w:tc>
        <w:tc>
          <w:tcPr>
            <w:tcW w:w="14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Six Months Ended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October 27, 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16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6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(credits) charges (3) (4)</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both"/>
        <w:ind w:left="280" w:hanging="272"/>
        <w:spacing w:after="0" w:line="254" w:lineRule="auto"/>
        <w:tabs>
          <w:tab w:leader="none" w:pos="29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$161,000, $147,000 affected our U.S. upholstery fabrics operations and related cost reductions under the Fiscal 2025 Restructuring Plan, which are described in Note 10 of the consolidated financial statements. In addition, the $161,000 includes $14,000 related to the rationalization of our upholstery fabrics finishing operation located in Shanghai, China, as described above.</w:t>
      </w:r>
    </w:p>
    <w:p>
      <w:pPr>
        <w:spacing w:after="0" w:line="187"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$583,000 related to the closure of our upholstery cut and sewn kits operation located in Ouanaminthe, Haiti, as described above.</w:t>
      </w:r>
    </w:p>
    <w:p>
      <w:pPr>
        <w:spacing w:after="0" w:line="240" w:lineRule="exact"/>
        <w:rPr>
          <w:rFonts w:ascii="Times New Roman" w:cs="Times New Roman" w:eastAsia="Times New Roman" w:hAnsi="Times New Roman"/>
          <w:sz w:val="19"/>
          <w:szCs w:val="19"/>
          <w:color w:val="auto"/>
        </w:rPr>
      </w:pPr>
    </w:p>
    <w:p>
      <w:pPr>
        <w:ind w:left="280" w:hanging="272"/>
        <w:spacing w:after="0" w:line="269" w:lineRule="auto"/>
        <w:tabs>
          <w:tab w:leader="none" w:pos="29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$161,000 was recorded within restructuring expense in the Consolidated Statement of Net Loss for the six-month period ending October 27, 2024.</w:t>
      </w:r>
    </w:p>
    <w:p>
      <w:pPr>
        <w:spacing w:after="0" w:line="172" w:lineRule="exact"/>
        <w:rPr>
          <w:rFonts w:ascii="Times New Roman" w:cs="Times New Roman" w:eastAsia="Times New Roman" w:hAnsi="Times New Roman"/>
          <w:sz w:val="20"/>
          <w:szCs w:val="20"/>
          <w:color w:val="auto"/>
        </w:rPr>
      </w:pPr>
    </w:p>
    <w:p>
      <w:pPr>
        <w:ind w:left="280" w:right="20" w:hanging="272"/>
        <w:spacing w:after="0" w:line="269" w:lineRule="auto"/>
        <w:tabs>
          <w:tab w:leader="none" w:pos="3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$583,000 total, $482,000 and $101,000 were recorded within restructuring expense and cost of sales, respectively, in the Consolidated Statement of Net Loss for the six-month period ending October 29,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138430</wp:posOffset>
            </wp:positionV>
            <wp:extent cx="102235" cy="1708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138430</wp:posOffset>
            </wp:positionV>
            <wp:extent cx="93980" cy="1708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708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8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19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9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17,172</w:t>
            </w: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9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9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7"/>
                <w:szCs w:val="17"/>
                <w:color w:val="auto"/>
              </w:rPr>
            </w:pPr>
          </w:p>
        </w:tc>
      </w:tr>
      <w:tr>
        <w:trPr>
          <w:trHeight w:val="196"/>
        </w:trPr>
        <w:tc>
          <w:tcPr>
            <w:tcW w:w="4400" w:type="dxa"/>
            <w:vAlign w:val="bottom"/>
            <w:tcBorders>
              <w:bottom w:val="single" w:sz="8" w:color="auto"/>
            </w:tcBorders>
            <w:shd w:val="clear" w:color="auto" w:fill="CFF0FC"/>
          </w:tcPr>
          <w:p>
            <w:pPr>
              <w:spacing w:after="0"/>
              <w:rPr>
                <w:sz w:val="17"/>
                <w:szCs w:val="17"/>
                <w:color w:val="auto"/>
              </w:rPr>
            </w:pPr>
          </w:p>
        </w:tc>
        <w:tc>
          <w:tcPr>
            <w:tcW w:w="29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30,165</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32,170</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14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accounts receivable increased slightly as compared with October 29, 2023. This trend reflects slower cash collections due to an unfavorable mix of customers with longer payment cycles during the second quarter of fiscal 2025, as compared to the prior-year period. As a result, days’sales outstanding for this segment increased to 39 days for the second quarter of fiscal 2025, compared with 36 days for the second quarter of fiscal 2024. However, the increase in accounts receivable from slower cash collections was partially offset by a decrease in net sales of $1.7 million, or 6.4%, during the second quarter of fiscal 2025, as compared to the second quarter of fiscal 2024.</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accounts receivable increased by $843,000, or 7.6%, compared with April 28, 2024. This trend reflects an increase in net sales of $1.8 million, or 7.7%, during the second quarter of fiscal 2025, as compared to the fourth quarter of fiscal 2024. Net sales for the second quarter of fiscal 2025 were $25.6 million, an increase of $1.8 million, or 7.7%, compared with net sales of $23.8 million for the fourth quarter of fiscal 2024. Also, the increase in accounts receivable was attributable to slower cash collections as noted in the preceding paragraph during the second quarter of fiscal 2025, as compared to the fourth quarter of fiscal 2024. As a result, days’sales outstanding for this segment increased to 39 days for the second quarter of fiscal 2025, compared with 37 days for the fourth quarter of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October 27, 2024, inventory decreased by $1.4 million, or 8.1%, compared with October 29, 2023. This decrease in inventory primarily represents the decrease in net sales during the second quarter of fiscal 2025, compared with the prior-year period, as described in the above section titled "Segment Analysis-Upholstery Fabrics-Net Sales."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inventory decreased by $1.3 million, or 7.5%, compared with April 28, 2024. Although net sales for the second quarter of fiscal 2025 increased by $1.8 million, or 7.7%, compared with the fourth quarter of fiscal 2024, this decrease in inventory reflects management's ability to maintain appropriate levels of inventory, taking into account current and expected future demand trends and any changes in our global supply chain.</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5.1 for the second quarter of fiscal 2025, compared with 4.6 for the second quarter of fiscal 2024 and 4.4 for the fourth quarter of fiscal 2024.</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9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October 27, 2024, property, plant, and equipment remained relatively flat compared with October 29, 2023, and April 28, 2024, respectively. This trend is mainly due to a reduced level of capital spending commensurate with current unfavorable macro-economic conditions within the home furnishings industry.</w:t>
      </w:r>
    </w:p>
    <w:p>
      <w:pPr>
        <w:spacing w:after="0" w:line="13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$1.2 million as of October 27, 2024, represents property, plant, and equipment of $1.1 million and $95,000 located in the U.S. and China, respectively. The $1.2 million as of October 29, 2023, represents property, plant, and equipment of $1.0 million and $140,000 located in the U.S. and China, respectively. The $1.1 million as of April 28, 2024, represents property, plant, and equipment of $1.0 million and $120,000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9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October 27, 2024, right of use assets steadily decreased compared with October 29, 2023, and April 28, 2024. This decrease mostly resulted from rent expense incurred over the terms of the existing respective lease agreements and the termination of our agreement to lease a building associated with our upholstery fabrics finishing operation located in Shanghai, China.</w:t>
      </w:r>
    </w:p>
    <w:p>
      <w:pPr>
        <w:spacing w:after="0" w:line="13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$1.1 million as of October 27, 2024, represents right of use assets of $925,000 and $195,000 located in the U.S. and China, respectively. The $2.0 million as of October 29, 2023, represents right of use assets of $1.2 million and $818,000 located in China and the U.S., respectively. The $2.0 million as of April 28, 2024, represents right of use assets of $1.3 million and $709,000 located in China and the U.S.,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Three Months Ended</w:t>
            </w: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9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453"/>
        </w:trPr>
        <w:tc>
          <w:tcPr>
            <w:tcW w:w="4120" w:type="dxa"/>
            <w:vAlign w:val="bottom"/>
            <w:tcBorders>
              <w:top w:val="single" w:sz="8" w:color="auto"/>
              <w:bottom w:val="single" w:sz="8" w:color="auto"/>
            </w:tcBorders>
          </w:tcPr>
          <w:p>
            <w:pPr>
              <w:spacing w:after="0"/>
              <w:rPr>
                <w:sz w:val="24"/>
                <w:szCs w:val="24"/>
                <w:color w:val="auto"/>
              </w:rPr>
            </w:pPr>
          </w:p>
        </w:tc>
        <w:tc>
          <w:tcPr>
            <w:tcW w:w="26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20" w:type="dxa"/>
            <w:vAlign w:val="bottom"/>
          </w:tcPr>
          <w:p>
            <w:pPr>
              <w:spacing w:after="0"/>
              <w:rPr>
                <w:sz w:val="15"/>
                <w:szCs w:val="15"/>
                <w:color w:val="auto"/>
              </w:rPr>
            </w:pPr>
          </w:p>
        </w:tc>
        <w:tc>
          <w:tcPr>
            <w:tcW w:w="2200" w:type="dxa"/>
            <w:vAlign w:val="bottom"/>
            <w:gridSpan w:val="3"/>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rPr>
              <w:t>Six Months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29, 2023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9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(145 )</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282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 ("SG&amp;A")</w:t>
      </w:r>
    </w:p>
    <w:p>
      <w:pPr>
        <w:spacing w:after="0" w:line="233"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second quarter and first half of fiscal 2025, as compared to the second quarter and first half of fiscal 2024, is primarily due to (i) lower incentive compensation that mostly relates to annual bonuses reflecting unfavorable financial results in relation to pre-established performance targets; (ii) lower employee compensation due to the company's restructuring activities described in the section titled "- Segment Analysis-Mattress Fabrics Segment-Restructuring Activities"; and (iii) lower professional and consulting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3"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Interest expense represents our borrowings totaling $4.1 million under a line of credit agreement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The decreases in interest income are due to lower average cash balances during the first two quarters of fiscal 2025, as compared to the first two quarters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 Income</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2" w:right="239" w:bottom="1440" w:gutter="0" w:footer="0" w:header="0"/>
        </w:sectPr>
      </w:pPr>
    </w:p>
    <w:bookmarkStart w:id="46" w:name="page47"/>
    <w:bookmarkEnd w:id="46"/>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4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The change in other expense during the second quarter and first half of fiscal 2025, as compared to other income during the second quarter and first half of fiscal 2024, is due mostly to less favorable foreign currency exchange rates applied against our balance sheet accounts denominated in Chinese Renminbi to determine the corresponding U.S. dollar financial reporting amounts during the second quarter and first half of fiscal 2025, as compared to the prior-year periods. During the second quarter of fiscal 2025, we reported a foreign currency exchange loss associated with our operations located in China totaling $186,000, compared with a foreign currency exchange gain of $228,000 during the second quarter of fiscal 2024. During the first half of fiscal 2025, we reported a foreign currency exchange loss associated with our operations located in China totaling $231,000, compared with a foreign currency exchange gain of $679,000 during the first half of fiscal 2024.</w:t>
      </w:r>
    </w:p>
    <w:p>
      <w:pPr>
        <w:spacing w:after="0" w:line="149"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The $231,000 foreign currency exchange loss related to our operations in China was mostly non-cash and was partially offset by $221,000 of income tax benefit, which will decrease our income tax payments and withholding tax payments associated with future earnings and profits repatriated from our operations located in China to the company's U.S. parent. The income tax benefit of $221,000 was associated with deductible foreign currency exchange losses based on less favorable foreign currency exchange rates applied against balance sheet accounts denominated in U.S. dollars to determine the corresponding Chinese Renminbi local currency amounts. The foreign currency exchange rate gains (losses) related to our U.S. dollar denominated balance sheet accounts associated with our operations located in China are considered taxable income or tax deductible, as we incur income tax expense (benefit) and pay income taxes in China's local currency.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recorded income tax expense of $190,000, or (1.5%) of loss before income taxes, for the six-month period ending October 27, 2024, compared with income tax expense of $1.2 million, or (26.8%) of loss before income taxes, for the six-month period ending October 29, 2023.</w:t>
      </w:r>
    </w:p>
    <w:p>
      <w:pPr>
        <w:spacing w:after="0" w:line="13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six-month periods ended October 27, 2024, and October 29, 2023, were based upon the estimated effective income tax rate applicable for the full year after giving effect to any significant items related specifically to interim periods. When calculating the annual estimated effective income tax rates for the six-month periods ended October 27, 2024, and October 29,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6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six-month periods ending October 27, 2024, and October 29,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368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October 27,</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October 29,</w:t>
            </w:r>
          </w:p>
        </w:tc>
      </w:tr>
      <w:tr>
        <w:trPr>
          <w:trHeight w:val="213"/>
        </w:trPr>
        <w:tc>
          <w:tcPr>
            <w:tcW w:w="60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6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21.0 %</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(18.8 )</w:t>
            </w: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(32.8 )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(losses) gains</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(4.5 )</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(9.9 )</w:t>
            </w: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6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40" w:type="dxa"/>
            <w:vAlign w:val="bottom"/>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40" w:type="dxa"/>
            <w:vAlign w:val="bottom"/>
          </w:tcPr>
          <w:p>
            <w:pPr>
              <w:spacing w:after="0"/>
              <w:rPr>
                <w:sz w:val="17"/>
                <w:szCs w:val="17"/>
                <w:color w:val="auto"/>
              </w:rPr>
            </w:pPr>
          </w:p>
        </w:tc>
      </w:tr>
      <w:tr>
        <w:trPr>
          <w:trHeight w:val="236"/>
        </w:trPr>
        <w:tc>
          <w:tcPr>
            <w:tcW w:w="6020" w:type="dxa"/>
            <w:vAlign w:val="bottom"/>
            <w:tcBorders>
              <w:top w:val="single" w:sz="8" w:color="auto"/>
              <w:bottom w:val="single" w:sz="8" w:color="auto"/>
            </w:tcBorders>
            <w:shd w:val="clear" w:color="auto" w:fill="CFF0FC"/>
          </w:tcPr>
          <w:p>
            <w:pPr>
              <w:spacing w:after="0"/>
              <w:rPr>
                <w:sz w:val="20"/>
                <w:szCs w:val="20"/>
                <w:color w:val="auto"/>
              </w:rPr>
            </w:pP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Our consolidated effective income tax rates for the first half of fiscal 2025 and the first half of fiscal 2024 were both adversely affected by the mix of earnings between our U.S. operations and foreign subsidiaries, as our taxable income stems mostly from our operations located in China, which has a higher income tax rate than the U.S. In addition, during the first half of fiscal 2025 and the first half of 2024, we incurred pre-tax losses associated with our U.S. operations, for which an income tax benefit was not recorded due to a full valuation allowance applied against our U.S. net deferred income tax assets. The income tax charge associated</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6" w:right="29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20"/>
          <w:szCs w:val="20"/>
          <w:color w:val="auto"/>
        </w:rPr>
        <w:t>with the full valuation allowance applied against our U.S. net deferred income tax assets was higher during the first half of fiscal 2025 compared with the first half of fiscal 2024, as our $(12.4) million U.S. pre-tax loss incurred during the first half of fiscal 2025 was significantly greater than the $(5.8) million U.S. pre-tax loss incurred during the first half of fiscal 2024.</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half of fiscal 2025, we incurred a greater consolidated pre-tax loss totaling $(12.7) million, compared with $(4.5) million during the first half of fiscal 2024. As a result, the principal differences between income tax expense at the U.S. federal income tax rate and the effective income tax rate reflected in the consolidated financial statements were more pronounced during the first half of fiscal 2024, as compared with the first half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October 27,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are currently expecting significant U.S. pre-tax losses to continue during fiscal 2025.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Based on our assessments as of October 27, 2024, October 29, 2023, and April 28, 2024,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102870</wp:posOffset>
            </wp:positionV>
            <wp:extent cx="102870" cy="1708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102870</wp:posOffset>
            </wp:positionV>
            <wp:extent cx="93980" cy="1708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102870</wp:posOffset>
            </wp:positionV>
            <wp:extent cx="93980" cy="1708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October 27, 2024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October 29, 2023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18"/>
                <w:szCs w:val="18"/>
                <w:color w:val="auto"/>
              </w:rPr>
            </w:pPr>
          </w:p>
        </w:tc>
      </w:tr>
      <w:tr>
        <w:trPr>
          <w:trHeight w:val="19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21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19,674</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2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auto"/>
            </w:tcBorders>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October 27, 2024,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October 27, 2024, October 29, 2023, and April 28, 2024, we recorded a deferred income tax liability of $5.0 million, $4.6 million, and $4.8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October 29, 2023, and April 28, 2024, we had a $1.4 million, $1.2 million, and $1.3 million total of gross unrecognized income tax benefits, of which the entire amount was classified as income taxes payable – long-term in the accompanying Consolidated Balance Sheets. As of October 27, 2024, the unrecognized tax benefit would favorably affect income tax expense in future periods by $1.4 million.</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gross unrecognized income tax benefit of $1.4 million as of October 27, 2024, relates to income tax positions for which significant change could occur within the next year if the statute of limitations for relevant taxing authorities to examine and challenge the tax position expires.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Six Months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Six Months</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24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146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October 27,</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October 29,</w:t>
            </w:r>
          </w:p>
        </w:tc>
        <w:tc>
          <w:tcPr>
            <w:tcW w:w="0" w:type="dxa"/>
            <w:vAlign w:val="bottom"/>
          </w:tcPr>
          <w:p>
            <w:pPr>
              <w:spacing w:after="0"/>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18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 Transition Tax Payment</w:t>
            </w:r>
          </w:p>
        </w:tc>
        <w:tc>
          <w:tcPr>
            <w:tcW w:w="3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3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80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-161925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Based on the restructuring plan approved by our board of directors on April 29, 2024, the timing and success of the closure of our Canadian operation, along with the sale of associated real estate (the timing and amount of which sales price is currently undetermined), could have a significant effect on (i) the amount and timing of when and if fiscal 2025 income tax payments will be required; (ii) the amount and timing of withholding tax payments to the Canadian government associated with the repatriation of earnings and profits to the U.S. parent; and (iii) the respective tax rates that will be applied on the sale of equipment. Accordingly, we believe we cannot provide a reasonable estimate of our fiscal 2025 income tax payments associated with our Canadian operation at this time.</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are projecting annual cash income tax payments of approximately $1.7 million associated with our operations located in China. This estimate is management's current projection only and can be affected by actual earnings versus annual projections, changes in the foreign exchange rates in relation to the U.S. dollar, and the timing of when we will repatriate earnings and profits from China to our U.S. parent.</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do not expect to incur any income taxes in the U.S. on a cash basis during fiscal 2025 due to (i) the accelerated expensing of U.S. capital expenditures and our existing U.S. federal net operating loss carryforwards totaling $69.6 million as of April 28, 2024. As of October 27, 2024, we will be required to pay a U.S. federal transition tax payment, in accordance with the 2017 Tax Cuts and Jobs Act of $831,000 by August 15,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our sources of liquidity include cash and cash equivalents (collectively, "cash"), cash flow from operations, and amounts available under our revolving credit lines. As of October 27, 2024, we believe our cash of $10.5 million and the current availability under our revolving credit lines totaling $22.6 million will be sufficient to fund our foreseeable business needs, restructuring activities, capital expenditures, commitments, and contractual obligations. Refer to Note 11 of the consolidated financial statements for further information regarding our revolving credit lines.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our cash totaled $10.5 million, which represents a slight increase compared with cash of $10.0 million as of April 28, 2024. This increase was mostly due to $4.0 million in cash proceeds from borrowings on a line of credit associated with our operations located in China and $527,000 in cash proceeds from the sale of equipment associated with our restructuring activities, mostly offset by $1.6 million in capital expenditures and $2.6 million of net cash used in operating activities.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9" w:name="page50"/>
    <w:bookmarkEnd w:id="49"/>
    <w:p>
      <w:pPr>
        <w:jc w:val="both"/>
        <w:spacing w:after="0" w:line="244" w:lineRule="auto"/>
        <w:rPr>
          <w:sz w:val="20"/>
          <w:szCs w:val="20"/>
          <w:color w:val="auto"/>
        </w:rPr>
      </w:pPr>
      <w:r>
        <w:rPr>
          <w:rFonts w:ascii="Times New Roman" w:cs="Times New Roman" w:eastAsia="Times New Roman" w:hAnsi="Times New Roman"/>
          <w:sz w:val="20"/>
          <w:szCs w:val="20"/>
          <w:color w:val="auto"/>
        </w:rPr>
        <w:t>Our net cash used in operating activities was $2.6 million during the first half of fiscal 2025, a decrease of $1.9 million compared with net cash used in operating activities of $4.5 million during the first half of fiscal 2024. This trend mostly reflects (i) an increase in accounts payable due to an increase in inventory purchases from significant vendors who extended their terms during the first half of fiscal 2025 compared with fiscal 2024, partially offset by (ii) an increase in inventory purchases to maintain an appropriate level of inventory during the company's recent restructuring activities, as described above in the section titled “—Segment Analysis—Mattress Fabrics Segment— Restructuring Activities,” and (iii) an increase in accounts receivable primarily due to an increase in net sales during the second quarter of fiscal 2025, as compared to the fourth quarter of fiscal 2024.</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October 27, 2024, we had outstanding borrowings totaling $4.1 million under a line of credit agreement associated with our operations located in China.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Income Taxes Paid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for further detail.</w:t>
      </w:r>
    </w:p>
    <w:p>
      <w:pPr>
        <w:spacing w:after="0" w:line="2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affecting net sales, (ii) supply chain disruptions, (iii) higher interest rates and inflation, (iv) world events (including wars in Ukraine and the Middle East), and (v) the continuing uncertainty associated with COVID-19. These factors could cause delays in receipt of payment on accounts receivable and could increase cash disbursements due to rising prices.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96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October 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October 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vMerge w:val="continue"/>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2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9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29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Vietnam</w:t>
            </w:r>
          </w:p>
        </w:tc>
        <w:tc>
          <w:tcPr>
            <w:tcW w:w="29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2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shd w:val="clear" w:color="auto" w:fill="CFF0FC"/>
          </w:tcPr>
          <w:p>
            <w:pPr>
              <w:spacing w:after="0"/>
              <w:rPr>
                <w:sz w:val="17"/>
                <w:szCs w:val="17"/>
                <w:color w:val="auto"/>
              </w:rPr>
            </w:pPr>
          </w:p>
        </w:tc>
        <w:tc>
          <w:tcPr>
            <w:tcW w:w="29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10,531</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ind w:right="40"/>
        <w:spacing w:after="0" w:line="512" w:lineRule="auto"/>
        <w:rPr>
          <w:sz w:val="20"/>
          <w:szCs w:val="20"/>
          <w:color w:val="auto"/>
        </w:rPr>
      </w:pPr>
      <w:r>
        <w:rPr>
          <w:rFonts w:ascii="Times New Roman" w:cs="Times New Roman" w:eastAsia="Times New Roman" w:hAnsi="Times New Roman"/>
          <w:sz w:val="20"/>
          <w:szCs w:val="20"/>
          <w:color w:val="auto"/>
        </w:rPr>
        <w:t xml:space="preserve">We did not repurchase any shares of common stock during the six month periods ending October 27, 2024, or October 29, 2023, respectively. As of October 27, 2024, $3.2 million is available for additional repurchases of our common stock. </w:t>
      </w:r>
      <w:r>
        <w:rPr>
          <w:rFonts w:ascii="Times New Roman" w:cs="Times New Roman" w:eastAsia="Times New Roman" w:hAnsi="Times New Roman"/>
          <w:sz w:val="20"/>
          <w:szCs w:val="20"/>
          <w:i w:val="1"/>
          <w:iCs w:val="1"/>
          <w:color w:val="auto"/>
        </w:rPr>
        <w:t>Dividends</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On June 29, 2022, our board of directors announced the decision to suspend the company’s quarterly cash dividend. We believed that preserving capital and managing our liquidity were in the company’s best interest to support future growth and the long-term interests of our shareholders. Accordingly, we did not make any dividend payments during the second quarter of fiscal 2025, fiscal 2024, and fiscal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$33.4 million as of October 27, 2024, compared with $38.4 million as of October 29, 2023, and $38.5 million as of April 28, 2024. Operating working capital turnover was 6.0 during the second quarter of fiscal 2025, compared with 5.5 during the second quarter of fiscal 2024 and 5.8 during the fourth quarter of fiscal 2024.</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was $22.3 million as of October 27, 2024, a decrease of $706,000, or 3.1%, compared with $23.0 million as of October 29, 2023. This trend was mostly due to a 5.2% decrease in consolidated nets sales during the second quarter of fiscal 2025, as compared to the second quarter of fiscal 2024. Days’ sales outstanding were 35 days for the second quarter of fiscal 2025, and were slightly higher compared with 34 days for the second quarter of fiscal 2024.</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Accounts receivable as of October 27, 2024, increased $1.2 million, or 5.6%, compared with $21.1 million as of April 28, 2024. This trend was due to a 12.4% increase in net sales during the second quarter of fiscal 2025, as compared to the fourth quarter of fiscal 2024. However, this increase in accounts receivable was partially offset by faster cash collections stemming from improved payment trends with larger customers associated with our mattress fabrics segment during the second quarter of fiscal 2025, compared with the fourth quarter of fiscal 2024. As a result, days’ sales outstanding decreased to 35 days for the second quarter of fiscal 2025, compared with 36 days for the fourth quarter of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Inventory was $45.1 million as of October 27, 2024, and was comparable to $44.5 million and $44.8 million as of October 29, 2023, and April 28, 2024, respectively. This trend represents management's ability to maintain an appropriate level of inventory during the company's recent restructuring plan as described above in the section titled “—Segment Analysis — Mattress Fabrics Segment — Restructuring Activities,” and taking into account current and expected future demand trends and any changes in our global supply chain.</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Inventory turns were 4.5 for the second quarter of fiscal 2025, as compared with 4.6 for the second quarter of fiscal 2024 and 3.9 for the fourth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October 27, 2024, accounts payable - trade was $32.4 million, which represents a significant increase compared with $27.9 million and $25.6 million as of October 29, 2023, and April 28, 2024, respectively. This trend mostly represents an increase in inventory purchases from significant vendors who extended credit terms during the second quarter of fiscal 2025, as compared with the second quarter of fiscal 2024 and the fourth quarter of fiscal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As of October 27, 2024, we had outstanding borrowings totaling $4.1 million under a line of credit agreement associated with our operations located in China. Our loan agreements require, among other things, that we maintain compliance with certain financial covenants. As of October 27, 2024, we were in compliance with these financial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11 of the consolidated financial statements for further disclosure regarding our revolving credit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during the first half of fiscal 2025 totaled $1.6 million, compared with $2.0 million during the first half of fiscal 2024. This level of capital spending reflects reduced capital spending during the current unfavorable macro-economic conditions within the home furnishings and bedding industries.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Depreciation expense was $4.4 million for the first half of fiscal 2025, compared with $3.3 million for the same period a year ago, and was mostly related to our mattress fabrics segment for both periods. In addition, for the first half of fiscal 2025, depreciation expense for the mattress fabrics segment included $1.3 million of additional depreciation expense related to the shortening of useful lives of equipment associated with our manufacturing facility located in Quebec, Canada. This $1.3 million of additional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1" w:name="page52"/>
    <w:bookmarkEnd w:id="5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depreciation expense was classified as restructuring expense in the Consolidated Statement of Net Loss for the six-month period ending October 27, 2024.</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remainder of fiscal 2025, our capital spending will be centered on our mattress fabrics segment, with a strategic focus on capital projects that will increase efficiencies and improve the quality of our products. Funding for capital expenditures is expected to be from cash provided by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27, 2024, we had amounts due regarding capital expenditures totaling $602,000 that pertained to outstanding vendor invoices, none of which were financed. The total amount outstanding of $602,000 is required to be paid based on normal credit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October 27, 2024, we had open purchase commitments to acquire equipment for our mattress fabrics segment totaling $571,000.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October 27, 2024, there were no changes in our significant accounting policies or the application of those policies from those reported in our annual report on Form 10-K for the year ended April 28, 2024.</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fiscal 2024 and continuing through the second quarter of fiscal 2025, raw material costs started to decline due to slowing global demand; however, the cost of labor remained challenging during fiscal 2024 and continuing through the second quarter of fiscal 2025.</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Inflationary pressures also affected consumer spending during fiscal 2024 and continuing through the second quarter of fiscal 2025, causing a slowdown in business in both the mattress industry and the residential home furnishings industry. This slowdown has caused reduced demand from producers of home furnishings for our mattress fabrics and residential upholstery fabrics products during fiscal 2024 and in the second quarter of fiscal 2025.</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2" w:name="page53"/>
    <w:bookmarkEnd w:id="52"/>
    <w:p>
      <w:pPr>
        <w:ind w:right="3700"/>
        <w:spacing w:after="0" w:line="450" w:lineRule="auto"/>
        <w:rPr>
          <w:sz w:val="20"/>
          <w:szCs w:val="20"/>
          <w:color w:val="auto"/>
        </w:rPr>
      </w:pPr>
      <w:r>
        <w:rPr>
          <w:rFonts w:ascii="Times New Roman" w:cs="Times New Roman" w:eastAsia="Times New Roman" w:hAnsi="Times New Roman"/>
          <w:sz w:val="20"/>
          <w:szCs w:val="20"/>
          <w:u w:val="single" w:color="auto"/>
          <w:color w:val="auto"/>
        </w:rPr>
        <w:t xml:space="preserve">ITEM 3. QUANTITATIVE AND QUALITATIVE DISCLOSURES ABOUT MARKET RISK </w:t>
      </w:r>
      <w:r>
        <w:rPr>
          <w:rFonts w:ascii="Times New Roman" w:cs="Times New Roman" w:eastAsia="Times New Roman" w:hAnsi="Times New Roman"/>
          <w:sz w:val="20"/>
          <w:szCs w:val="20"/>
          <w:i w:val="1"/>
          <w:iCs w:val="1"/>
          <w:color w:val="auto"/>
        </w:rPr>
        <w:t>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on our revolving credit agreements.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to establish an asset-based revolving credit facility that required interest to be charged at a rate calculated using an applicable margin over Federal Reserve Bank of New York's secured overnight fund rate (SOFR), as defined in the Amended Agreement. The interest rate under the Amended Agreement as of October 27, 2024, was 6.33%. As of October 27, 2024, there were no outstanding borrowings under the Amended Agreement.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March 20, 2024, we entered into an unsecured credit agreement with a financial institution in China denominated in RMB that requires interest to be charged at a rate based on the Loan Prime Rate ("LPR") in China minus 50 basis points (2.60% as of October 27, 2024). There were outstanding borrowings under this agreement totaling $4.1 million as of October 27, 2024.</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5, 2024, we entered into an unsecured credit agreement with another financial institution in China denominated in RMB that requires interest to be charged at a rate based on the Loan Prime Rate ("LPR") in China minus 50 basis points (2.60% as of October 27, 2024). There were no outstanding borrowings under this agreement as of October 27,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October 27, 2024, would not have materially affected our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October 27, 2024,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October 27,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October 27, 2024. Our legal proceedings are disclosed in the company’s annual report on Form 10-K filed with the Securities and Exchange Commission on July 12, 2024, for the fiscal year ended April 28,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October 27, 2024. Our risk factors are disclosed in Item 1A “Risk Factors” of the company’s annual report on Form 10-K filed with the Securities and Exchange Commission on July 12, 2024, for the fiscal year ended April 28,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3"/>
                <w:szCs w:val="13"/>
                <w:color w:val="auto"/>
                <w:w w:val="96"/>
              </w:rPr>
              <w:t>(c)</w:t>
            </w:r>
          </w:p>
        </w:tc>
        <w:tc>
          <w:tcPr>
            <w:tcW w:w="14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color w:val="auto"/>
                <w:w w:val="92"/>
              </w:rPr>
              <w: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Total Number of</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Approximate</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6"/>
              </w:rPr>
              <w:t>(a)</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Dollar Value of</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Total</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rPr>
              <w:t>(b)</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7"/>
              </w:rPr>
              <w:t>as Part of</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Shares that May</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tcPr>
          <w:p>
            <w:pPr>
              <w:spacing w:after="0"/>
              <w:rPr>
                <w:sz w:val="17"/>
                <w:szCs w:val="17"/>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Number</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w w:val="95"/>
              </w:rPr>
              <w:t>Average</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Publicly</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Yet Be Purchased</w:t>
            </w:r>
          </w:p>
        </w:tc>
        <w:tc>
          <w:tcPr>
            <w:tcW w:w="0" w:type="dxa"/>
            <w:vAlign w:val="bottom"/>
          </w:tcPr>
          <w:p>
            <w:pPr>
              <w:spacing w:after="0"/>
              <w:rPr>
                <w:sz w:val="1"/>
                <w:szCs w:val="1"/>
                <w:color w:val="auto"/>
              </w:rPr>
            </w:pPr>
          </w:p>
        </w:tc>
      </w:tr>
      <w:tr>
        <w:trPr>
          <w:trHeight w:val="203"/>
        </w:trPr>
        <w:tc>
          <w:tcPr>
            <w:tcW w:w="5640" w:type="dxa"/>
            <w:vAlign w:val="bottom"/>
            <w:tcBorders>
              <w:left w:val="single" w:sz="8" w:color="auto"/>
              <w:right w:val="single" w:sz="8" w:color="auto"/>
            </w:tcBorders>
            <w:vMerge w:val="restart"/>
          </w:tcPr>
          <w:p>
            <w:pPr>
              <w:ind w:left="2620"/>
              <w:spacing w:after="0"/>
              <w:rPr>
                <w:sz w:val="20"/>
                <w:szCs w:val="20"/>
                <w:color w:val="auto"/>
              </w:rPr>
            </w:pPr>
            <w:r>
              <w:rPr>
                <w:rFonts w:ascii="Times New Roman" w:cs="Times New Roman" w:eastAsia="Times New Roman" w:hAnsi="Times New Roman"/>
                <w:sz w:val="16"/>
                <w:szCs w:val="16"/>
                <w:color w:val="auto"/>
              </w:rPr>
              <w:t>Period</w:t>
            </w: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of Shares</w:t>
            </w:r>
          </w:p>
        </w:tc>
        <w:tc>
          <w:tcPr>
            <w:tcW w:w="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7"/>
              </w:rPr>
              <w:t>Price Paid</w:t>
            </w:r>
          </w:p>
        </w:tc>
        <w:tc>
          <w:tcPr>
            <w:tcW w:w="140" w:type="dxa"/>
            <w:vAlign w:val="bottom"/>
            <w:tcBorders>
              <w:right w:val="single" w:sz="8" w:color="auto"/>
            </w:tcBorders>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Announced Plans</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Under the Plans or</w:t>
            </w:r>
          </w:p>
        </w:tc>
        <w:tc>
          <w:tcPr>
            <w:tcW w:w="0" w:type="dxa"/>
            <w:vAlign w:val="bottom"/>
          </w:tcPr>
          <w:p>
            <w:pPr>
              <w:spacing w:after="0"/>
              <w:rPr>
                <w:sz w:val="1"/>
                <w:szCs w:val="1"/>
                <w:color w:val="auto"/>
              </w:rPr>
            </w:pPr>
          </w:p>
        </w:tc>
      </w:tr>
      <w:tr>
        <w:trPr>
          <w:trHeight w:val="191"/>
        </w:trPr>
        <w:tc>
          <w:tcPr>
            <w:tcW w:w="5640" w:type="dxa"/>
            <w:vAlign w:val="bottom"/>
            <w:tcBorders>
              <w:left w:val="single" w:sz="8" w:color="auto"/>
              <w:right w:val="single" w:sz="8" w:color="auto"/>
            </w:tcBorders>
            <w:vMerge w:val="continue"/>
          </w:tcPr>
          <w:p>
            <w:pPr>
              <w:spacing w:after="0"/>
              <w:rPr>
                <w:sz w:val="16"/>
                <w:szCs w:val="16"/>
                <w:color w:val="auto"/>
              </w:rPr>
            </w:pPr>
          </w:p>
        </w:tc>
        <w:tc>
          <w:tcPr>
            <w:tcW w:w="106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7"/>
              </w:rPr>
              <w:t>Purchased</w:t>
            </w:r>
          </w:p>
        </w:tc>
        <w:tc>
          <w:tcPr>
            <w:tcW w:w="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6"/>
              </w:rPr>
              <w:t>per Share</w:t>
            </w:r>
          </w:p>
        </w:tc>
        <w:tc>
          <w:tcPr>
            <w:tcW w:w="140" w:type="dxa"/>
            <w:vAlign w:val="bottom"/>
            <w:tcBorders>
              <w:right w:val="single" w:sz="8" w:color="auto"/>
            </w:tcBorders>
          </w:tcPr>
          <w:p>
            <w:pPr>
              <w:spacing w:after="0"/>
              <w:rPr>
                <w:sz w:val="16"/>
                <w:szCs w:val="16"/>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or Programs</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Programs (1)</w:t>
            </w:r>
          </w:p>
        </w:tc>
        <w:tc>
          <w:tcPr>
            <w:tcW w:w="0" w:type="dxa"/>
            <w:vAlign w:val="bottom"/>
          </w:tcPr>
          <w:p>
            <w:pPr>
              <w:spacing w:after="0"/>
              <w:rPr>
                <w:sz w:val="1"/>
                <w:szCs w:val="1"/>
                <w:color w:val="auto"/>
              </w:rPr>
            </w:pPr>
          </w:p>
        </w:tc>
      </w:tr>
      <w:tr>
        <w:trPr>
          <w:trHeight w:val="196"/>
        </w:trPr>
        <w:tc>
          <w:tcPr>
            <w:tcW w:w="564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July 29, 2024 to September 1, 2024</w:t>
            </w: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September 2, 2024 to September 29, 2024</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September 30, 2024 to October 27, 2024</w:t>
            </w:r>
          </w:p>
        </w:tc>
        <w:tc>
          <w:tcPr>
            <w:tcW w:w="10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-419100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-419100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-419100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-145415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-145415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5.</w:t>
      </w:r>
      <w:r>
        <w:rPr>
          <w:sz w:val="20"/>
          <w:szCs w:val="20"/>
          <w:color w:val="auto"/>
        </w:rPr>
        <w:tab/>
      </w:r>
      <w:r>
        <w:rPr>
          <w:rFonts w:ascii="Times New Roman" w:cs="Times New Roman" w:eastAsia="Times New Roman" w:hAnsi="Times New Roman"/>
          <w:sz w:val="19"/>
          <w:szCs w:val="19"/>
          <w:color w:val="auto"/>
        </w:rPr>
        <w:t>Other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October 27, 2024,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301" w:lineRule="exact"/>
        <w:rPr>
          <w:sz w:val="20"/>
          <w:szCs w:val="20"/>
          <w:color w:val="auto"/>
        </w:rPr>
      </w:pPr>
    </w:p>
    <w:p>
      <w:pPr>
        <w:ind w:left="740" w:right="80" w:hanging="543"/>
        <w:spacing w:after="0" w:line="269" w:lineRule="auto"/>
        <w:tabs>
          <w:tab w:leader="none" w:pos="7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3.1</w:t>
      </w:r>
      <w:r>
        <w:rPr>
          <w:sz w:val="20"/>
          <w:szCs w:val="20"/>
          <w:color w:val="auto"/>
        </w:rPr>
        <w:tab/>
      </w:r>
      <w:hyperlink r:id="rId259">
        <w:r>
          <w:rPr>
            <w:rFonts w:ascii="Times New Roman" w:cs="Times New Roman" w:eastAsia="Times New Roman" w:hAnsi="Times New Roman"/>
            <w:sz w:val="20"/>
            <w:szCs w:val="20"/>
            <w:u w:val="single" w:color="auto"/>
            <w:color w:val="0000FF"/>
          </w:rPr>
          <w:t>Amended and Restated Bylaws effective as of September 26, 2024, were filed as Exhibit 3.1 to the Current Report on</w:t>
        </w:r>
      </w:hyperlink>
      <w:r>
        <w:rPr>
          <w:rFonts w:ascii="Times New Roman" w:cs="Times New Roman" w:eastAsia="Times New Roman" w:hAnsi="Times New Roman"/>
          <w:sz w:val="20"/>
          <w:szCs w:val="20"/>
          <w:u w:val="single" w:color="auto"/>
          <w:color w:val="0000FF"/>
        </w:rPr>
        <w:t xml:space="preserve"> </w:t>
      </w:r>
      <w:hyperlink r:id="rId259">
        <w:r>
          <w:rPr>
            <w:rFonts w:ascii="Times New Roman" w:cs="Times New Roman" w:eastAsia="Times New Roman" w:hAnsi="Times New Roman"/>
            <w:sz w:val="20"/>
            <w:szCs w:val="20"/>
            <w:u w:val="single" w:color="auto"/>
            <w:color w:val="0000FF"/>
          </w:rPr>
          <w:t>Form 8-K filed September 27, 2024 (Commission File No. 001-12597),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-192405</wp:posOffset>
            </wp:positionV>
            <wp:extent cx="59397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5939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59836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4"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0000FF"/>
        </w:rPr>
        <w:t>Form of Annual Incentive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22910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291080" cy="8890"/>
                    </a:xfrm>
                    <a:prstGeom prst="rect">
                      <a:avLst/>
                    </a:prstGeom>
                    <a:noFill/>
                  </pic:spPr>
                </pic:pic>
              </a:graphicData>
            </a:graphic>
          </wp:anchor>
        </w:drawing>
      </w:r>
    </w:p>
    <w:p>
      <w:pPr>
        <w:spacing w:after="0" w:line="61" w:lineRule="exact"/>
        <w:rPr>
          <w:sz w:val="20"/>
          <w:szCs w:val="20"/>
          <w:color w:val="auto"/>
        </w:rPr>
      </w:pPr>
    </w:p>
    <w:p>
      <w:pPr>
        <w:ind w:left="740" w:hanging="642"/>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0000FF"/>
        </w:rPr>
        <w:t>Form of Restricted Stock Unit Award Agreement for restricted stock units granted to executive officers pursuant to the Amended and Restated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-192405</wp:posOffset>
            </wp:positionV>
            <wp:extent cx="59944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5994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27876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787650" cy="8890"/>
                    </a:xfrm>
                    <a:prstGeom prst="rect">
                      <a:avLst/>
                    </a:prstGeom>
                    <a:noFill/>
                  </pic:spPr>
                </pic:pic>
              </a:graphicData>
            </a:graphic>
          </wp:anchor>
        </w:drawing>
      </w:r>
    </w:p>
    <w:p>
      <w:pPr>
        <w:spacing w:after="0" w:line="45"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57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95732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Rule 13a-14(a)/15d-14(a)</w:t>
      </w:r>
      <w:r>
        <w:rPr>
          <w:rFonts w:ascii="Times New Roman" w:cs="Times New Roman" w:eastAsia="Times New Roman" w:hAnsi="Times New Roman"/>
          <w:sz w:val="15"/>
          <w:szCs w:val="15"/>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9166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91668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u w:val="single" w:color="auto"/>
          <w:color w:val="0000FF"/>
        </w:rPr>
        <w:t>Certification of Chief Executive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569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856990" cy="8255"/>
                    </a:xfrm>
                    <a:prstGeom prst="rect">
                      <a:avLst/>
                    </a:prstGeom>
                    <a:noFill/>
                  </pic:spPr>
                </pic:pic>
              </a:graphicData>
            </a:graphic>
          </wp:anchor>
        </w:drawing>
      </w:r>
    </w:p>
    <w:p>
      <w:pPr>
        <w:spacing w:after="0" w:line="61" w:lineRule="exact"/>
        <w:rPr>
          <w:sz w:val="20"/>
          <w:szCs w:val="20"/>
          <w:color w:val="auto"/>
        </w:rPr>
      </w:pPr>
    </w:p>
    <w:p>
      <w:pPr>
        <w:ind w:left="100"/>
        <w:spacing w:after="0"/>
        <w:tabs>
          <w:tab w:leader="none" w:pos="8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0000FF"/>
        </w:rPr>
        <w:t>Certification of Chief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-10795</wp:posOffset>
            </wp:positionV>
            <wp:extent cx="38220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82206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Inline XBRL Taxonomy Extension Calculation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Inline XBRL Taxonomy Extension Presentation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2260" w:right="1600" w:hanging="2252"/>
        <w:spacing w:after="0" w:line="269" w:lineRule="auto"/>
        <w:tabs>
          <w:tab w:leader="none" w:pos="9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089" w:right="12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CULP, INC.</w:t>
            </w:r>
          </w:p>
        </w:tc>
      </w:tr>
      <w:tr>
        <w:trPr>
          <w:trHeight w:val="262"/>
        </w:trPr>
        <w:tc>
          <w:tcPr>
            <w:tcW w:w="3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426"/>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6, 2024</w:t>
            </w:r>
          </w:p>
        </w:tc>
        <w:tc>
          <w:tcPr>
            <w:tcW w:w="7440" w:type="dxa"/>
            <w:vAlign w:val="bottom"/>
            <w:gridSpan w:val="2"/>
          </w:tcPr>
          <w:p>
            <w:pPr>
              <w:ind w:left="1860"/>
              <w:spacing w:after="0"/>
              <w:rPr>
                <w:sz w:val="20"/>
                <w:szCs w:val="20"/>
                <w:color w:val="auto"/>
              </w:rPr>
            </w:pPr>
            <w:r>
              <w:rPr>
                <w:rFonts w:ascii="Times New Roman" w:cs="Times New Roman" w:eastAsia="Times New Roman" w:hAnsi="Times New Roman"/>
                <w:sz w:val="20"/>
                <w:szCs w:val="20"/>
                <w:color w:val="auto"/>
              </w:rPr>
              <w:t>By:   /s/ Kenneth R. Bowling</w:t>
            </w:r>
          </w:p>
        </w:tc>
      </w:tr>
      <w:tr>
        <w:trPr>
          <w:trHeight w:val="200"/>
        </w:trPr>
        <w:tc>
          <w:tcPr>
            <w:tcW w:w="3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Kenneth R. Bowling</w:t>
            </w:r>
          </w:p>
        </w:tc>
      </w:tr>
      <w:tr>
        <w:trPr>
          <w:trHeight w:val="230"/>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29"/>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w w:val="99"/>
              </w:rPr>
              <w:t>(Authorized to sign on behalf of the registrant and also signing</w:t>
            </w:r>
          </w:p>
        </w:tc>
      </w:tr>
      <w:tr>
        <w:trPr>
          <w:trHeight w:val="258"/>
        </w:trPr>
        <w:tc>
          <w:tcPr>
            <w:tcW w:w="3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as 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INCENTIVE AWARD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THIS ANNUAL INCENTIVE AWARD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_______________,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between </w:t>
      </w: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an Annual Incentive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Award</w:t>
      </w:r>
      <w:r>
        <w:rPr>
          <w:rFonts w:ascii="Times New Roman" w:cs="Times New Roman" w:eastAsia="Times New Roman" w:hAnsi="Times New Roman"/>
          <w:sz w:val="22"/>
          <w:szCs w:val="22"/>
          <w:color w:val="auto"/>
        </w:rPr>
        <w:t>. The Corporation hereby grants to Recipient the Award described below.</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Award will pay an incentive bonus for the Performance Period stated below to Recipient upon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Corporation’s board of directors that a bonus payment is due pursuant to the terms of this Agreement and the Plan.</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bonus payment due hereunder is calculated with reference to the Total Bonus Percentage for the Reporting Unit in which Recipient participates. The bonus due to Recipient is the Total Bonus Percentage for Recipient’s Reporting Unit multiplied by Recipient’s Bonus Opportunity, as such terms are defined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attached 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Corporation’s fiscal year ending ________.</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w:t>
      </w:r>
    </w:p>
    <w:p>
      <w:pPr>
        <w:spacing w:after="0" w:line="206" w:lineRule="exact"/>
        <w:rPr>
          <w:sz w:val="20"/>
          <w:szCs w:val="20"/>
          <w:color w:val="auto"/>
        </w:rPr>
      </w:pPr>
    </w:p>
    <w:p>
      <w:pPr>
        <w:ind w:left="76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Bonus Opportunity</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Recipient’s Bonus Opportunity is _____% of Recipient’s base salary during the Performance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maximum Total Bonus Percentage for this award for each Reporting Unit is 200%. In addition, the Committee shall have the authority to, in its discretion, reduce the amount of any Recipient’s bonus payment based upon any considerations the Committee deems relevant.</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 The bonus amount to be paid hereunder will vest and become payable upon final determination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amount to be paid by the Corporation and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determination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the applicable Performance Period, then the bonus amount to be paid hereunder will not vest and become payable until after such filing is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925195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57" w:name="page58"/>
    <w:bookmarkEnd w:id="57"/>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all unvested Awards (and a bonus payment at Recipient’s Bonus Opportunity) shall immediately vest and become payable upon the occurrence of the following:</w:t>
      </w:r>
    </w:p>
    <w:p>
      <w:pPr>
        <w:spacing w:after="0" w:line="158" w:lineRule="exact"/>
        <w:rPr>
          <w:sz w:val="20"/>
          <w:szCs w:val="20"/>
          <w:color w:val="auto"/>
        </w:rPr>
      </w:pPr>
    </w:p>
    <w:p>
      <w:pPr>
        <w:ind w:left="2040" w:hanging="535"/>
        <w:spacing w:after="0"/>
        <w:tabs>
          <w:tab w:leader="none" w:pos="20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in anticipation of a Change of Control, or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18-month period following such Change of Control (provided that the bonus payment provided for hereunder shall have not already become due and been paid):</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54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left="1500" w:firstLine="754"/>
        <w:spacing w:after="0" w:line="258" w:lineRule="auto"/>
        <w:tabs>
          <w:tab w:leader="none" w:pos="254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any of the foregoing triggering events occurs after the end of the Performance Period but prior to the vesting of the Awards, then the amount of the bonus payment to Recipient shall be the amount that would be due hereunder based on the performance of the Recipient’s Reporting Unit calculated in accordance with the Bonus Percentages set forth in </w:t>
      </w:r>
      <w:r>
        <w:rPr>
          <w:rFonts w:ascii="Times New Roman" w:cs="Times New Roman" w:eastAsia="Times New Roman" w:hAnsi="Times New Roman"/>
          <w:sz w:val="22"/>
          <w:szCs w:val="22"/>
          <w:b w:val="1"/>
          <w:bCs w:val="1"/>
          <w:color w:val="auto"/>
        </w:rPr>
        <w:t>Schedule A</w:t>
      </w:r>
      <w:r>
        <w:rPr>
          <w:rFonts w:ascii="Times New Roman" w:cs="Times New Roman" w:eastAsia="Times New Roman" w:hAnsi="Times New Roman"/>
          <w:sz w:val="22"/>
          <w:szCs w:val="22"/>
          <w:color w:val="auto"/>
        </w:rPr>
        <w:t xml:space="preserve"> hereto (i.e., it shall not be paid at Recipient’s Bonus Opportunity, but shall be paid based on the Total Bonus Percentage for Recipient’s Reporting Unit multiplied by Recipient’s Bonus Opportunity), and such award shall not vest and become payable until final determination of the amount to be paid by the Corporation and the Committee (or, if such determination is made prior to the Corporation’s filing with the SEC of its annual report on Form 10-K that relates to the financial results for the applicable Performance Period, then after such filing is complete).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ind w:left="7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any Financial Reporting Measure of a 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a sale of all or substantially all of the assets of such Division by the Corporation to an unaffiliated third party.</w:t>
      </w:r>
    </w:p>
    <w:p>
      <w:pPr>
        <w:spacing w:after="0" w:line="20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w:t>
      </w:r>
    </w:p>
    <w:p>
      <w:pPr>
        <w:spacing w:after="0" w:line="158" w:lineRule="exact"/>
        <w:rPr>
          <w:rFonts w:ascii="Times New Roman" w:cs="Times New Roman" w:eastAsia="Times New Roman" w:hAnsi="Times New Roman"/>
          <w:sz w:val="22"/>
          <w:szCs w:val="22"/>
          <w:color w:val="auto"/>
        </w:rPr>
      </w:pPr>
    </w:p>
    <w:p>
      <w:pPr>
        <w:ind w:right="20" w:firstLine="745"/>
        <w:spacing w:after="0" w:line="258"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Corporation’s financial statements, and all other measures that are derived wholly or in part from such measures. Stock price and total shareholder return (and any measures that are derived wholly or in part from stock price or total shareholder return) shall for purposes of this Agreement be considered Financial Reporting Measures. For the avoidance of doubt, a measure need not be presented in the Corporation’s financial statements or included in a filing with the SEC in order to be considered a Financial Reporting Measure.</w:t>
      </w:r>
    </w:p>
    <w:p>
      <w:pPr>
        <w:spacing w:after="0" w:line="3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546735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59" w:name="page60"/>
    <w:bookmarkEnd w:id="59"/>
    <w:p>
      <w:pPr>
        <w:ind w:left="7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3.Settlement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As soon as reasonably practicable following (i) a determination by the Corporation and the Committee that a bonus payment is due hereunder and (ii) the Corporation’s filing with the SEC of its annual report on Form 10-K that relates to the financial results for the applicable Performance Period of the Award, the bonus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Section 4.Forfeiture</w:t>
      </w:r>
      <w:r>
        <w:rPr>
          <w:rFonts w:ascii="Times New Roman" w:cs="Times New Roman" w:eastAsia="Times New Roman" w:hAnsi="Times New Roman"/>
          <w:sz w:val="22"/>
          <w:szCs w:val="22"/>
          <w:color w:val="auto"/>
        </w:rPr>
        <w:t>. All bonus amounts that do not vest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shall automatically be cancelled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forfeited by Recipient effective as of the earlier to occur of (a) the first day after the end of the Performance Period (to the extent that none of Adjusted Operating Income, Adjusted Operating Cash Flow, or Net Sales for the relevant Reporting Unit is sufficient to cause any bonus payment to vest pursuant to the terms of this Agreement), (b) the date on which the Committee determines in its discretion as set forth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 xml:space="preserve"> that no bonus is payable pursuant to this Agreement, (c)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(d)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bonus amounts shall automatically, without further action by the Corporation or Recipient, be cancelled and forfeited.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5.Tax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firstLine="745"/>
        <w:spacing w:after="0" w:line="238" w:lineRule="auto"/>
        <w:tabs>
          <w:tab w:leader="none" w:pos="20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promptly pay to the Corporation all federal, state and local income, social security and payroll taxes of any kind required by law to be withheld with respect to the vesting or payment of a bonus hereunder, and the Corporation, to the extent permitted by law, have the right to deduct from any payment of any kind otherwise due to Recipient all federal, state and local income, social security and payroll taxes of any kind required by law to be withheld with respect to the vesting or payment of a bonus earned hereunder.</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5"/>
        <w:spacing w:after="0" w:line="236" w:lineRule="auto"/>
        <w:tabs>
          <w:tab w:leader="none" w:pos="12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Corporation’s reported financial or operating results become subject to a material negative restatement, the Committee, in its discretion,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6(a) must be made, if at all, within five years after the date the amount claimed was originally vested or paid, whichever is later.</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 “Clawback Policy”), if the Committee determines that recoupment of compensation paid hereunder is required pursuant to the Clawback Policy, the Committee will require Recipient to repay or return compensation awarded hereunder. By acceptance of any Award or bonus payment hereunder, Recipient expressly acknowledges and agrees that any and all amounts paid to Recipient hereunder, and any other Incentive-Based Compensation paid by the Corporation to the Recipient, are and will be fully subject to the terms of the Clawback Policy (provided that Recipient is, or becomes, an individual that is subject to the Clawback Policy) and agrees to cooperate fully with the Corporation to facilitate the recovery of any and all amounts paid pursuant to this Agreement and any other Incentive-Based Compensation paid by the Corporation that the Committee determines in its sole discretion is required to be recovered pursuant to the terms of the Clawback Policy.</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obligations of Recipient to make payments or return bonus amounts paid hereunder pursuant to this Section 6(a) are independent of any involvement by such Recipient in events that led to the restatement. The provisions of this Section 6(a) are in addition to, not in lieu of, any remedies that the Corporation may have against any persons whose misconduct caused or contributed to a need to restate the Corporation’s reported results.</w:t>
      </w:r>
    </w:p>
    <w:p>
      <w:pPr>
        <w:spacing w:after="0" w:line="180" w:lineRule="exact"/>
        <w:rPr>
          <w:sz w:val="20"/>
          <w:szCs w:val="20"/>
          <w:color w:val="auto"/>
        </w:rPr>
      </w:pPr>
    </w:p>
    <w:p>
      <w:pPr>
        <w:jc w:val="both"/>
        <w:ind w:firstLine="745"/>
        <w:spacing w:after="0" w:line="249" w:lineRule="auto"/>
        <w:tabs>
          <w:tab w:leader="none" w:pos="128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w:t>
      </w:r>
    </w:p>
    <w:p>
      <w:pPr>
        <w:spacing w:after="0" w:line="3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546735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22"/>
          <w:szCs w:val="22"/>
          <w:color w:val="auto"/>
        </w:rPr>
        <w:t>Agreement, then the Committee may require Recipient to pay to the Corporation an amount corresponding to each award that vested or was paid to Recipient pursuant to this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By acceptance of any Award or bonus payment hereunder, Recipient expressly acknowledges and agrees that any and all amounts paid to Recipient hereunder are and will be fully subject to the terms of the foregoing clawback provisions, and agrees to cooperate fully with the Corporation to facilitate the recovery of any such amounts that the Committee requires to be recovered pursuant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5"/>
        <w:spacing w:after="0" w:line="246"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Award granted hereunder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jc w:val="both"/>
        <w:ind w:firstLine="745"/>
        <w:spacing w:after="0" w:line="238"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Award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firstLine="745"/>
        <w:spacing w:after="0" w:line="262"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 of the Corporation or any of its Subsidiaries.</w:t>
      </w:r>
    </w:p>
    <w:p>
      <w:pPr>
        <w:spacing w:after="0" w:line="149"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75" w:lineRule="exact"/>
        <w:rPr>
          <w:rFonts w:ascii="Times New Roman" w:cs="Times New Roman" w:eastAsia="Times New Roman" w:hAnsi="Times New Roman"/>
          <w:sz w:val="22"/>
          <w:szCs w:val="22"/>
          <w:color w:val="auto"/>
        </w:rPr>
      </w:pPr>
    </w:p>
    <w:p>
      <w:pPr>
        <w:jc w:val="both"/>
        <w:ind w:firstLine="745"/>
        <w:spacing w:after="0" w:line="246" w:lineRule="auto"/>
        <w:tabs>
          <w:tab w:leader="none" w:pos="12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Attention: Compensation Committee, and any notice hereunder to Recipient shall be addressed to Recipient at his last address in the</w:t>
      </w:r>
    </w:p>
    <w:p>
      <w:pPr>
        <w:spacing w:after="0" w:line="3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546735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2" w:name="page63"/>
    <w:bookmarkEnd w:id="62"/>
    <w:p>
      <w:pPr>
        <w:jc w:val="both"/>
        <w:spacing w:after="0" w:line="239" w:lineRule="auto"/>
        <w:rPr>
          <w:sz w:val="20"/>
          <w:szCs w:val="20"/>
          <w:color w:val="auto"/>
        </w:rPr>
      </w:pPr>
      <w:r>
        <w:rPr>
          <w:rFonts w:ascii="Times New Roman" w:cs="Times New Roman" w:eastAsia="Times New Roman" w:hAnsi="Times New Roman"/>
          <w:sz w:val="22"/>
          <w:szCs w:val="22"/>
          <w:color w:val="auto"/>
        </w:rPr>
        <w:t>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8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15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546735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140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-13970</wp:posOffset>
            </wp:positionV>
            <wp:extent cx="13716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-22860</wp:posOffset>
            </wp:positionV>
            <wp:extent cx="10972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-29210</wp:posOffset>
            </wp:positionV>
            <wp:extent cx="10972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416560</wp:posOffset>
            </wp:positionV>
            <wp:extent cx="16459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3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546735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THIS RESTRICTED STOCK UNIT AGREEMENT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_________________________,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is between </w:t>
      </w: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 a North Carolina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_________________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Statement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The Corporation desires to grant to Recipient Restricted Stock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pursuant to the Culp, Inc. Amended and Restated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Capitalized terms used but not defined in this Agreement shall have the meanings given to them in the Plan.</w:t>
      </w:r>
    </w:p>
    <w:p>
      <w:pPr>
        <w:spacing w:after="0" w:line="1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1.Grant of Units</w:t>
      </w:r>
      <w:r>
        <w:rPr>
          <w:rFonts w:ascii="Times New Roman" w:cs="Times New Roman" w:eastAsia="Times New Roman" w:hAnsi="Times New Roman"/>
          <w:sz w:val="22"/>
          <w:szCs w:val="22"/>
          <w:color w:val="auto"/>
        </w:rPr>
        <w:t>. On 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the Corporation hereby grants to Recipient ______</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Units, all of which shall vest in accordance with Section 2 herein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Performance-Based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upon a final determination by the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of the satisfaction of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set forth herein and the number of Performance-Based Units that have vested in connection therewith, in each case pursuant to the terms set forth in this Agreement and the Plan. Each Performance-Based Unit shall entitle Recipient to receive, upon vesting thereof in accordance with this Agreement and the Plan, up to two shares of common stock, par value $0.05 per share, of the Corporation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Except as permitted by the Plan, the Units may not be 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 The Units are granted to the Recipient in connection with Recipient’s employment with the Corporation.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2.Vesting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760" w:firstLine="745"/>
        <w:spacing w:after="0" w:line="235" w:lineRule="auto"/>
        <w:tabs>
          <w:tab w:leader="none" w:pos="2048"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Units</w:t>
      </w:r>
      <w:r>
        <w:rPr>
          <w:rFonts w:ascii="Times New Roman" w:cs="Times New Roman" w:eastAsia="Times New Roman" w:hAnsi="Times New Roman"/>
          <w:sz w:val="22"/>
          <w:szCs w:val="22"/>
          <w:color w:val="auto"/>
        </w:rPr>
        <w:t xml:space="preserve">. Except as may otherwise be provided in the Plan or this Agreement, the Performance-Based Units shall vest, if at all, based on the formula set forth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which sets out the Cumulative Adjusted Operating Income goals for the Reporting Unit and application of the TSR Moderator as set forth therein. Each Performance-Based Unit, if it vests, grants the Recipient the conditional right to receive, without payment and pursuant to and subject to the terms and conditions set forth in this Agreement and in the Plan, between zero and two shares of Common Stock, depending upon the performance of the Reporting Unit during the Performance Period and application of the TSR Moderator as set forth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183" w:lineRule="exact"/>
        <w:rPr>
          <w:rFonts w:ascii="Times New Roman" w:cs="Times New Roman" w:eastAsia="Times New Roman" w:hAnsi="Times New Roman"/>
          <w:sz w:val="22"/>
          <w:szCs w:val="22"/>
          <w:u w:val="single" w:color="auto"/>
          <w:color w:val="auto"/>
        </w:rPr>
      </w:pPr>
    </w:p>
    <w:p>
      <w:pPr>
        <w:jc w:val="both"/>
        <w:ind w:left="760" w:firstLine="745"/>
        <w:spacing w:after="0" w:line="244" w:lineRule="auto"/>
        <w:tabs>
          <w:tab w:leader="none" w:pos="20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determination of whether, and the extent to which, the performance goals have been satisfied with respect to the Performance-Based Units, including the applicability of any modifiers as set forth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 will be made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5" w:name="page66"/>
    <w:bookmarkEnd w:id="65"/>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 xml:space="preserve">Committee in its sole and absolute discretion, following the end of the Performance Period, pursuant to the terms set forth in this Agreement and the Plan. The Corporation shall, as soon as practicable upon the determination by the Committee, pursuant to this </w:t>
      </w: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of the extent to which the performance goals for the Performance Period have been satisfied and the number of shares of Common Stock determined to be earned upon vesting of such Performance-Based Units (but, not later than sixty (60) days thereafter), effect delivery of such shares of Common Stock to the Recipient (or, in the event of the Performance-Based Units have passed to the estate or beneficiary of the Recipient or a permitted transferee, by such estate or beneficiary or permitted transferee) and, following such delivery of such shares, the Performance-Based Units shall cease to be outstanding. If the final determination of the satisfaction of the vesting conditions for any Performance-Based Units is made by the Committee prior to the Corporation’s filing with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its annual report on Form 10-K that relates to the financial results for any portion of the applicable Performance Period with respect to any Performance-Based Units, then no Performance-Based Units will vest, and no Common Stock will be issued, until after such filing is complete. The Committee may in its sole discretion increase or decrease the number of shares of Common Stock that vest with respect to a Performance-Based Unit for the Performance Period to equitably account for any events or developments affecting achievement of the performance goals occurring during the Performance Period that were not anticipated at the Grant Date.</w:t>
      </w:r>
    </w:p>
    <w:p>
      <w:pPr>
        <w:spacing w:after="0" w:line="191" w:lineRule="exact"/>
        <w:rPr>
          <w:sz w:val="20"/>
          <w:szCs w:val="20"/>
          <w:color w:val="auto"/>
        </w:rPr>
      </w:pPr>
    </w:p>
    <w:p>
      <w:pPr>
        <w:ind w:left="760" w:firstLine="745"/>
        <w:spacing w:after="0" w:line="258" w:lineRule="auto"/>
        <w:tabs>
          <w:tab w:leader="none" w:pos="204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all unvested Units (at the number of shares at the Target level set forth in Schedule A with respect to Performance-Based Units) shall immediately vest upon:</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Recipient’s employment by reason of the death or Disability of Recipient; or</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Recipient’s employment is terminated by the Corporation in anticipation of a Change of Control, or</w:t>
      </w:r>
    </w:p>
    <w:p>
      <w:pPr>
        <w:spacing w:after="0" w:line="218"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(iii)Recipient is employed by the Corporation or an affiliate thereof at the time a Change of Control occurs,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at any time during the three-year period following such Change of Control (provided that the Units granted hereunder and related shares have not otherwise vested):</w:t>
      </w:r>
    </w:p>
    <w:p>
      <w:pPr>
        <w:spacing w:after="0" w:line="173" w:lineRule="exact"/>
        <w:rPr>
          <w:sz w:val="20"/>
          <w:szCs w:val="20"/>
          <w:color w:val="auto"/>
        </w:rPr>
      </w:pPr>
    </w:p>
    <w:p>
      <w:pPr>
        <w:ind w:firstLine="3003"/>
        <w:spacing w:after="0" w:line="258" w:lineRule="auto"/>
        <w:tabs>
          <w:tab w:leader="none" w:pos="35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Recipient’s employment is terminated by the Corporation or an affiliate thereof for any reason other than for death, Disability or Cause, or</w:t>
      </w:r>
    </w:p>
    <w:p>
      <w:pPr>
        <w:spacing w:after="0" w:line="158" w:lineRule="exact"/>
        <w:rPr>
          <w:rFonts w:ascii="Times New Roman" w:cs="Times New Roman" w:eastAsia="Times New Roman" w:hAnsi="Times New Roman"/>
          <w:sz w:val="22"/>
          <w:szCs w:val="22"/>
          <w:color w:val="auto"/>
        </w:rPr>
      </w:pPr>
    </w:p>
    <w:p>
      <w:pPr>
        <w:ind w:firstLine="3003"/>
        <w:spacing w:after="0" w:line="258" w:lineRule="auto"/>
        <w:tabs>
          <w:tab w:leader="none" w:pos="35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terminates his/her employment for Good Reason within one year following the initial existence of the conditions giving rise to such Good Reason;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any of the foregoing triggering events occurs after the end of the Performance Period but prior to the vesting of the Units, then the number of Performance-Based Units that shall vest will be the actual number of Performance-Based Units that would have vested hereunder pursuant to Section 2(b) if the Recipient had been employed by the Corporation as of the vesting date (i.e., the number of Performance-Based Units shall not vest at the Target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jc w:val="both"/>
        <w:spacing w:after="0" w:line="236" w:lineRule="auto"/>
        <w:rPr>
          <w:sz w:val="20"/>
          <w:szCs w:val="20"/>
          <w:color w:val="auto"/>
        </w:rPr>
      </w:pPr>
      <w:r>
        <w:rPr>
          <w:rFonts w:ascii="Times New Roman" w:cs="Times New Roman" w:eastAsia="Times New Roman" w:hAnsi="Times New Roman"/>
          <w:sz w:val="22"/>
          <w:szCs w:val="22"/>
          <w:color w:val="auto"/>
        </w:rPr>
        <w:t>level, but shall vest based on the performance of the Reporting Unit and application of the TSR Moderator provisions set forth in Section 2(b) and Schedule A), and such Units shall not vest, and the associated number of shares shall not become issuable by the Corporation, until final determination by the Committee of the number of Units that have vested and shares issuable in connection therewith pursuant to the terms set forth in this Agreement and the Plan (or, if such determination is made prior to the Corporation’s filing with the SEC of its annual report on Form 10-K that relates to the financial results for any portion of the applicable Performance Period, then after such filing is complete).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3.Definitions</w:t>
      </w:r>
      <w:r>
        <w:rPr>
          <w:rFonts w:ascii="Times New Roman" w:cs="Times New Roman" w:eastAsia="Times New Roman" w:hAnsi="Times New Roman"/>
          <w:sz w:val="22"/>
          <w:szCs w:val="22"/>
          <w:color w:val="auto"/>
        </w:rPr>
        <w:t>. For purposes of this Agreement, the following terms shall have the meanings indicated below:</w:t>
      </w:r>
    </w:p>
    <w:p>
      <w:pPr>
        <w:spacing w:after="0" w:line="206" w:lineRule="exact"/>
        <w:rPr>
          <w:sz w:val="20"/>
          <w:szCs w:val="20"/>
          <w:color w:val="auto"/>
        </w:rPr>
      </w:pPr>
    </w:p>
    <w:p>
      <w:pPr>
        <w:jc w:val="both"/>
        <w:ind w:left="7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75" w:lineRule="exact"/>
        <w:rPr>
          <w:sz w:val="20"/>
          <w:szCs w:val="20"/>
          <w:color w:val="auto"/>
        </w:rPr>
      </w:pPr>
    </w:p>
    <w:p>
      <w:pPr>
        <w:jc w:val="both"/>
        <w:ind w:left="760"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have the meaning given to such term in the Plan. In addition, for an award that vests according to any Financial Reporting Measure of a Division,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shall be deemed to have occurred upon consummation of a sale of all or substantially all of the assets of such Division by the Corporation to an unaffiliated third party.</w:t>
      </w:r>
    </w:p>
    <w:p>
      <w:pPr>
        <w:spacing w:after="0" w:line="172"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given to such term in the primary disability benefit plan of the Corporation in which Recipient participates. In the absence of any such plan,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76"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without Recipient’s express written consent, the existence of any of the following conditions unless such conditions are fully corrected within 30 days after Recipient notifies the Corporation of the existence of such conditions as hereinafter provided:</w:t>
      </w:r>
    </w:p>
    <w:p>
      <w:pPr>
        <w:spacing w:after="0" w:line="198" w:lineRule="exact"/>
        <w:rPr>
          <w:sz w:val="20"/>
          <w:szCs w:val="20"/>
          <w:color w:val="auto"/>
        </w:rPr>
      </w:pPr>
    </w:p>
    <w:p>
      <w:pPr>
        <w:ind w:left="2040" w:hanging="535"/>
        <w:spacing w:after="0"/>
        <w:tabs>
          <w:tab w:leader="none" w:pos="2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authority, duties or responsibilities;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 w:name="page68"/>
    <w:bookmarkEnd w:id="67"/>
    <w:p>
      <w:pPr>
        <w:ind w:right="20" w:firstLine="745"/>
        <w:spacing w:after="0" w:line="258" w:lineRule="auto"/>
        <w:tabs>
          <w:tab w:leader="none" w:pos="12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Recipient’s base salary, other than as a result of across-the-board salary reductions similarly affecting all management personnel of the Corporation; or</w:t>
      </w:r>
    </w:p>
    <w:p>
      <w:pPr>
        <w:spacing w:after="0" w:line="15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at which Recipient must regularly perform services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Recipient shall notify the Corporation that he/she believes that one or more of the conditions described above exists, and of his/her intention to terminate employment for Good Reason as a result thereof, within 60 days after the time that he/she gains knowledge of such conditions. Recipient shall not deliver a notice of termination of employment for Good Reason until 30 days after he/she delivers the notice described in the preceding sentence, and Recipient may do so only if the conditions described in such notice have not been fully corrected by the Corporation.</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Corporation, which is the 52- or 53-week period ending on the Sunday closest to April 30.</w:t>
      </w:r>
    </w:p>
    <w:p>
      <w:pPr>
        <w:spacing w:after="0" w:line="15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shall mean measures that are determined and presented in accordance with the accounting principles used in preparing the Corporation’s financial statements, and all other measures that are derived wholly or in part from such measures. Stock price and total shareholder return (and any measures that are derived wholly or in part from stock price or total shareholder return) shall for purposes of this Agreement be considered Financial Reporting Measures. For the avoidance of doubt, a measure need not be presented in the Corporation’s financial statements or included in a filing with the SEC in order to be considered a Financial Reporting Measure.</w:t>
      </w:r>
    </w:p>
    <w:p>
      <w:pPr>
        <w:spacing w:after="0" w:line="16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50" w:lineRule="exact"/>
        <w:rPr>
          <w:sz w:val="20"/>
          <w:szCs w:val="20"/>
          <w:color w:val="auto"/>
        </w:rPr>
      </w:pPr>
    </w:p>
    <w:p>
      <w:pPr>
        <w:ind w:left="740"/>
        <w:spacing w:after="0"/>
        <w:tabs>
          <w:tab w:leader="none" w:pos="94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shall mean the three fiscal years beginning __________, and ending</w:t>
      </w:r>
      <w:r>
        <w:rPr>
          <w:sz w:val="20"/>
          <w:szCs w:val="20"/>
          <w:color w:val="auto"/>
        </w:rPr>
        <w:tab/>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Peer Group Companies</w:t>
      </w:r>
      <w:r>
        <w:rPr>
          <w:rFonts w:ascii="Times New Roman" w:cs="Times New Roman" w:eastAsia="Times New Roman" w:hAnsi="Times New Roman"/>
          <w:sz w:val="22"/>
          <w:szCs w:val="22"/>
          <w:color w:val="auto"/>
        </w:rPr>
        <w:t xml:space="preserve">” shall mean the list of peer companies approved and used by the Committee to analyze the Corporation’s pay practices and compensation levels, as in effect as of the Grant Date and identified in </w:t>
      </w:r>
      <w:r>
        <w:rPr>
          <w:rFonts w:ascii="Times New Roman" w:cs="Times New Roman" w:eastAsia="Times New Roman" w:hAnsi="Times New Roman"/>
          <w:sz w:val="22"/>
          <w:szCs w:val="22"/>
          <w:b w:val="1"/>
          <w:bCs w:val="1"/>
          <w:color w:val="auto"/>
        </w:rPr>
        <w:t xml:space="preserve">Schedule B </w:t>
      </w:r>
      <w:r>
        <w:rPr>
          <w:rFonts w:ascii="Times New Roman" w:cs="Times New Roman" w:eastAsia="Times New Roman" w:hAnsi="Times New Roman"/>
          <w:sz w:val="22"/>
          <w:szCs w:val="22"/>
          <w:color w:val="auto"/>
        </w:rPr>
        <w:t>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company identified on Schedule B is no longer used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as a peer company as of the last day of the Performance Period because such company is no longer a public company at such time, then such company shall be excluded from the Peer Group Companies for purposes of this Agreement.</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Reporting Unit</w:t>
      </w:r>
      <w:r>
        <w:rPr>
          <w:rFonts w:ascii="Times New Roman" w:cs="Times New Roman" w:eastAsia="Times New Roman" w:hAnsi="Times New Roman"/>
          <w:sz w:val="22"/>
          <w:szCs w:val="22"/>
          <w:color w:val="auto"/>
        </w:rPr>
        <w:t>: ___________________</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Shareholder Return</w:t>
      </w:r>
      <w:r>
        <w:rPr>
          <w:rFonts w:ascii="Times New Roman" w:cs="Times New Roman" w:eastAsia="Times New Roman" w:hAnsi="Times New Roman"/>
          <w:sz w:val="22"/>
          <w:szCs w:val="22"/>
          <w:color w:val="auto"/>
        </w:rPr>
        <w:t>” (TSR) shall mean the total value at the end of a specified period of a hypothetical $100.00 investment, made at the beginning of the specified period, in a stock or index, including increases in trading value and all dividends paid during the specified period of time.</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8" w:name="page69"/>
    <w:bookmarkEnd w:id="68"/>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Section 4.Settlement</w:t>
      </w:r>
      <w:r>
        <w:rPr>
          <w:rFonts w:ascii="Times New Roman" w:cs="Times New Roman" w:eastAsia="Times New Roman" w:hAnsi="Times New Roman"/>
          <w:sz w:val="21"/>
          <w:szCs w:val="21"/>
          <w:color w:val="auto"/>
        </w:rPr>
        <w:t>. Subject to the terms herein, including in</w:t>
      </w:r>
      <w:r>
        <w:rPr>
          <w:rFonts w:ascii="Times New Roman" w:cs="Times New Roman" w:eastAsia="Times New Roman" w:hAnsi="Times New Roman"/>
          <w:sz w:val="21"/>
          <w:szCs w:val="21"/>
          <w:b w:val="1"/>
          <w:bCs w:val="1"/>
          <w:color w:val="auto"/>
        </w:rPr>
        <w:t xml:space="preserve"> Schedule A </w:t>
      </w:r>
      <w:r>
        <w:rPr>
          <w:rFonts w:ascii="Times New Roman" w:cs="Times New Roman" w:eastAsia="Times New Roman" w:hAnsi="Times New Roman"/>
          <w:sz w:val="21"/>
          <w:szCs w:val="21"/>
          <w:color w:val="auto"/>
        </w:rPr>
        <w:t>hereto, as soon as reasonably practicable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(i) a determination by the Committee that all or some of the Units have vested pursuant to the terms of this Agreement, and (ii) the Corporation’s filing with the SEC of its annual report on Form 10-K that relates to the financial results for the applicable Performance Period for the Performance-Based Units granted hereunder,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6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Section 5.Forfeiture</w:t>
      </w:r>
      <w:r>
        <w:rPr>
          <w:rFonts w:ascii="Times New Roman" w:cs="Times New Roman" w:eastAsia="Times New Roman" w:hAnsi="Times New Roman"/>
          <w:sz w:val="22"/>
          <w:szCs w:val="22"/>
          <w:color w:val="auto"/>
        </w:rPr>
        <w:t>. All Units that have not vested pursuant to</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Schedule A </w:t>
      </w:r>
      <w:r>
        <w:rPr>
          <w:rFonts w:ascii="Times New Roman" w:cs="Times New Roman" w:eastAsia="Times New Roman" w:hAnsi="Times New Roman"/>
          <w:sz w:val="22"/>
          <w:szCs w:val="22"/>
          <w:color w:val="auto"/>
        </w:rPr>
        <w:t>hereto shall automatically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cancelled and forfeited by Recipient effective as of the earlier to occur of (a) with respect to the Performance-Based Units, the first day after the end of the Performance Period (to the extent that the Committee determines that such Performance-Based Units will not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 Recipient’s employment with the Corporation or its Subsidiaries for any reason (including with or without Cause) (each such event being referred to herein as a “</w:t>
      </w:r>
      <w:r>
        <w:rPr>
          <w:rFonts w:ascii="Times New Roman" w:cs="Times New Roman" w:eastAsia="Times New Roman" w:hAnsi="Times New Roman"/>
          <w:sz w:val="22"/>
          <w:szCs w:val="22"/>
          <w:b w:val="1"/>
          <w:bCs w:val="1"/>
          <w:color w:val="auto"/>
        </w:rPr>
        <w:t>Forfeiture Event</w:t>
      </w:r>
      <w:r>
        <w:rPr>
          <w:rFonts w:ascii="Times New Roman" w:cs="Times New Roman" w:eastAsia="Times New Roman" w:hAnsi="Times New Roman"/>
          <w:sz w:val="22"/>
          <w:szCs w:val="22"/>
          <w:color w:val="auto"/>
        </w:rPr>
        <w:t>”). Upon the occurrence of a Forfeiture Event, all unvested Units shall automatically, without further action by the Corporation or Recipient, be cancelled and forfeited.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6.Tax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firstLine="745"/>
        <w:spacing w:after="0" w:line="246" w:lineRule="auto"/>
        <w:tabs>
          <w:tab w:leader="none" w:pos="204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20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if a Change of Control occurs and if Recipient is entitled under any agreement or arrangement (including, without limitation, this Agreement) to receive compensation that would constitute 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9" w:name="page70"/>
    <w:bookmarkEnd w:id="69"/>
    <w:p>
      <w:pPr>
        <w:jc w:val="both"/>
        <w:ind w:left="3"/>
        <w:spacing w:after="0" w:line="234" w:lineRule="auto"/>
        <w:rPr>
          <w:sz w:val="20"/>
          <w:szCs w:val="20"/>
          <w:color w:val="auto"/>
        </w:rPr>
      </w:pPr>
      <w:r>
        <w:rPr>
          <w:rFonts w:ascii="Times New Roman" w:cs="Times New Roman" w:eastAsia="Times New Roman" w:hAnsi="Times New Roman"/>
          <w:sz w:val="22"/>
          <w:szCs w:val="22"/>
          <w:color w:val="auto"/>
        </w:rPr>
        <w:t>parachute payment (including, without limitation, the vesting of any rights) within the meaning of Section 280G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Section 7.Clawback</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 w:firstLine="745"/>
        <w:spacing w:after="0" w:line="236"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Corporation’s reported financial or operating results become subject to a material negative restatement, the Committee may require Recipient to pay to the Corporation an amount corresponding to each award to the Recipient under this Agreement, or otherwise return such Units or Common Stock,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181" w:lineRule="exact"/>
        <w:rPr>
          <w:sz w:val="20"/>
          <w:szCs w:val="20"/>
          <w:color w:val="auto"/>
        </w:rPr>
      </w:pPr>
    </w:p>
    <w:p>
      <w:pPr>
        <w:jc w:val="both"/>
        <w:ind w:left="3" w:firstLine="749"/>
        <w:spacing w:after="0" w:line="234" w:lineRule="auto"/>
        <w:rPr>
          <w:sz w:val="20"/>
          <w:szCs w:val="20"/>
          <w:color w:val="auto"/>
        </w:rPr>
      </w:pPr>
      <w:r>
        <w:rPr>
          <w:rFonts w:ascii="Times New Roman" w:cs="Times New Roman" w:eastAsia="Times New Roman" w:hAnsi="Times New Roman"/>
          <w:sz w:val="22"/>
          <w:szCs w:val="22"/>
          <w:color w:val="auto"/>
        </w:rPr>
        <w:t>In addition, pursuant to the Corporation’s Dodd-Frank Clawback Policy (as amended from time to time,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if the Committee determines that recoupment of compensation paid hereunder is required pursuant to the Clawback Policy, the Committee will require Recipient to repay or return compensation awarded hereunder. By acceptance of any Award or bonus payment hereunder, Recipient expressly acknowledges and agrees that any and all amounts paid to Recipient hereunder, and any other Incentive-Based Compensation paid by the Corporation to the Recipient, are and will be fully subject to the terms of the Clawback Policy (provided that Recipient is, or becomes, an individual that is subject to the Clawback Policy) and agrees to cooperate fully with the Corporation to facilitate the recovery of any and all amounts paid pursuant to this Agreement and any other Incentive-Based Compensation paid by the Corporation that the Committee determines in its sole discretion is required to be recovered pursuant to the terms of the Clawback Policy.</w:t>
      </w:r>
    </w:p>
    <w:p>
      <w:pPr>
        <w:spacing w:after="0" w:line="179" w:lineRule="exact"/>
        <w:rPr>
          <w:sz w:val="20"/>
          <w:szCs w:val="20"/>
          <w:color w:val="auto"/>
        </w:rPr>
      </w:pPr>
    </w:p>
    <w:p>
      <w:pPr>
        <w:jc w:val="both"/>
        <w:ind w:left="3" w:firstLine="749"/>
        <w:spacing w:after="0" w:line="241" w:lineRule="auto"/>
        <w:rPr>
          <w:sz w:val="20"/>
          <w:szCs w:val="20"/>
          <w:color w:val="auto"/>
        </w:rPr>
      </w:pPr>
      <w:r>
        <w:rPr>
          <w:rFonts w:ascii="Times New Roman" w:cs="Times New Roman" w:eastAsia="Times New Roman" w:hAnsi="Times New Roman"/>
          <w:sz w:val="22"/>
          <w:szCs w:val="22"/>
          <w:color w:val="auto"/>
        </w:rPr>
        <w:t>The obligations of Recipient to make payments or return Common Stock pursuant to this Section 7(a) are independent of any involvement by such Recipient in events that led to the restatement. The provisions of this Section</w:t>
      </w:r>
    </w:p>
    <w:p>
      <w:pPr>
        <w:spacing w:after="0" w:line="2" w:lineRule="exact"/>
        <w:rPr>
          <w:sz w:val="20"/>
          <w:szCs w:val="20"/>
          <w:color w:val="auto"/>
        </w:rPr>
      </w:pPr>
    </w:p>
    <w:p>
      <w:pPr>
        <w:ind w:left="3" w:hanging="3"/>
        <w:spacing w:after="0" w:line="237" w:lineRule="auto"/>
        <w:tabs>
          <w:tab w:leader="none" w:pos="30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addition to, not in lieu of, any remedies that the Corporation may have against any persons whose misconduct caused or contributed to a need to restate the Corporation’s reported results.</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61" w:lineRule="auto"/>
        <w:tabs>
          <w:tab w:leader="none" w:pos="129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w:t>
      </w:r>
    </w:p>
    <w:p>
      <w:pPr>
        <w:spacing w:after="0" w:line="200" w:lineRule="exact"/>
        <w:rPr>
          <w:sz w:val="20"/>
          <w:szCs w:val="20"/>
          <w:color w:val="auto"/>
        </w:rPr>
      </w:pPr>
    </w:p>
    <w:p>
      <w:pPr>
        <w:spacing w:after="0" w:line="22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70" w:name="page71"/>
    <w:bookmarkEnd w:id="70"/>
    <w:p>
      <w:pPr>
        <w:jc w:val="both"/>
        <w:spacing w:after="0" w:line="251" w:lineRule="auto"/>
        <w:rPr>
          <w:sz w:val="20"/>
          <w:szCs w:val="20"/>
          <w:color w:val="auto"/>
        </w:rPr>
      </w:pPr>
      <w:r>
        <w:rPr>
          <w:rFonts w:ascii="Times New Roman" w:cs="Times New Roman" w:eastAsia="Times New Roman" w:hAnsi="Times New Roman"/>
          <w:sz w:val="21"/>
          <w:szCs w:val="21"/>
          <w:color w:val="auto"/>
        </w:rPr>
        <w:t>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68" w:lineRule="exact"/>
        <w:rPr>
          <w:sz w:val="20"/>
          <w:szCs w:val="20"/>
          <w:color w:val="auto"/>
        </w:rPr>
      </w:pPr>
    </w:p>
    <w:p>
      <w:pPr>
        <w:jc w:val="both"/>
        <w:ind w:firstLine="745"/>
        <w:spacing w:after="0" w:line="238" w:lineRule="auto"/>
        <w:tabs>
          <w:tab w:leader="none" w:pos="12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acceptance of any award or Units hereunder, Recipient expressly acknowledges and agrees that any and all Units or Common Stock, as well as the Award-Equivalent Value thereof, are and will be fully subject to the terms of the foregoing clawback provisions, and agrees to cooperate fully with the Corporation to facilitate the recovery of any Units or Common Stock and/or Award-Equivalent Value that the Committee requires to be recovered pursuant to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5"/>
        <w:spacing w:after="0" w:line="246" w:lineRule="auto"/>
        <w:tabs>
          <w:tab w:leader="none" w:pos="1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construed, administered and governed in all respects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by the applicable internal laws of the State of North Carolina, without giving effect to the principles of conflicts of laws thereof.</w:t>
      </w:r>
    </w:p>
    <w:p>
      <w:pPr>
        <w:spacing w:after="0" w:line="167"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Amendment and Waiver</w:t>
      </w:r>
      <w:r>
        <w:rPr>
          <w:rFonts w:ascii="Times New Roman" w:cs="Times New Roman" w:eastAsia="Times New Roman" w:hAnsi="Times New Roman"/>
          <w:sz w:val="22"/>
          <w:szCs w:val="22"/>
          <w:color w:val="auto"/>
        </w:rPr>
        <w:t>. This Agreement and the Units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75" w:lineRule="exact"/>
        <w:rPr>
          <w:rFonts w:ascii="Times New Roman" w:cs="Times New Roman" w:eastAsia="Times New Roman" w:hAnsi="Times New Roman"/>
          <w:sz w:val="22"/>
          <w:szCs w:val="22"/>
          <w:color w:val="auto"/>
        </w:rPr>
      </w:pPr>
    </w:p>
    <w:p>
      <w:pPr>
        <w:jc w:val="both"/>
        <w:ind w:firstLine="745"/>
        <w:spacing w:after="0" w:line="238" w:lineRule="auto"/>
        <w:tabs>
          <w:tab w:leader="none" w:pos="1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Binding Effect</w:t>
      </w:r>
      <w:r>
        <w:rPr>
          <w:rFonts w:ascii="Times New Roman" w:cs="Times New Roman" w:eastAsia="Times New Roman" w:hAnsi="Times New Roman"/>
          <w:sz w:val="22"/>
          <w:szCs w:val="22"/>
          <w:color w:val="auto"/>
        </w:rPr>
        <w:t>. Except as permitted by the Plan, this Agreement and the Units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permit any assignment in contravention of the terms contained elsewhere herein.</w:t>
      </w:r>
    </w:p>
    <w:p>
      <w:pPr>
        <w:spacing w:after="0" w:line="176" w:lineRule="exact"/>
        <w:rPr>
          <w:rFonts w:ascii="Times New Roman" w:cs="Times New Roman" w:eastAsia="Times New Roman" w:hAnsi="Times New Roman"/>
          <w:sz w:val="22"/>
          <w:szCs w:val="22"/>
          <w:color w:val="auto"/>
        </w:rPr>
      </w:pPr>
    </w:p>
    <w:p>
      <w:pPr>
        <w:ind w:firstLine="745"/>
        <w:spacing w:after="0" w:line="262" w:lineRule="auto"/>
        <w:tabs>
          <w:tab w:leader="none" w:pos="1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w:t>
      </w:r>
      <w:r>
        <w:rPr>
          <w:rFonts w:ascii="Times New Roman" w:cs="Times New Roman" w:eastAsia="Times New Roman" w:hAnsi="Times New Roman"/>
          <w:sz w:val="22"/>
          <w:szCs w:val="22"/>
          <w:color w:val="auto"/>
        </w:rPr>
        <w:t>. Nothing in this Agreement shall confer on Recipient any right to continue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employ of the Corporation or any of its Subsidiaries.</w:t>
      </w:r>
    </w:p>
    <w:p>
      <w:pPr>
        <w:spacing w:after="0" w:line="149"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w:t>
      </w:r>
    </w:p>
    <w:p>
      <w:pPr>
        <w:spacing w:after="0" w:line="200" w:lineRule="exact"/>
        <w:rPr>
          <w:sz w:val="20"/>
          <w:szCs w:val="20"/>
          <w:color w:val="auto"/>
        </w:rPr>
      </w:pPr>
    </w:p>
    <w:p>
      <w:pPr>
        <w:spacing w:after="0" w:line="2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color w:val="auto"/>
        </w:rPr>
        <w:t>executed counterpart of this Agreement shall not affect the validity, enforceability and binding effect of this Agreement.</w:t>
      </w:r>
    </w:p>
    <w:p>
      <w:pPr>
        <w:spacing w:after="0" w:line="214" w:lineRule="exact"/>
        <w:rPr>
          <w:sz w:val="20"/>
          <w:szCs w:val="20"/>
          <w:color w:val="auto"/>
        </w:rPr>
      </w:pPr>
    </w:p>
    <w:p>
      <w:pPr>
        <w:jc w:val="both"/>
        <w:ind w:firstLine="745"/>
        <w:spacing w:after="0" w:line="237" w:lineRule="auto"/>
        <w:tabs>
          <w:tab w:leader="none" w:pos="12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hereunder to the Corporation shall be addressed to the Corporation’s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7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[Signature page is the next page.]</w:t>
      </w:r>
    </w:p>
    <w:p>
      <w:pPr>
        <w:spacing w:after="0" w:line="2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duly executed as of the date first written above.</w:t>
      </w:r>
    </w:p>
    <w:p>
      <w:pPr>
        <w:sectPr>
          <w:pgSz w:w="11900" w:h="16838" w:orient="portrait"/>
          <w:cols w:equalWidth="0" w:num="1">
            <w:col w:w="9379"/>
          </w:cols>
          <w:pgMar w:left="1080" w:top="140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CULP,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 North Carolina corporation</w:t>
      </w:r>
    </w:p>
    <w:p>
      <w:pPr>
        <w:spacing w:after="0" w:line="3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-13970</wp:posOffset>
            </wp:positionV>
            <wp:extent cx="13716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-22860</wp:posOffset>
            </wp:positionV>
            <wp:extent cx="10972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-29210</wp:posOffset>
            </wp:positionV>
            <wp:extent cx="10972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416560</wp:posOffset>
            </wp:positionV>
            <wp:extent cx="16459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4" w:right="1440"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-119380</wp:posOffset>
            </wp:positionV>
            <wp:extent cx="24771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-119380</wp:posOffset>
            </wp:positionV>
            <wp:extent cx="24771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27, 2024,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October 27, 2024,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lowerRoman"/>
      <w:start w:val="2"/>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lvl w:ilvl="1">
      <w:lvlJc w:val="left"/>
      <w:lvlText w:val="(%2)"/>
      <w:numFmt w:val="decimal"/>
      <w:start w:val="1"/>
    </w:lvl>
  </w:abstractNum>
  <w:abstractNum w:abstractNumId="7">
    <w:nsid w:val="2CA88611"/>
    <w:multiLevelType w:val="hybridMultilevel"/>
    <w:lvl w:ilvl="0">
      <w:lvlJc w:val="left"/>
      <w:lvlText w:val="(%1)"/>
      <w:numFmt w:val="decimal"/>
      <w:start w:val="2"/>
    </w:lvl>
    <w:lvl w:ilvl="1">
      <w:lvlJc w:val="left"/>
      <w:lvlText w:val="%2"/>
      <w:numFmt w:val="decimal"/>
      <w:start w:val="1"/>
    </w:lvl>
  </w:abstractNum>
  <w:abstractNum w:abstractNumId="8">
    <w:nsid w:val="836C40E"/>
    <w:multiLevelType w:val="hybridMultilevel"/>
    <w:lvl w:ilvl="0">
      <w:lvlJc w:val="left"/>
      <w:lvlText w:val="•"/>
      <w:numFmt w:val="bullet"/>
      <w:start w:val="1"/>
    </w:lvl>
    <w:lvl w:ilvl="1">
      <w:lvlJc w:val="left"/>
      <w:lvlText w:val="▪"/>
      <w:numFmt w:val="bullet"/>
      <w:start w:val="1"/>
    </w:lvl>
  </w:abstractNum>
  <w:abstractNum w:abstractNumId="9">
    <w:nsid w:val="2901D82"/>
    <w:multiLevelType w:val="hybridMultilevel"/>
    <w:lvl w:ilvl="0">
      <w:lvlJc w:val="left"/>
      <w:lvlText w:val="o"/>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4"/>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4"/>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4"/>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04"/>
    </w:lvl>
  </w:abstractNum>
  <w:abstractNum w:abstractNumId="27">
    <w:nsid w:val="5C482A97"/>
    <w:multiLevelType w:val="hybridMultilevel"/>
    <w:lvl w:ilvl="0">
      <w:lvlJc w:val="left"/>
      <w:lvlText w:val="(%1)"/>
      <w:numFmt w:val="lowerLetter"/>
      <w:start w:val="1"/>
    </w:lvl>
    <w:lvl w:ilvl="1">
      <w:lvlJc w:val="left"/>
      <w:lvlText w:val="(%2)"/>
      <w:numFmt w:val="lowerRoman"/>
      <w:start w:val="1"/>
    </w:lvl>
  </w:abstractNum>
  <w:abstractNum w:abstractNumId="28">
    <w:nsid w:val="2463B9EA"/>
    <w:multiLevelType w:val="hybridMultilevel"/>
    <w:lvl w:ilvl="0">
      <w:lvlJc w:val="left"/>
      <w:lvlText w:val="(%1)"/>
      <w:numFmt w:val="lowerLetter"/>
      <w:start w:val="4"/>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4"/>
    </w:lvl>
    <w:lvl w:ilvl="1">
      <w:lvlJc w:val="left"/>
      <w:lvlText w:val="(%2)"/>
      <w:numFmt w:val="lowerRoman"/>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lvl w:ilvl="1">
      <w:lvlJc w:val="left"/>
      <w:lvlText w:val="(%2)"/>
      <w:numFmt w:val="lowerLetter"/>
      <w:start w:val="2"/>
    </w:lvl>
  </w:abstractNum>
  <w:abstractNum w:abstractNumId="41">
    <w:nsid w:val="57E4CCAF"/>
    <w:multiLevelType w:val="hybridMultilevel"/>
    <w:lvl w:ilvl="0">
      <w:lvlJc w:val="left"/>
      <w:lvlText w:val="(%1)"/>
      <w:numFmt w:val="lowerLetter"/>
      <w:start w:val="3"/>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6"/>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259" Type="http://schemas.openxmlformats.org/officeDocument/2006/relationships/hyperlink" Target="https://www.sec.gov/ix?doc=/Archives/edgar/data/723603/000095017024109762/culp-202409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2024-12-06T09:14:06Z</dcterms:created>
  <dcterms:modified xsi:type="dcterms:W3CDTF">2024-12-06T09:14:06Z</dcterms:modified>
</cp:coreProperties>
</file>