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February 1, 2026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1520" w:type="dxa"/>
        <w:tblCellMar>
          <w:top w:w="0" w:type="dxa"/>
          <w:left w:w="0" w:type="dxa"/>
          <w:bottom w:w="0" w:type="dxa"/>
          <w:right w:w="0" w:type="dxa"/>
        </w:tblCellMar>
      </w:tblPr>
      <w:tr>
        <w:trPr>
          <w:trHeight w:val="200"/>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7"/>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35"/>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b w:val="1"/>
                <w:bCs w:val="1"/>
                <w:color w:val="auto"/>
              </w:rPr>
              <w:t>410 W. English Road 5th Floor</w:t>
            </w:r>
          </w:p>
        </w:tc>
        <w:tc>
          <w:tcPr>
            <w:tcW w:w="3080" w:type="dxa"/>
            <w:vAlign w:val="bottom"/>
          </w:tcPr>
          <w:p>
            <w:pPr>
              <w:spacing w:after="0"/>
              <w:rPr>
                <w:sz w:val="24"/>
                <w:szCs w:val="24"/>
                <w:color w:val="auto"/>
              </w:rPr>
            </w:pPr>
          </w:p>
        </w:tc>
      </w:tr>
      <w:tr>
        <w:trPr>
          <w:trHeight w:val="204"/>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27262</w:t>
            </w:r>
          </w:p>
        </w:tc>
      </w:tr>
      <w:tr>
        <w:trPr>
          <w:trHeight w:val="210"/>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(336) 889-5161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18"/>
                <w:szCs w:val="18"/>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Stock Market LLC</w:t>
            </w:r>
          </w:p>
        </w:tc>
      </w:tr>
    </w:tbl>
    <w:p>
      <w:pPr>
        <w:spacing w:after="0" w:line="11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bl>
    <w:p>
      <w:pPr>
        <w:spacing w:after="0" w:line="7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March 11, 2026: 12,662,784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40" w:type="dxa"/>
            <w:vAlign w:val="bottom"/>
            <w:gridSpan w:val="16"/>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00" w:type="dxa"/>
            <w:vAlign w:val="bottom"/>
            <w:gridSpan w:val="19"/>
          </w:tcPr>
          <w:p>
            <w:pPr>
              <w:ind w:left="300"/>
              <w:spacing w:after="0"/>
              <w:rPr>
                <w:sz w:val="20"/>
                <w:szCs w:val="20"/>
                <w:color w:val="auto"/>
              </w:rPr>
            </w:pPr>
            <w:r>
              <w:rPr>
                <w:rFonts w:ascii="Times New Roman" w:cs="Times New Roman" w:eastAsia="Times New Roman" w:hAnsi="Times New Roman"/>
                <w:sz w:val="20"/>
                <w:szCs w:val="20"/>
                <w:b w:val="1"/>
                <w:bCs w:val="1"/>
                <w:color w:val="auto"/>
              </w:rPr>
              <w:t>For the period ended February 1, 2026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358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7"/>
          </w:tcPr>
          <w:p>
            <w:pPr>
              <w:spacing w:after="0"/>
              <w:rPr>
                <w:sz w:val="24"/>
                <w:szCs w:val="24"/>
                <w:color w:val="auto"/>
              </w:rPr>
            </w:pPr>
          </w:p>
        </w:tc>
        <w:tc>
          <w:tcPr>
            <w:tcW w:w="300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8"/>
              </w:rPr>
              <w:t>Consolidated Statements of Net Loss — Three Months Ended February 1, 2026, and January 26, 2025</w:t>
            </w:r>
          </w:p>
        </w:tc>
        <w:tc>
          <w:tcPr>
            <w:tcW w:w="92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8"/>
              </w:rPr>
              <w:t>Consolidated Statements of Net Loss — Nine Months Ended February 1, 2026, and January 26, 2025</w:t>
            </w:r>
          </w:p>
        </w:tc>
        <w:tc>
          <w:tcPr>
            <w:tcW w:w="20" w:type="dxa"/>
            <w:vAlign w:val="bottom"/>
            <w:tcBorders>
              <w:bottom w:val="single" w:sz="8" w:color="0000EE"/>
            </w:tcBorders>
          </w:tcPr>
          <w:p>
            <w:pPr>
              <w:spacing w:after="0"/>
              <w:rPr>
                <w:sz w:val="24"/>
                <w:szCs w:val="24"/>
                <w:color w:val="auto"/>
              </w:rPr>
            </w:pPr>
          </w:p>
        </w:tc>
        <w:tc>
          <w:tcPr>
            <w:tcW w:w="98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Loss – Three Months and Nine Months Ended February 1, 2026,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7"/>
              </w:rPr>
              <w:t>January 26, 2025</w:t>
            </w:r>
          </w:p>
        </w:tc>
        <w:tc>
          <w:tcPr>
            <w:tcW w:w="20" w:type="dxa"/>
            <w:vAlign w:val="bottom"/>
            <w:tcBorders>
              <w:bottom w:val="single" w:sz="8" w:color="0000EE"/>
            </w:tcBorders>
          </w:tcPr>
          <w:p>
            <w:pPr>
              <w:spacing w:after="0"/>
              <w:rPr>
                <w:sz w:val="18"/>
                <w:szCs w:val="18"/>
                <w:color w:val="auto"/>
              </w:rPr>
            </w:pPr>
          </w:p>
        </w:tc>
        <w:tc>
          <w:tcPr>
            <w:tcW w:w="7640" w:type="dxa"/>
            <w:vAlign w:val="bottom"/>
            <w:gridSpan w:val="23"/>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Consolidated Balance Sheets — February 1, 2026, January 26, 2025, and April 27, 2025</w:t>
            </w:r>
          </w:p>
        </w:tc>
        <w:tc>
          <w:tcPr>
            <w:tcW w:w="202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w w:val="98"/>
              </w:rPr>
              <w:t>Consolidated Statements of Cash Flows — Nine Months Ended February 1, 2026, and January 26, 2025</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8"/>
              </w:rPr>
              <w:t>Consolidated Statements of Shareholders’ Equity – Nine Months Ended February 1, 2026</w:t>
            </w:r>
          </w:p>
        </w:tc>
        <w:tc>
          <w:tcPr>
            <w:tcW w:w="20" w:type="dxa"/>
            <w:vAlign w:val="bottom"/>
            <w:tcBorders>
              <w:bottom w:val="single" w:sz="8" w:color="0000EE"/>
            </w:tcBorders>
          </w:tcPr>
          <w:p>
            <w:pPr>
              <w:spacing w:after="0"/>
              <w:rPr>
                <w:sz w:val="24"/>
                <w:szCs w:val="24"/>
                <w:color w:val="auto"/>
              </w:rPr>
            </w:pPr>
          </w:p>
        </w:tc>
        <w:tc>
          <w:tcPr>
            <w:tcW w:w="190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8"/>
              </w:rPr>
              <w:t>Consolidated Statements of Shareholders’ Equity – Nine Months Ended January 26, 2025</w:t>
            </w:r>
          </w:p>
        </w:tc>
        <w:tc>
          <w:tcPr>
            <w:tcW w:w="19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554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Cautionary Statement Concerning Forward-Looking Information</w:t>
            </w:r>
          </w:p>
        </w:tc>
        <w:tc>
          <w:tcPr>
            <w:tcW w:w="20" w:type="dxa"/>
            <w:vAlign w:val="bottom"/>
            <w:tcBorders>
              <w:bottom w:val="single" w:sz="8" w:color="0000EE"/>
            </w:tcBorders>
          </w:tcPr>
          <w:p>
            <w:pPr>
              <w:spacing w:after="0"/>
              <w:rPr>
                <w:sz w:val="24"/>
                <w:szCs w:val="24"/>
                <w:color w:val="auto"/>
              </w:rPr>
            </w:pPr>
          </w:p>
        </w:tc>
        <w:tc>
          <w:tcPr>
            <w:tcW w:w="386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I-35</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70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19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I-36</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422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I-54</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4.</w:t>
            </w:r>
          </w:p>
        </w:tc>
        <w:tc>
          <w:tcPr>
            <w:tcW w:w="90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I-54</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040" w:type="dxa"/>
            <w:vAlign w:val="bottom"/>
            <w:gridSpan w:val="10"/>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1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Legal Proceedings</w:t>
            </w:r>
          </w:p>
        </w:tc>
        <w:tc>
          <w:tcPr>
            <w:tcW w:w="7560" w:type="dxa"/>
            <w:vAlign w:val="bottom"/>
            <w:gridSpan w:val="2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1A.</w:t>
            </w:r>
          </w:p>
        </w:tc>
        <w:tc>
          <w:tcPr>
            <w:tcW w:w="90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24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Unregistered Sales of Equity Securities and Use of Proceeds</w:t>
            </w:r>
          </w:p>
        </w:tc>
        <w:tc>
          <w:tcPr>
            <w:tcW w:w="424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5.</w:t>
            </w: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Other Information</w:t>
            </w:r>
          </w:p>
        </w:tc>
        <w:tc>
          <w:tcPr>
            <w:tcW w:w="758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6.</w:t>
            </w:r>
          </w:p>
        </w:tc>
        <w:tc>
          <w:tcPr>
            <w:tcW w:w="90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Exhibits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6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II-4</w:t>
            </w:r>
          </w:p>
        </w:tc>
        <w:tc>
          <w:tcPr>
            <w:tcW w:w="0" w:type="dxa"/>
            <w:vAlign w:val="bottom"/>
          </w:tcPr>
          <w:p>
            <w:pPr>
              <w:spacing w:after="0"/>
              <w:rPr>
                <w:sz w:val="1"/>
                <w:szCs w:val="1"/>
                <w:color w:val="auto"/>
              </w:rPr>
            </w:pPr>
          </w:p>
        </w:tc>
      </w:tr>
      <w:tr>
        <w:trPr>
          <w:trHeight w:val="2079"/>
        </w:trPr>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FEBRUARY 1, 2026, AND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January 26,</w:t>
            </w:r>
          </w:p>
        </w:tc>
        <w:tc>
          <w:tcPr>
            <w:tcW w:w="10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8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47,965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52,253</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(42,642)</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(45,906)</w:t>
            </w:r>
          </w:p>
        </w:tc>
      </w:tr>
      <w:tr>
        <w:trPr>
          <w:trHeight w:val="142"/>
        </w:trPr>
        <w:tc>
          <w:tcPr>
            <w:tcW w:w="514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5,323</w:t>
            </w:r>
          </w:p>
        </w:tc>
        <w:tc>
          <w:tcPr>
            <w:tcW w:w="2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6,347</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(8,464)</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(8,579)</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Restructuring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(584)</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(1,655)</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(3,725)</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(3,887)</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(183)</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2"/>
                <w:szCs w:val="12"/>
                <w:color w:val="auto"/>
              </w:rPr>
            </w:pPr>
          </w:p>
        </w:tc>
      </w:tr>
      <w:tr>
        <w:trPr>
          <w:trHeight w:val="148"/>
        </w:trPr>
        <w:tc>
          <w:tcPr>
            <w:tcW w:w="51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25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393</w:t>
            </w:r>
          </w:p>
        </w:tc>
        <w:tc>
          <w:tcPr>
            <w:tcW w:w="2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(3,140)</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(3,680)</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(292)</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(446)</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(3,432)</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(4,126)</w:t>
            </w: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(0.27)</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(0.33)</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(0.27)</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(0.33)</w:t>
            </w:r>
          </w:p>
        </w:tc>
      </w:tr>
      <w:tr>
        <w:trPr>
          <w:trHeight w:val="149"/>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12,663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12,559</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12,663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12,559</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-796925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FEBRUARY 1, 2026, AND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January 26,</w:t>
            </w:r>
          </w:p>
        </w:tc>
        <w:tc>
          <w:tcPr>
            <w:tcW w:w="10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8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151,859</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164,464</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(133,525)</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(147,050)</w:t>
            </w:r>
          </w:p>
        </w:tc>
      </w:tr>
      <w:tr>
        <w:trPr>
          <w:trHeight w:val="142"/>
        </w:trPr>
        <w:tc>
          <w:tcPr>
            <w:tcW w:w="514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18,334</w:t>
            </w:r>
          </w:p>
        </w:tc>
        <w:tc>
          <w:tcPr>
            <w:tcW w:w="2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17,414</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(26,321)</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(27,235)</w:t>
            </w: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Restructuring credit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2,425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(6,317)</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(5,562)</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(16,138)</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(565)</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(833)</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(898)</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(6,101)</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(16,396)</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(1,868)</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(635)</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(7,969)</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(17,031)</w:t>
            </w: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(0.63)</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(0.63)</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12,514</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12,619</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12,514</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NINE MONTHS ENDED FEBRUARY 1, 2026, AND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January 26,</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(3,432)</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(4,126)</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Unrealized holding loss on investments, net of tax</w:t>
            </w:r>
          </w:p>
        </w:tc>
        <w:tc>
          <w:tcPr>
            <w:tcW w:w="222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(64)</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(3,496)</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(4,131)</w:t>
            </w:r>
          </w:p>
        </w:tc>
        <w:tc>
          <w:tcPr>
            <w:tcW w:w="0" w:type="dxa"/>
            <w:vAlign w:val="bottom"/>
          </w:tcPr>
          <w:p>
            <w:pPr>
              <w:spacing w:after="0"/>
              <w:rPr>
                <w:sz w:val="1"/>
                <w:szCs w:val="1"/>
                <w:color w:val="auto"/>
              </w:rPr>
            </w:pPr>
          </w:p>
        </w:tc>
      </w:tr>
      <w:tr>
        <w:trPr>
          <w:trHeight w:val="650"/>
        </w:trPr>
        <w:tc>
          <w:tcPr>
            <w:tcW w:w="5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6"/>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January 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(7,969)</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(17,031)</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holding gain on investments</w:t>
            </w:r>
          </w:p>
        </w:tc>
        <w:tc>
          <w:tcPr>
            <w:tcW w:w="2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Reclassification adjustment for realized gain</w:t>
            </w: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included in net loss</w:t>
            </w: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unrealized gain on investments</w:t>
            </w:r>
          </w:p>
        </w:tc>
        <w:tc>
          <w:tcPr>
            <w:tcW w:w="2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(7,806)</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(16,933)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-1662430</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-1645285</wp:posOffset>
            </wp:positionV>
            <wp:extent cx="111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-1799590</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FEBRUARY 1, 2026, JANUARY 26, 2025, AND APRIL 27,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January 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9,687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1,913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1,753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21,844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52,208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48,599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49,309</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2,579</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2,619</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2,970</w:t>
            </w:r>
          </w:p>
        </w:tc>
        <w:tc>
          <w:tcPr>
            <w:tcW w:w="0" w:type="dxa"/>
            <w:vAlign w:val="bottom"/>
          </w:tcPr>
          <w:p>
            <w:pPr>
              <w:spacing w:after="0"/>
              <w:rPr>
                <w:sz w:val="1"/>
                <w:szCs w:val="1"/>
                <w:color w:val="auto"/>
              </w:rPr>
            </w:pPr>
          </w:p>
        </w:tc>
      </w:tr>
      <w:tr>
        <w:trPr>
          <w:trHeight w:val="196"/>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88,444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83,534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21,614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25,939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24,836</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3,322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6,103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5,050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6,250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5,722</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20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3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120,753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127,555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123,370</w:t>
            </w:r>
          </w:p>
        </w:tc>
        <w:tc>
          <w:tcPr>
            <w:tcW w:w="0" w:type="dxa"/>
            <w:vAlign w:val="bottom"/>
          </w:tcPr>
          <w:p>
            <w:pPr>
              <w:spacing w:after="0"/>
              <w:rPr>
                <w:sz w:val="1"/>
                <w:szCs w:val="1"/>
                <w:color w:val="auto"/>
              </w:rPr>
            </w:pPr>
          </w:p>
        </w:tc>
      </w:tr>
      <w:tr>
        <w:trPr>
          <w:trHeight w:val="183"/>
        </w:trPr>
        <w:tc>
          <w:tcPr>
            <w:tcW w:w="65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Lines of credit - current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11,508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8,114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29,643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32,717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27,323</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1,047</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51,589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50,645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46,964</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Line of credit - long-term</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7,025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5,090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6,151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5,686</w:t>
            </w:r>
          </w:p>
        </w:tc>
        <w:tc>
          <w:tcPr>
            <w:tcW w:w="0" w:type="dxa"/>
            <w:vAlign w:val="bottom"/>
          </w:tcPr>
          <w:p>
            <w:pPr>
              <w:spacing w:after="0"/>
              <w:rPr>
                <w:sz w:val="1"/>
                <w:szCs w:val="1"/>
                <w:color w:val="auto"/>
              </w:rPr>
            </w:pPr>
          </w:p>
        </w:tc>
      </w:tr>
      <w:tr>
        <w:trPr>
          <w:trHeight w:val="196"/>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70,533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67,905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65,730</w:t>
            </w: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(Notes 11, 17, and 18)</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outstanding 12,662,784 at February 1, 2026; 12,559,129 at</w:t>
            </w:r>
          </w:p>
        </w:tc>
        <w:tc>
          <w:tcPr>
            <w:tcW w:w="180" w:type="dxa"/>
            <w:vAlign w:val="bottom"/>
          </w:tcPr>
          <w:p>
            <w:pPr>
              <w:spacing w:after="0"/>
              <w:rPr>
                <w:sz w:val="17"/>
                <w:szCs w:val="17"/>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January 26, 2025 and 12,559,129 at April 27, 2025</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45,970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45,461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45,589</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13,345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11,273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313</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50,220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59,650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57,640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120,753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127,555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123,370</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-5253990</wp:posOffset>
            </wp:positionV>
            <wp:extent cx="94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-5253990</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-3950970</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-3933825</wp:posOffset>
            </wp:positionV>
            <wp:extent cx="94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-3950970</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-3933825</wp:posOffset>
            </wp:positionV>
            <wp:extent cx="946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-1602105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-1602105</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-299720</wp:posOffset>
            </wp:positionV>
            <wp:extent cx="94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94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94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FEBRUARY 1, 2026, AND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January 26,</w:t>
            </w:r>
          </w:p>
        </w:tc>
      </w:t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2025</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(7,969)</w:t>
            </w:r>
          </w:p>
        </w:tc>
        <w:tc>
          <w:tcPr>
            <w:tcW w:w="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(17,031)</w:t>
            </w:r>
          </w:p>
        </w:tc>
      </w:tr>
      <w:tr>
        <w:trPr>
          <w:trHeight w:val="126"/>
        </w:trPr>
        <w:tc>
          <w:tcPr>
            <w:tcW w:w="78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2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r>
      <w:tr>
        <w:trPr>
          <w:trHeight w:val="171"/>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r>
      <w:tr>
        <w:trPr>
          <w:trHeight w:val="149"/>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3,142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4,288</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Non-cash inventory charge (credit)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1,641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288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301</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462</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522</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(140)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Gain on sale of equipment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Realized gain on sale of investments (rabbi trust)</w:t>
            </w:r>
          </w:p>
        </w:tc>
        <w:tc>
          <w:tcPr>
            <w:tcW w:w="24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Non-cash restructuring (credit) expense</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(3,313)</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2,143</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Foreign currency exchange loss (gain)</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887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5,025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r>
      <w:tr>
        <w:trPr>
          <w:trHeight w:val="149"/>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(4,355)</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(2,730)</w:t>
            </w: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446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737</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161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w:t>
            </w: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1,670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7,184</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202</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r>
      <w:tr>
        <w:trPr>
          <w:trHeight w:val="149"/>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restructuring</w:t>
            </w:r>
          </w:p>
        </w:tc>
        <w:tc>
          <w:tcPr>
            <w:tcW w:w="24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753</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502</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r>
      <w:tr>
        <w:trPr>
          <w:trHeight w:val="149"/>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(429)</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w:t>
            </w:r>
          </w:p>
        </w:tc>
      </w:tr>
      <w:tr>
        <w:trPr>
          <w:trHeight w:val="142"/>
        </w:trPr>
        <w:tc>
          <w:tcPr>
            <w:tcW w:w="7860" w:type="dxa"/>
            <w:vAlign w:val="bottom"/>
            <w:tcBorders>
              <w:bottom w:val="single" w:sz="8" w:color="CFF0FC"/>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(2,267)</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(9,425)</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(442)</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w:t>
            </w: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1,097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1,450</w:t>
            </w:r>
          </w:p>
        </w:tc>
      </w:tr>
      <w:tr>
        <w:trPr>
          <w:trHeight w:val="148"/>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notes receivable</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270</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270</w:t>
            </w:r>
          </w:p>
        </w:tc>
      </w:tr>
      <w:tr>
        <w:trPr>
          <w:trHeight w:val="149"/>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747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699</w:t>
            </w:r>
          </w:p>
        </w:tc>
      </w:tr>
      <w:tr>
        <w:trPr>
          <w:trHeight w:val="148"/>
        </w:trPr>
        <w:tc>
          <w:tcPr>
            <w:tcW w:w="78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 of investments (rabbi trust)</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(496)</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r>
      <w:tr>
        <w:trPr>
          <w:trHeight w:val="142"/>
        </w:trPr>
        <w:tc>
          <w:tcPr>
            <w:tcW w:w="786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1,176</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(620)</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lines credit</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10,604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7,898</w:t>
            </w:r>
          </w:p>
        </w:tc>
      </w:tr>
      <w:tr>
        <w:trPr>
          <w:trHeight w:val="148"/>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Payments on lines of credit</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(5,271)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r>
      <w:tr>
        <w:trPr>
          <w:trHeight w:val="149"/>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4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(169)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5,088</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5,330</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foreign currency exchange rate changes on cash and cash equivalents</w:t>
            </w: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61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40" w:type="dxa"/>
            <w:vAlign w:val="bottom"/>
          </w:tcPr>
          <w:p>
            <w:pPr>
              <w:spacing w:after="0"/>
              <w:rPr>
                <w:sz w:val="12"/>
                <w:szCs w:val="12"/>
                <w:color w:val="auto"/>
              </w:rPr>
            </w:pPr>
          </w:p>
        </w:tc>
        <w:tc>
          <w:tcPr>
            <w:tcW w:w="14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4,058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(4,733)</w:t>
            </w:r>
          </w:p>
        </w:tc>
      </w:tr>
      <w:tr>
        <w:trPr>
          <w:trHeight w:val="148"/>
        </w:trPr>
        <w:tc>
          <w:tcPr>
            <w:tcW w:w="7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5,629</w:t>
            </w:r>
          </w:p>
        </w:tc>
        <w:tc>
          <w:tcPr>
            <w:tcW w:w="1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10,012</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9,687</w:t>
            </w:r>
          </w:p>
        </w:tc>
        <w:tc>
          <w:tcPr>
            <w:tcW w:w="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5,279</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-128270</wp:posOffset>
            </wp:positionV>
            <wp:extent cx="93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FEBRUARY 1, 2026</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5"/>
              </w:rPr>
              <w:t>Capital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auto"/>
                <w:w w:val="96"/>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7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auto"/>
                <w:w w:val="94"/>
              </w:rPr>
              <w:t>Other</w:t>
            </w:r>
          </w:p>
        </w:tc>
        <w:tc>
          <w:tcPr>
            <w:tcW w:w="220" w:type="dxa"/>
            <w:vAlign w:val="bottom"/>
          </w:tcPr>
          <w:p>
            <w:pPr>
              <w:spacing w:after="0"/>
              <w:rPr>
                <w:sz w:val="12"/>
                <w:szCs w:val="12"/>
                <w:color w:val="auto"/>
              </w:rPr>
            </w:pPr>
          </w:p>
        </w:tc>
        <w:tc>
          <w:tcPr>
            <w:tcW w:w="78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174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17"/>
              <w:spacing w:after="0" w:line="140" w:lineRule="exact"/>
              <w:rPr>
                <w:sz w:val="20"/>
                <w:szCs w:val="20"/>
                <w:color w:val="auto"/>
              </w:rPr>
            </w:pPr>
            <w:r>
              <w:rPr>
                <w:rFonts w:ascii="Times New Roman" w:cs="Times New Roman" w:eastAsia="Times New Roman" w:hAnsi="Times New Roman"/>
                <w:sz w:val="13"/>
                <w:szCs w:val="13"/>
                <w:color w:val="auto"/>
              </w:rPr>
              <w:t>Accumulated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Comprehensive</w:t>
            </w:r>
          </w:p>
        </w:tc>
        <w:tc>
          <w:tcPr>
            <w:tcW w:w="10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02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color w:val="auto"/>
                <w:w w:val="97"/>
              </w:rPr>
              <w:t>of Par Value</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78"/>
              <w:spacing w:after="0" w:line="129" w:lineRule="exact"/>
              <w:rPr>
                <w:sz w:val="20"/>
                <w:szCs w:val="20"/>
                <w:color w:val="auto"/>
              </w:rPr>
            </w:pPr>
            <w:r>
              <w:rPr>
                <w:rFonts w:ascii="Times New Roman" w:cs="Times New Roman" w:eastAsia="Times New Roman" w:hAnsi="Times New Roman"/>
                <w:sz w:val="12"/>
                <w:szCs w:val="12"/>
                <w:color w:val="auto"/>
                <w:w w:val="94"/>
              </w:rPr>
              <w:t>Income</w:t>
            </w: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April 27, 2025 *</w:t>
            </w:r>
          </w:p>
        </w:tc>
        <w:tc>
          <w:tcPr>
            <w:tcW w:w="102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720" w:type="dxa"/>
            <w:vAlign w:val="bottom"/>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628</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45,589</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11,273</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22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57,640</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180" w:type="dxa"/>
            <w:vAlign w:val="bottom"/>
          </w:tcPr>
          <w:p>
            <w:pPr>
              <w:spacing w:after="0"/>
              <w:rPr>
                <w:sz w:val="11"/>
                <w:szCs w:val="11"/>
                <w:color w:val="auto"/>
              </w:rPr>
            </w:pPr>
          </w:p>
        </w:tc>
        <w:tc>
          <w:tcPr>
            <w:tcW w:w="9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2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17"/>
        </w:trPr>
        <w:tc>
          <w:tcPr>
            <w:tcW w:w="50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59,352</w:t>
            </w: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0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(13,175)</w:t>
            </w:r>
          </w:p>
        </w:tc>
        <w:tc>
          <w:tcPr>
            <w:tcW w:w="7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0"/>
                <w:szCs w:val="10"/>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0"/>
        </w:trPr>
        <w:tc>
          <w:tcPr>
            <w:tcW w:w="508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August 3, 2025</w:t>
            </w:r>
          </w:p>
        </w:tc>
        <w:tc>
          <w:tcPr>
            <w:tcW w:w="102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12,605,306</w:t>
            </w:r>
          </w:p>
        </w:tc>
        <w:tc>
          <w:tcPr>
            <w:tcW w:w="720" w:type="dxa"/>
            <w:vAlign w:val="bottom"/>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630</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45,683</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11,042</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292</w:t>
            </w:r>
          </w:p>
        </w:tc>
        <w:tc>
          <w:tcPr>
            <w:tcW w:w="22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57,647</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(4,306)</w:t>
            </w:r>
          </w:p>
        </w:tc>
        <w:tc>
          <w:tcPr>
            <w:tcW w:w="180" w:type="dxa"/>
            <w:vAlign w:val="bottom"/>
          </w:tcPr>
          <w:p>
            <w:pPr>
              <w:spacing w:after="0"/>
              <w:rPr>
                <w:sz w:val="11"/>
                <w:szCs w:val="11"/>
                <w:color w:val="auto"/>
              </w:rPr>
            </w:pPr>
          </w:p>
        </w:tc>
        <w:tc>
          <w:tcPr>
            <w:tcW w:w="9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17"/>
        </w:trPr>
        <w:tc>
          <w:tcPr>
            <w:tcW w:w="50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61,178</w:t>
            </w: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0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(3,700)</w:t>
            </w:r>
          </w:p>
        </w:tc>
        <w:tc>
          <w:tcPr>
            <w:tcW w:w="720" w:type="dxa"/>
            <w:vAlign w:val="bottom"/>
          </w:tcPr>
          <w:p>
            <w:pPr>
              <w:spacing w:after="0"/>
              <w:rPr>
                <w:sz w:val="10"/>
                <w:szCs w:val="10"/>
                <w:color w:val="auto"/>
              </w:rPr>
            </w:pPr>
          </w:p>
        </w:tc>
        <w:tc>
          <w:tcPr>
            <w:tcW w:w="3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spacing w:after="0"/>
              <w:rPr>
                <w:sz w:val="10"/>
                <w:szCs w:val="10"/>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0"/>
        </w:trPr>
        <w:tc>
          <w:tcPr>
            <w:tcW w:w="508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November 2, 2025</w:t>
            </w:r>
          </w:p>
        </w:tc>
        <w:tc>
          <w:tcPr>
            <w:tcW w:w="102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12,662,784</w:t>
            </w:r>
          </w:p>
        </w:tc>
        <w:tc>
          <w:tcPr>
            <w:tcW w:w="720" w:type="dxa"/>
            <w:vAlign w:val="bottom"/>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633</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45,841</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6,736</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377</w:t>
            </w:r>
          </w:p>
        </w:tc>
        <w:tc>
          <w:tcPr>
            <w:tcW w:w="22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53,587</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(3,432)</w:t>
            </w:r>
          </w:p>
        </w:tc>
        <w:tc>
          <w:tcPr>
            <w:tcW w:w="180" w:type="dxa"/>
            <w:vAlign w:val="bottom"/>
          </w:tcPr>
          <w:p>
            <w:pPr>
              <w:spacing w:after="0"/>
              <w:rPr>
                <w:sz w:val="11"/>
                <w:szCs w:val="11"/>
                <w:color w:val="auto"/>
              </w:rPr>
            </w:pPr>
          </w:p>
        </w:tc>
        <w:tc>
          <w:tcPr>
            <w:tcW w:w="9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(3,432)</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02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February 1, 2026</w:t>
            </w:r>
          </w:p>
        </w:tc>
        <w:tc>
          <w:tcPr>
            <w:tcW w:w="102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12,662,784</w:t>
            </w:r>
          </w:p>
        </w:tc>
        <w:tc>
          <w:tcPr>
            <w:tcW w:w="720" w:type="dxa"/>
            <w:vAlign w:val="bottom"/>
            <w:tcBorders>
              <w:bottom w:val="single" w:sz="8" w:color="auto"/>
            </w:tcBorders>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633</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45,970</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3,304</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313</w:t>
            </w:r>
          </w:p>
        </w:tc>
        <w:tc>
          <w:tcPr>
            <w:tcW w:w="22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50,220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34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NINE MONTHS ENDED JANUARY 26,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9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Contributed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w w:val="95"/>
              </w:rPr>
              <w:t>Accumulated</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5"/>
              </w:rPr>
              <w:t>Comprehensive</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7"/>
              </w:rPr>
              <w:t>of Par Value</w:t>
            </w:r>
          </w:p>
        </w:tc>
        <w:tc>
          <w:tcPr>
            <w:tcW w:w="160" w:type="dxa"/>
            <w:vAlign w:val="bottom"/>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2"/>
                <w:szCs w:val="12"/>
                <w:color w:val="auto"/>
                <w:w w:val="99"/>
              </w:rPr>
              <w:t>Income</w:t>
            </w:r>
          </w:p>
        </w:tc>
        <w:tc>
          <w:tcPr>
            <w:tcW w:w="16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28"/>
        </w:trPr>
        <w:tc>
          <w:tcPr>
            <w:tcW w:w="5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April 28, 2024 *</w:t>
            </w: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45,011</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30,376</w:t>
            </w: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76,129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(7,261)</w:t>
            </w: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(7,261)</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July 28, 2024</w:t>
            </w: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45,187</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23,115</w:t>
            </w: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69,124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102,720</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1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(13,494)</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0"/>
        </w:trPr>
        <w:tc>
          <w:tcPr>
            <w:tcW w:w="512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October 27, 2024</w:t>
            </w: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1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45,303</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17,471</w:t>
            </w: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63,623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(4,126)</w:t>
            </w: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(4,126)</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9"/>
        </w:trPr>
        <w:tc>
          <w:tcPr>
            <w:tcW w:w="51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January 26, 2025</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45,461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13,345</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59,650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340"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11, 2025, for the fiscal year ended April 27,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nine months ended February 1, 2026, and January 26, 2025, represent 40-week and 39-week periods,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there were no changes in the nature of our significant accounting policies or the application of those policies from those reported in our Annual Report on Form 10-K for the year then ended April 27, 2025. However, during the first quarter of fiscal 2026, we renamed our business segments to better reflect our product offerings: the mattress fabrics segment is now referred to as the bedding segment and the upholstery fabrics segment is now referred to as the upholstery segment. See Note 14 of the consolidated financial statements for further details regarding our business segments.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during the first nine months of fiscal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Effective December 14,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of ASU 2023-09 will not have an impact on our results of operations and financial condition, but will have a material impact on the disclosures required in the notes to the consolidated financial statements, which are disclosed in Note 15.</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 2024-03</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an update to Topic 220, Income Statement - Reporting Comprehensive Income.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the notes to the financial statements for specific expense categories including: (i) purchases of inventory, (ii) employee compensation, (iii) depreciation, (iv) intangible asset amortization, (v) certain amounts that are already required to be disclosed under current generally accepted accounting principles in the same disclosure as other disaggregation requirements, (vi) qualitative description of amounts remaining in relevant expense captions that are not necessarily disaggregated quantitatively, as well as (vii)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our fiscal 2029 interim report). Early adoption is permitted. The company is currently evaluating ASU 2024-03 to determine the impact it will have on its consolidated financial statements and related disclosures.</w:t>
      </w:r>
    </w:p>
    <w:p>
      <w:pPr>
        <w:spacing w:after="0" w:line="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December 2025, the FASB issued ASU No. 2025-11 </w:t>
      </w:r>
      <w:r>
        <w:rPr>
          <w:rFonts w:ascii="Times New Roman" w:cs="Times New Roman" w:eastAsia="Times New Roman" w:hAnsi="Times New Roman"/>
          <w:sz w:val="20"/>
          <w:szCs w:val="20"/>
          <w:i w:val="1"/>
          <w:iCs w:val="1"/>
          <w:color w:val="auto"/>
        </w:rPr>
        <w:t>Interim Reporting (Topic 270) ("</w:t>
      </w:r>
      <w:r>
        <w:rPr>
          <w:rFonts w:ascii="Times New Roman" w:cs="Times New Roman" w:eastAsia="Times New Roman" w:hAnsi="Times New Roman"/>
          <w:sz w:val="20"/>
          <w:szCs w:val="20"/>
          <w:color w:val="auto"/>
        </w:rPr>
        <w:t>ASU 2025-11")</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ASU 2025-11 clarifies interim disclosure requirements and the applicability of Topic 270. ASU 2025-11 adds a comprehensive list of required interim</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20"/>
          <w:szCs w:val="20"/>
          <w:color w:val="auto"/>
        </w:rPr>
        <w:t>disclosures, clarifies the form and content of interim financial statements, and requires disclosure of events since the end of the previous annual reporting period that materially affect the entity. The guidance in ASU 2025-11 is effective for interim periods within fiscal years beginning after December 15, 2027 (i.e., first quarter of our fiscal 2029 annual report) and can be applied either prospectively or retrospectively. Early adoption is permitted. The company is currently evaluating ASU 2025-11 to determine the impact it will have on its consolidated financial statements and related disclosures.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disclosed above, there are currently no new accounting pronouncements that are expected to have a material effect on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February 1, 2026</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bad debts</w:t>
            </w:r>
          </w:p>
        </w:tc>
        <w:tc>
          <w:tcPr>
            <w:tcW w:w="310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31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507</w:t>
            </w:r>
          </w:p>
        </w:tc>
      </w:tr>
    </w:tbl>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and January 26, 2025,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$533,000 and $507,000 as of February 1, 2026, and January 26, 2025,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operations are classified into two business segments: bedding (formerly known as mattress fabrics) and upholstery (formerly known as upholstery fabrics). The bedding segment manufactures, sources, and sells fabrics and mattress covers primarily to bedding manufacturers. The upholstery segment develops, sources, manufactures, and sells fabrics primarily to residential, commercial, and hospitality furniture manufacturers.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upholstery segment includes Read Window Products LLC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(fourth quarter of fiscal 2025), the company announced a strategic transformation of its operating model that combined certain activities within the bedding and upholstery business segments and created one integrated Culp-branded business. As part of this strategic transformation, we closed our leased facilities operated by our upholstery segment located in Burlington, North Carolina, and Knoxville, Tennessee, and transitioned their production and distribution activities utilizing a shared management model within our owned facility located in Stokesdale, North Carolina. See note 10 of the consolidated financial statements for further details regarding this strategic transformation initiative.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bedding and upholstery products, as well as the performance of customized fabrication and installation services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Certain contracts relating to customized fabrication and installation services associated with Read require upfront customer deposits that result in a contract liability that is recorded in the Consolidated Balance Sheets as deferred revenue. Revenue on contract liabilities associated with customized fabrication and installation services is generally recognized within one year, as the satisfaction of performance obligations is generally one year or less. If upfront deposits or prepayments are not required, customers may be granted terms that generally range from 15 to 60 days. Our terms are customary within the industries in which we operate and are not considered financing arrangements.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contract assets recognized as of February 1, 2026, January 26, 2025, or April 27,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February 1, 2026</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1,495</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(1,491)</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r>
      <w:tr>
        <w:trPr>
          <w:trHeight w:val="203"/>
        </w:trPr>
        <w:tc>
          <w:tcPr>
            <w:tcW w:w="5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1,693</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r>
      <w:tr>
        <w:trPr>
          <w:trHeight w:val="19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697</w:t>
            </w:r>
          </w:p>
        </w:tc>
      </w:tr>
    </w:tbl>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February 1, 2026, deferred revenue of $624,000 pertained to: (i) upfront customer deposits associated with customized fabrication and installation services related to Read totaling $603,000, and (ii) an upfront license fee paid to us for the licensing of a certain trademark to be used by an upholstery customer totaling $21,000. As of January 26, 2025, deferred revenue of $697,000 pertained to: (i) upfront customer deposits associated with customized fabrication and installation services relating to Read totaling $593,000, and (ii) an upfront license fee paid to us for the licensing of a certain trademark to be used by an upholstery customer totaling $104,000. As of April 27, 2025, deferred revenue of $422,000 pertained to: (i) upfront customer deposits associated with customized fabrication and installation services relating to Read totaling $339,000, and (ii) an upfront license fee paid to us for the licensing of a certain trademark to be used by an upholstery customer totaling $83,000.</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Revenue recognized during the nine-month periods ended February 1, 2026 and January 26, 2025, that was included in the deferred revenue balance at the beginning of each period was $401,000 and $1.4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Bedding</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27,283</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19,324</w:t>
            </w:r>
          </w:p>
        </w:tc>
        <w:tc>
          <w:tcPr>
            <w:tcW w:w="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46,607</w:t>
            </w: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1,358</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1,358</w:t>
            </w: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27,283</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20,682</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47,965</w:t>
            </w:r>
          </w:p>
        </w:tc>
      </w:tr>
    </w:tbl>
    <w:p>
      <w:pPr>
        <w:spacing w:after="0" w:line="2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ended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0548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86,093</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61,124</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147,217</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86,093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65,766</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151,859</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January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054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28,642</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48,987</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tcPr>
          <w:p>
            <w:pPr>
              <w:spacing w:after="0"/>
              <w:rPr>
                <w:sz w:val="17"/>
                <w:szCs w:val="17"/>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28,642</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120" w:type="dxa"/>
            <w:vAlign w:val="bottom"/>
            <w:shd w:val="clear" w:color="auto" w:fill="CFF0FC"/>
          </w:tcPr>
          <w:p>
            <w:pPr>
              <w:spacing w:after="0"/>
              <w:rPr>
                <w:sz w:val="17"/>
                <w:szCs w:val="17"/>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nine-month period ended January 26,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0548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68,312</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155,104</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February 1,</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January 26,</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vMerge w:val="continue"/>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6,068</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5,502</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5,733</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280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2,657</w:t>
            </w:r>
          </w:p>
        </w:tc>
        <w:tc>
          <w:tcPr>
            <w:tcW w:w="3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2,371</w:t>
            </w:r>
          </w:p>
        </w:tc>
        <w:tc>
          <w:tcPr>
            <w:tcW w:w="3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2,747</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8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43,483</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40,726</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40,829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2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52,208</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48,599</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49,309</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1,</w:t>
            </w: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January 26,</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342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20" w:type="dxa"/>
            <w:vAlign w:val="bottom"/>
          </w:tcPr>
          <w:p>
            <w:pPr>
              <w:spacing w:after="0"/>
              <w:rPr>
                <w:sz w:val="17"/>
                <w:szCs w:val="17"/>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217</w:t>
            </w:r>
          </w:p>
        </w:tc>
        <w:tc>
          <w:tcPr>
            <w:tcW w:w="3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809</w:t>
            </w:r>
          </w:p>
        </w:tc>
        <w:tc>
          <w:tcPr>
            <w:tcW w:w="36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 net</w:t>
            </w:r>
          </w:p>
        </w:tc>
        <w:tc>
          <w:tcPr>
            <w:tcW w:w="34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169</w:t>
            </w: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245</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342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386</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1,594</w:t>
            </w: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segment. This tradename was determined to have an indefinite useful life at the time of its acquisition, and therefore was not amortized.</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were required to assess our tradename for impairment annually or between annual tests if we believed indicators of impairment existed. Accordingly, we performed our annual impairment assessment of Read's tradename as of April 27, 2025. Initially, we performed a qualitative assessment in which we concluded it was more-likely-than-not the fair value of Read's tradename was less than its carrying amount. This conclusion was based on management's decision, announced on April 24, 2025, to strategically transform the company's operating model by combining certain activities within the bedding and upholstery business segments and creating one integrated and Culp-branded business. Since the company is transforming to a single Culp-branded business, Read's tradename will be phased out during fiscal 2026, and will no longer be used to market upholstery fabric products to customers associated with the hospitality industry. Consequently, we recorded an asset impairment charge totaling $540,000 during the fourth quarter of fiscal 2025, which represents the entire carrying value of our Read tradename. This charge was classified as restructuring expense within our Consolidated Statement of Net Loss for the twelve-month period ended April 27,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19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February 1, 2026</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734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Loss on impairment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2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19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20"/>
          <w:szCs w:val="20"/>
          <w:color w:val="auto"/>
        </w:rPr>
        <w:t>Our customer relationships related to our bedding segment and Read were amortized on a straight-line basis over useful lives of seventeen and nine years, respectively.</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February 1, 2026, management performed a qualitative assessment of Read's customer relationships, as certain indicators of impairment existed, and accordingly, we believed it was more-likely-than-not the fair value of Read's customer relationships was less than its carrying amount. Management's conclusion was based on a significant decline in net sales during fiscal 2026 that was more than anticipated. Read's net sales during the first nine months of fiscal 2026 totaled $4.8 million, a decrease of $4.9 million, or 50.8%, compared with net sales of $9.7 million during the first nine months of fiscal 2025. In addition, the decline in Read's net sales and profitability during fiscal 2026 are also attributable to the closure of Read's facility located in Knoxville, Tennessee, and the transition of certain production activities to our manufacturing facility located in Stokesdale, North Carolina, as well strategically sourcing production and materials with long-standing supply partners. Based on this uncertainty, we recorded an asset impairment charge totaling $291,000 which represents the entire carrying value of Read's customer relationships. This charge was classified within restructuring expense (credit) within our Consolidated Statement of Net Loss for the three-month and nine-month periods ended February 1, 2026.</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$868,000, $3.1 million, and $3.1 million as of February 1, 2026, January 26, 2025, and April 27, 2025, respectively. Accumulated amortization for our customer relationships was $651,000, $2.3 million and $2.4 million as of February 1, 2026, January 26, 2025, and April 27, 2025,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five fiscal years is as follows: FY 2026 - $13,000; FY 2027 - $51,000; FY 2028 - $51,000; FY 2029 - $51,000; and FY 2030 - $51,000.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4.3 years as of February 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19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February 1, 2026</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r>
      <w:tr>
        <w:trPr>
          <w:trHeight w:val="20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96"/>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bedding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February 1, 2026, January 26, 2025, and April 27, 2025, respectively. Accumulated amortization for our non-compete agreement was $1.9 million, $1.8 million, and $1.8 million as of February 1, 2026, January 26, 2025, and April 27, 2025,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three fiscal years is as follows: FY 2026 - $18,000; FY 2027 - $76,000; and FY 2028 - $75,000.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2.3 years as of February 1, 2026.</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Definite Lived-Assets - Bedding Segment</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February 1, 2026, management reviewed the long-lived assets associated with our bedding segment, which consisted of property, plant, and equipment and definite-lived intangible assets (collectively known as the "Bedding Asset Group"), for impairment, as events and changes in circumstances occurred that indicated the carrying amount of the Bedding Asset Group may not be recoverable. The bedding segment has experienced significant cumulative operating losses commencing in the second quarter of fiscal 2023, and continuing through the third quarter of fiscal 2026. We believe the significant cumulative operating losses started from a decline in consumer discretionary spending on bedding products, which we believed stemmed from the following factors: (i) inflationary effects of commodities such as gas, food, and other necessities; (ii) a significant increase in interest rates; (iii) the pulling forward of demand for home goods products during the early years of the COVID-19 pandemic,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such demand subsequently shifting to travel, leisure, and other services; and (iv) excess inventory held by customers due to the decline in consumer demand.</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Bedding Asset Group, which is classified as held and used, by comparing the carrying amount of the Bedding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Bedding Asset Group totaled $20.7 million, which represents property, plant, and equipment of $20.4 million, customer relationships of $217,000, and a non-compete agreement of $169,000. The total carrying amount of the Bedding Asset Group did not exceed the sum of its future undiscounted cash flows from its use and disposition. As a result, we determined there was no impairment associated with the Bedding Asset Group as of February 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Notes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Rayonese Textile, Inc.</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sale of the company's manufacturing facility and related land (collectively referred to as the "Property") located in Quebec, Canada, we entered into an amended agreement, effective April 2, 2025, which incorporated an original agreement and prior amendment (collectively referred to as the "Sales Agreement"), to sell our Property to a third party (the "Buyer") with a closing date of April 30, 2025. Pursuant to the Sales Agreement, the total sales price for the Property was $8.6 million CAD ($6.2 million USD as of April 30, 2025), with $2.0 million CAD ($1.4 million USD as of April 30, 2025) paid prior to and at closing, and the remaining balance of $6.6 million CAD ($4.8 million USD as of April 30, 2025) due by April 30, 2026. Interest is earned on the note receivable at rates ranging from 6% to 10% and collected monthly as specified in the Sales Agreement. Refer to Notes 8 and 10 of the consolidated financial statements for further details of the sale of the Property and a description of our restructuring activities.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the outstanding balance of this note receivable was $6.6 million CAD ($4.8 million USD), which represents its fair value due to the relative short maturity of this note receivable as specified in the Sales Agreement. As of February 1, 2026, we believe there is no expected credit loss related to the collectibility of this note receivable, as the Buyer paid $1.4 million USD prior to and at closing and has made all the required interest payments as specified in the Sales Agreement. We will continue to evaluate the facts and circumstances at the end of each reporting period to determine if an expected credit loss is deemed necessary.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Culp Upholstery Fabrics - Haiti, Ltd. ("CUF Haiti")</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Effective January 24, 2023, CUF Haiti entered into an agreement to terminate a lease ("CUF Termination Agreement") of a facility located in Ouanaminthe, Haiti. Pursuant to the terms of the CUF Termination Agreement, the original lease agreement (the "Original Lease") was formally terminated when CUF Haiti vacated and returned possession of the leased facility to the lessor. Subsequently, a third party (the "Lessee") took possession of this facility and agreed to pay CUF Haiti $2.4 million in the form of a note receivable over a period commencing on April 1, 2023 and ending on December 31, 2029, based on the terms stated in the CUF Termination Agreement. In addition, as described in the CUF Termination Agreement, an affiliate of the Lessee guaranteed payment in full of all amounts due and payable to CUF Haiti by the Lessee, and CUF Haiti was fully and unconditionally discharged from all of its remaining obligations under the Original Lease.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initial gross carrying amount of this note receivable was $2.4 million and was recorded at its fair value of $2.0 million, which represented the present value of future discounted cash flows based on the payment amounts and timing of such payments due from the Lessee as stated in the CUF Termination Agreement. We used an interest rate of 6% to determine the present value of the future discounted cash flows, based on significant unobservable inputs and assumptions determined by management such as: (i) the credit characteristics of the Lessee and guarantor of the CUF Termination Agreement; (ii) the length of the payment terms as defined in the CUF Termination Agreement; (iii) the payment terms as defined in the CUF Termination Agreement are denominated in USD; and (iv) the fact that the facility is located in, and the Lessee and guarantor conduct business in, Haiti, a foreign country. Since management used significant unobservable inputs and assumptions to determine the fair value of this note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20"/>
          <w:szCs w:val="20"/>
          <w:color w:val="auto"/>
        </w:rPr>
        <w:t>receivable, this note receivable was classified as Level 3 within the fair value hierarchy (see Note 12 of the consolidated financial statements for further explanation of the fair value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May 1, 2023, CUF Haiti formally assigned this note receivable to Culp, Inc. (its U.S. parent).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January 26, 2025 and April 27, 2025, the outstanding balance under this agreement was $1.3 million, $1.5 million, and $1.5 million, respectively. As of February 1, 2026, we believe there is no expected credit loss related to the collectability of this note receivable, as the Lessee has made all of the required principal payments stated in the CUF Termination Agreement. We will continue to evaluate the facts and circumstances at the end of each reporting period to determine if an expected credit loss is deemed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Culp Home Fashions - Haiti, Ltd. ("CHF Haiti")</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August 2, 2024, CHF Haiti entered into an agreement to terminate a lease of a facility ("CHF Termination Agreement"). Pursuant to the terms of the CHF Termination Agreement, CHF Haiti was entitled to a payment of $250,000 from the lessor at the earlier of February 18, 2025, or 15 days after a new lease with a third party lessee was signed. In connection with the CHF Termination Agreement, CHF Haiti has been unconditionally discharged from all its remaining obligations under this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fiscal 2025, CHF Haiti received the full payment of $250,000.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for the notes receivable referenced above as of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020" cy="1714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4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w:t>
            </w:r>
          </w:p>
        </w:tc>
      </w:tr>
      <w:tr>
        <w:trPr>
          <w:trHeight w:val="196"/>
        </w:trPr>
        <w:tc>
          <w:tcPr>
            <w:tcW w:w="5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00" w:type="dxa"/>
            <w:vAlign w:val="bottom"/>
            <w:tcBorders>
              <w:top w:val="single" w:sz="8" w:color="CFF0FC"/>
            </w:tcBorders>
          </w:tcPr>
          <w:p>
            <w:pPr>
              <w:spacing w:after="0"/>
              <w:rPr>
                <w:sz w:val="17"/>
                <w:szCs w:val="17"/>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notes receivable totaled $6.1 million, of which $5.2 million and $936,000 were classified as short-term notes receivable and long-term notes receivable, respectively. As of January 26, 2025 notes receivable totaled $1.8 million, of which $526,000 and $1.3 million were classified as short-term notes receivable and long-term notes receivable, respectively. As of April 27, 2025, notes receivable totaled $1.5 million, of which $280,000 and $1.2 million were classified as short-term notes receivable and long-term notes receivable, respectively.</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classified amortization of unearned interest income totaling $62,000 and $74,000 within interest income in our consolidated statements of net loss during the nine-month periods ended February 1, 2026, and January 26, 2025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Assets Held for Sale</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April 27, 2025, and January 26, 2025, we classified certain assets as held for sale totaling $2.2 million, which mostly related to the manufacturing facility and related land (collectively referred to as the "Property") associated with the closure of our operations located in Quebec, Canada. We determined that the fair value of the Property exceeded its carrying value, and therefore no impairment charge was recorded during the third and fourth quarters of fiscal 2025. The fair value of the Property and equipment was based on quoted market prices from third party sales offers, which we believe are significant observable inputs, and therefore we believe this information was classified as Level 2 within the fair value hierarchy.</w:t>
      </w:r>
    </w:p>
    <w:p>
      <w:pPr>
        <w:spacing w:after="0" w:line="157"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2026, we sold the Property and recognized a gain from this sale totaling $4.0 million that was classified within restructuring credit in the Consolidated Statement of Net Loss for the nine-month period ended February 1, 2026. As a result, the bedding segment did not have any assets classified as held for sale as of February 1, 2026.</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4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See notes 7 and 10 of the consolidated financial statements for further details regarding the Sales Agreement associated with the sale of the Property and description of the restructuring activity announced on May 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of the consolidated financial statements for further explanation of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138430</wp:posOffset>
            </wp:positionV>
            <wp:extent cx="93980" cy="299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138430</wp:posOffset>
            </wp:positionV>
            <wp:extent cx="93980" cy="299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138430</wp:posOffset>
            </wp:positionV>
            <wp:extent cx="102870" cy="299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29972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February 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January 26,</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April 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Restructuring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 Announced May 1, 2024</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(i) consolidate the company's North American bedding operations, including the closure and sale of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restructuring activities were completed by the end of the second quarter of fiscal 2026, including the sale of the Property located in Quebec, Canada. Accordingly, we recorded a gain from the sale of this Property totaling $4.0 million that was classified within restructuring credit in the Consolidated Statement of Net Loss for the nine-month period ended February 1, 2026. See notes 7 and 8 of the consolidated financial statements for further details regarding the Sales Agreement associated with the sale of the Property and determination of fair value regarding the Property and equipment.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Since inception of this restructuring initiative, we incurred cumulative restructuring and restructuring related charges totaling $5.3 million, most of which is related to the bedding segment. Of this total $5.3 million, $7.2 million and $(1.9) million, represent a cash restructuring and related charge and a non-cash restructuring credit,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 Announced April 24, 2025</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 we closed our leased facilities operated by our upholstery segment located in Burlington, North Carolina, and Knoxville, Tennessee, and transitioned their production and distribution activities to a shared management model within our owned facility located in Stokesdale, North Carolina, which has historically been solely operated by our bedding segment.</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restructuring activities were mostly completed by the end of the third quarter of fiscal 2026. Since inception of this restructuring initiative, we incurred cumulative restructuring and restructuring related charges totaling $2.6 million, of which $2.3 million and $265,000 related to the upholstery and bedding segments, respectively. Of this total $2.6 million, $1.3 million and $1.3 million represents a cash restructuring and related charge and a non-cash restructuring charge,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(credit) and restructuring related charges associated with the above announcements for the three-month and nine-month periods ended February 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2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2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0" w:type="dxa"/>
            <w:vAlign w:val="bottom"/>
          </w:tcPr>
          <w:p>
            <w:pPr>
              <w:spacing w:after="0"/>
              <w:rPr>
                <w:sz w:val="1"/>
                <w:szCs w:val="1"/>
                <w:color w:val="auto"/>
              </w:rPr>
            </w:pPr>
          </w:p>
        </w:tc>
      </w:tr>
      <w:tr>
        <w:trPr>
          <w:trHeight w:val="199"/>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6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(credit) expense</w:t>
            </w:r>
          </w:p>
        </w:tc>
        <w:tc>
          <w:tcPr>
            <w:tcW w:w="15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15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60" w:type="dxa"/>
            <w:vAlign w:val="bottom"/>
            <w:shd w:val="clear" w:color="auto" w:fill="C1E5F5"/>
          </w:tcPr>
          <w:p>
            <w:pPr>
              <w:spacing w:after="0"/>
              <w:rPr>
                <w:sz w:val="17"/>
                <w:szCs w:val="17"/>
                <w:color w:val="auto"/>
              </w:rPr>
            </w:pPr>
          </w:p>
        </w:tc>
        <w:tc>
          <w:tcPr>
            <w:tcW w:w="14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1E5F5"/>
          </w:tcPr>
          <w:p>
            <w:pPr>
              <w:spacing w:after="0"/>
              <w:rPr>
                <w:sz w:val="17"/>
                <w:szCs w:val="17"/>
                <w:color w:val="auto"/>
              </w:rPr>
            </w:pPr>
          </w:p>
        </w:tc>
        <w:tc>
          <w:tcPr>
            <w:tcW w:w="280" w:type="dxa"/>
            <w:vAlign w:val="bottom"/>
            <w:shd w:val="clear" w:color="auto" w:fill="C1E5F5"/>
          </w:tcPr>
          <w:p>
            <w:pPr>
              <w:spacing w:after="0"/>
              <w:rPr>
                <w:sz w:val="17"/>
                <w:szCs w:val="17"/>
                <w:color w:val="auto"/>
              </w:rPr>
            </w:pPr>
          </w:p>
        </w:tc>
        <w:tc>
          <w:tcPr>
            <w:tcW w:w="14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1E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6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(credit) and restructuring related charges (1) (2) (3)</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60" w:hanging="352"/>
        <w:spacing w:after="0" w:line="254" w:lineRule="auto"/>
        <w:tabs>
          <w:tab w:leader="none" w:pos="30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$584,000 was classified within restructuring expense in the Consolidated Statement of Net Loss for the three-month period ended February 1, 2026. Of the $584,000 restructuring expense, $565,000 and $19,000 related to the upholstery and bedding segments, respectively.</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0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$(1.5) million net restructuring credit and restructuring related charge, a $(2.4) million credit and $931,000 charge were classified within restructuring credit and cost of sales, respectively, in the Consolidated Statement of Net Loss for the nine-month period ended February 1, 2026. Of the total ($1.5) million net restructuring credit and restructuring related charge, a credit of ($3.1) million and a charge of $1.6 million related to the bedding and upholstery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2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$584,000 restructuring expense for the three months ended February 1, 2026, $577,000 and $7,000 related to the restructuring activities announced on April 24, 2025, and May 1, 2024, respectively. Of the total $(1.5) million net restructuring credit and restructuring related charge for the nine months ended February 1, 2026, a credit of $(3.4) million and a charge of $1.9 million related to the restructuring activities announced on May 1, 2024, and April 24, 2025, respectively.</w:t>
      </w:r>
    </w:p>
    <w:p>
      <w:pPr>
        <w:spacing w:after="0" w:line="19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and restructuring related charges associated with the May 1, 2024 announcement described above for the three-month and nine-month periods ended January 26,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16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6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6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54" w:lineRule="auto"/>
        <w:tabs>
          <w:tab w:leader="none" w:pos="33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$2.3 million restructuring expense and restructuring related charge, $1.7 million and $624,000 were classified within restructuring expense and cost of sales, respectively, in the Consolidated Statement of Net Loss for the three-month period ended January 26, 2025. The $2.3 million mostly relates to the bedding segment.</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2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$7.8 million restructuring expense and restructuring related charge, $6.3 million and $1.5 million were classified within restructuring expense and cost of sales, respectively, in the Consolidated Statement of Net Loss for the nine-month period ended January 26, 2025. The $7.8 million mostly relates to the bedding segment.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nine-month period ended February 1, 2026: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Facility</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Employee</w:t>
            </w:r>
          </w:p>
        </w:tc>
        <w:tc>
          <w:tcPr>
            <w:tcW w:w="2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Other</w:t>
            </w: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Consolidation</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Termination</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Associated</w:t>
            </w:r>
          </w:p>
        </w:tc>
        <w:tc>
          <w:tcPr>
            <w:tcW w:w="22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and Relocation</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Benefits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1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6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(584)</w:t>
            </w: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c>
          <w:tcPr>
            <w:tcW w:w="2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c>
          <w:tcPr>
            <w:tcW w:w="3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16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-144780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-144780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nine-month period ended January 26,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Facility</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Employee</w:t>
            </w:r>
          </w:p>
        </w:tc>
        <w:tc>
          <w:tcPr>
            <w:tcW w:w="2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2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Consolidation</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Termination</w:t>
            </w:r>
          </w:p>
        </w:tc>
        <w:tc>
          <w:tcPr>
            <w:tcW w:w="26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Associated</w:t>
            </w:r>
          </w:p>
        </w:tc>
        <w:tc>
          <w:tcPr>
            <w:tcW w:w="22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and Relocation</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Benefits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 (1)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16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6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w:t>
            </w: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(3,408)</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16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4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-145415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60" w:right="20" w:hanging="352"/>
        <w:spacing w:after="0" w:line="269" w:lineRule="auto"/>
        <w:tabs>
          <w:tab w:leader="none" w:pos="3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restructuring costs of $3,000 were reported within accrued expenses in the Consolidated Balance Sheet for the period ended April 28, 2024.</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Lines of Credit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summary of outstanding borrowings under our lines of credit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February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January 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 27,</w:t>
            </w:r>
          </w:p>
        </w:tc>
        <w:tc>
          <w:tcPr>
            <w:tcW w:w="0" w:type="dxa"/>
            <w:vAlign w:val="bottom"/>
          </w:tcPr>
          <w:p>
            <w:pPr>
              <w:spacing w:after="0"/>
              <w:rPr>
                <w:sz w:val="1"/>
                <w:szCs w:val="1"/>
                <w:color w:val="auto"/>
              </w:rPr>
            </w:pPr>
          </w:p>
        </w:tc>
      </w:tr>
      <w:tr>
        <w:trPr>
          <w:trHeight w:val="234"/>
        </w:trPr>
        <w:tc>
          <w:tcPr>
            <w:tcW w:w="2140" w:type="dxa"/>
            <w:vAlign w:val="bottom"/>
            <w:tcBorders>
              <w:bottom w:val="single" w:sz="8" w:color="auto"/>
            </w:tcBorders>
            <w:vMerge w:val="continue"/>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Wells Fargo - U.S. revolving line of credit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supplier financing arrangements</w:t>
            </w:r>
          </w:p>
        </w:tc>
        <w:tc>
          <w:tcPr>
            <w:tcW w:w="1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Bank of China - working capital loan</w:t>
            </w:r>
          </w:p>
        </w:tc>
        <w:tc>
          <w:tcPr>
            <w:tcW w:w="1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of China - working capital loan</w:t>
            </w:r>
          </w:p>
        </w:tc>
        <w:tc>
          <w:tcPr>
            <w:tcW w:w="1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 (1)</w:t>
            </w:r>
          </w:p>
        </w:tc>
        <w:tc>
          <w:tcPr>
            <w:tcW w:w="3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ind w:left="340" w:hanging="269"/>
        <w:spacing w:after="0" w:line="246" w:lineRule="auto"/>
        <w:tabs>
          <w:tab w:leader="none" w:pos="36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$18.5 million, $11.5 million and $7.0 million were recorded within lines of credit - current and line of credit - long-term, respectively, within the Consolidated Balance Sheet as of February 1, 2026. The total $5.4 million was recorded within lines of credit - current within the Consolidated Balance Sheet as of January 26, 2025. Of the total $12.7 million, $8.1 million and $4.6 million were recorded within lines of credit - current and line of credit - long-term, respectively, within the Consolidated Balance Sheet as of April 27,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June 12, 2025, Culp, Inc., as borrower (the “Company”), and Read and Culp Fabrics Global, LLC, each a wholly 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amends the Second Amended and Restated Credit Agreement dated as of January 19, 2023, (as amended, restated, supplemented, or otherwise modified from time to time, the “Credit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Agreement”), an asset-based revolving credit facility (the “ABL Facility”). Proceeds from the ABL Facility may be used to pay fees and expenses related to the ABL Facility and to provide funding for ongoing working capital and general corporate purposes. The Credit Agreement amended, restated, superseded, and served as a replacement for, the Amended and Restated Credit Agreement dated as of June 24, 2022, as amended, by and between the Company and the Lender.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Third Amendment, the term of the ABL Facility was extended for three years and now matures on June 12, 2028.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Credit Agreement, the ABL Facility contains the following terms: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$30.0 million, which may be increased upon mutual agreement by up to $10.0 million via an accordion feature, subject to the limitations described below.</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4, 2025 (third quarter of fiscal 2026), the Company entered into a Fourth Amendment to the Second Amended and Restated Credit Agreement which increased the aggregate amount of letters of credit that could be issued by the Company from $2.0 million to $3.0 million.</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amount available under the ABL Facility is limited by a borrowing base consisting of certain eligible accounts receivable and inventory, reduced by specified reserves, as follows:</w:t>
      </w:r>
    </w:p>
    <w:p>
      <w:pPr>
        <w:spacing w:after="0" w:line="5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229" w:lineRule="exact"/>
        <w:rPr>
          <w:rFonts w:ascii="Times New Roman" w:cs="Times New Roman" w:eastAsia="Times New Roman" w:hAnsi="Times New Roman"/>
          <w:sz w:val="20"/>
          <w:szCs w:val="20"/>
          <w:color w:val="auto"/>
        </w:rPr>
      </w:pPr>
    </w:p>
    <w:p>
      <w:pPr>
        <w:ind w:left="920" w:hanging="163"/>
        <w:spacing w:after="0"/>
        <w:tabs>
          <w:tab w:leader="none" w:pos="9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$4.0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188" w:lineRule="exact"/>
        <w:rPr>
          <w:sz w:val="20"/>
          <w:szCs w:val="20"/>
          <w:color w:val="auto"/>
        </w:rPr>
      </w:pPr>
    </w:p>
    <w:p>
      <w:pPr>
        <w:ind w:left="980" w:hanging="223"/>
        <w:spacing w:after="0"/>
        <w:tabs>
          <w:tab w:leader="none" w:pos="9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million; and</w:t>
      </w:r>
    </w:p>
    <w:p>
      <w:pPr>
        <w:spacing w:after="0" w:line="229"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minus applicable reserves.</w:t>
      </w:r>
    </w:p>
    <w:p>
      <w:pPr>
        <w:spacing w:after="0" w:line="3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that bear interest at an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20"/>
          <w:szCs w:val="20"/>
          <w:color w:val="auto"/>
        </w:rPr>
        <w:t>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obligations under the ABL Facility (and certain related obligations) are: (i) guaranteed by the Guarantors and each of the company’s future domestic subsidiaries is required to guarantee the ABL Facility on a senior secured basis (such guarantors and the company, the “Loan Parties”) and (ii) secured by all assets of the Loan Parties on a first priority basis, subject to certain exceptions.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Cash Dominion. </w:t>
      </w:r>
      <w:r>
        <w:rPr>
          <w:rFonts w:ascii="Times New Roman" w:cs="Times New Roman" w:eastAsia="Times New Roman" w:hAnsi="Times New Roman"/>
          <w:sz w:val="20"/>
          <w:szCs w:val="20"/>
          <w:color w:val="auto"/>
        </w:rPr>
        <w:t>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shall end when Excess Availability shall be equal to or greater than $6.0 million for a period of 60 consecutive days and no event of default is continuing.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Financial Covenants. </w:t>
      </w:r>
      <w:r>
        <w:rPr>
          <w:rFonts w:ascii="Times New Roman" w:cs="Times New Roman" w:eastAsia="Times New Roman" w:hAnsi="Times New Roman"/>
          <w:sz w:val="20"/>
          <w:szCs w:val="20"/>
          <w:color w:val="auto"/>
        </w:rPr>
        <w:t>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$4.5 million at such time. Such compliance period shall end when Excess Availability shall be equal to or greater than $4.5 million for a period of 60 consecutive days and no event of default is continuing.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Affirmative and Restrictive Covenants. </w:t>
      </w:r>
      <w:r>
        <w:rPr>
          <w:rFonts w:ascii="Times New Roman" w:cs="Times New Roman" w:eastAsia="Times New Roman" w:hAnsi="Times New Roman"/>
          <w:sz w:val="20"/>
          <w:szCs w:val="20"/>
          <w:color w:val="auto"/>
        </w:rPr>
        <w:t>The Credit Agreement governing the ABL Facility contains customary representations and warranties,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affirmative and negative covenants (subject, in each case, to exceptions and qualifications) and events of default,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applicable interest rate under the ABL Facility was 5.64%, 5.80%, and 5.78% as of February 1, 2026, January 26, 2025, and April 27, 2025, respectively.</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were $2.8 million, $925,000, and $925,000 of outstanding letters of credit provided by the ABL Facility as of February 1, 2026, January 26, 2025, and April 27, 2025, respectively. As of February 1, 2026, we had $225,000 remaining for the issuance of additional letters of credit based on an aggregate letter of credit amount not to exceed $3.0 million as stated in the Fourth Amendment to the Credit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 2026, our available borrowings calculated under the provisions of the Credit Agreement totaled $13.7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redit Agreements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Agricultural Bank of China ("ABC") - Unsecured Credit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March 5, 2025, we entered into an unsecured credit agreement that provides for a line of credit up to 29.0 million RMB ($4.2 million USD as of February 1, 2026) that was set to expire on March 4, 2026. Interest charged under this agreement is based on a rate determined by ABC (applicable interest rate of 2.6% as of February 1, 2026). The outstanding balance associated with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agreement was $4.2 million USD, $4.0 million USD, and $4.0 million USD, as of February 1, 2026, January 26, 2025, and April 27, 2025, respectively, and was classified as lines of credit-current in the Consolidated Balance Sheets.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unsecured line of credit agreement was paid in full on March 3, 2026. See the below ABC-Working Capital Loans section for description and terms of new term loan effective March 3,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ABC - Supplier Financing Arrangements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company's request, certain suppliers entered into supply chain financing arrangements, which such arrangements totaled 20.0 million RMB ($2.9 million USD as of February 1, 2026), and are set to expire on dates ranging from April 2, 2026, through April 23, 2026. As a result of these expiration dates, we were able to extend our payment terms beyond those that are normal and customary. The suppliers that entered into these supply chain financing arrangements assigned their receivables due from the company to ABC, under a reverse factoring agreement with no recourse, and, in turn, received payments from ABC under terms that are normal and customary. Interest was charged under these agreements at a fixed rate of 2.72% and was paid in full at the time these agreements were effective. The outstanding balance associated with this agreement was $2.9 million USD and $2.8 million USD, and was classified as lines of credit-current in the Consolidated Balance Sheets as of February 1, 2026, and April 27, 2025, respectively. There were no supplier financing arrangements as of January 26, 2025.</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the activity associated with our supply chain financing arrangements for the nine-month periods ended February 1, 2026, and January 26,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February 1, 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January 26,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Vendor invoices financed during the year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Vendor invoices paid during the year</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rate remeasurement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ABC - Working Capital Loans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quarter of fiscal 2026, we entered into unsecured loan agreements totaling 21.0 million RMB ($3.0 million USD as of February 1, 2026), which such agreements are set to expire on dates ranging from May 7, 2026, through May 25, 2026. Interest charged under these agreements is based on rates determined by ABC (applicable interest rates ranged from 2.5% to 2.6% as of February 1, 2026). The outstanding balance associated with these agreement was $3.0 million USD and was classified as lines of credit-current in the Consolidated Balance Sheet as of February 1, 2026.</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March 3, 2026, we entered into an additional unsecured loan agreement totaling 29 million RMB ($4.2 million USD as of March 3, 2026), which such agreement is set to expire on March 1, 2027 and bears interest at rate of 2.4%. On March 3, 2026, the company borrowed 29 million RMB ($4.2 million USD) in accordance with this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Bank of China "BOC" - Credit Agreement</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Effective November 5, 2024, we entered into a credit agreement that provided for a 10.0 million RMB ($1.4 million USD as of November 5, 2024) unsecured working capital loan and 25.0 million RMB ($3.5 million USD as of November 5, 2024) for letters of credit, guarantees, and other financing arrangements secured by trade accounts receivable associated with the company’s operations located in China. The working capital loan and letters of credit expired on November 6, 2025. Interest charged under this agreement was 2.6% as determined by BOC. The outstanding balance under this agreement was $1.4 million USD and was classified as lines of credit-current in the Consolidated Balance Sheets as of January 26, 2025, and April 27, 2025. In addition, as of January 26, 2025, and April 27, 2025, there were no outstanding letters of credit under this agreement.</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November 6, 2025 (third quarter of fiscal 2026), we paid in full the outstanding balance of 10.0 million RMB ($1.4 million USD) regarding the above unsecured working capital loan effective November 5, 2024. Effective November 7, 2025, we entered into a new credit agreement that provides for a 10.0 million RMB ($1.4 million USD as of February 1, 2026) unsecured working capital loan and 25.0 million RMB ($3.6 million USD as of February 1, 2026) for letters of credit, guarantees, and other financing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arrangements secured by trade accounts receivable associated with the company’s operations located in China. The working capital loan and letters of credit expire on November 11, 2026. Interest is charged based on a fixed rate of 2.5%. The outstanding balance under this agreement was $1.4 million USD and was classified as lines of credit-current in the Consolidated Balance Sheets as of February 1, 2026. In addition, as of February 1, 2026, there were no outstanding letters of credit under this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China Construction Bank Corporation ("CCB")</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2026, CCB approved total borrowings of 30.0 million RMB ($4.3 million USD as of February 1, 2026), which includes a 20.0 million RMB ($2.9 million USD as of February 1, 2026) working capital loan, as well as a 10.0 million RMB ($1.4 million USD as of February 1, 2026) supplier financing arrangement. Specific terms such as interest rate, effective date, and expiration date are determined at the time of borrowing. As of February 1, 2026, no borrowings were made by the company with CCB.</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February 1, 2026, we were in compliance with all such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payments totaled $491,000 and $16,000 during the nine-month periods ended February 1, 2026, and January 26, 2025,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Fair Value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to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February 1, 2026,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4,656</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4,656</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1,065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1,065</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448</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387</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r>
      <w:tr>
        <w:trPr>
          <w:trHeight w:val="20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407</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January 26, 2025,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6,606</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6,606</w:t>
            </w:r>
          </w:p>
        </w:tc>
      </w:tr>
      <w:tr>
        <w:trPr>
          <w:trHeight w:val="202"/>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835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278</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r>
      <w:tr>
        <w:trPr>
          <w:trHeight w:val="409"/>
        </w:trPr>
        <w:tc>
          <w:tcPr>
            <w:tcW w:w="4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Fair value measurements as of April 27, 2025, using:</w:t>
            </w:r>
          </w:p>
        </w:tc>
        <w:tc>
          <w:tcPr>
            <w:tcW w:w="960" w:type="dxa"/>
            <w:vAlign w:val="bottom"/>
            <w:tcBorders>
              <w:bottom w:val="single" w:sz="8" w:color="auto"/>
            </w:tcBorders>
          </w:tcPr>
          <w:p>
            <w:pPr>
              <w:spacing w:after="0"/>
              <w:rPr>
                <w:sz w:val="24"/>
                <w:szCs w:val="24"/>
                <w:color w:val="auto"/>
              </w:rPr>
            </w:pPr>
          </w:p>
        </w:tc>
      </w:tr>
      <w:tr>
        <w:trPr>
          <w:trHeight w:val="18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5,682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5,682</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808</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808</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271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in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February 1, 2026, our investments associated with the Trust totaled $7.0 million, of which $1.9 million and $5.1 million were classified as short-term and long-term, respectively. As of January 26, 2025, our investments associated with the Trust totaled $8.0 million, of which $1.8 million and $6.2 million were classified as short-term and long-term, respectively. As of April 27, 2025, our investments associated with the Trust totaled $7.0 million, of which $1.3 million and $5.7 million were classified as short-term and long-term, respectively. The investments associated with the Trust had an accumulated unrealized gain totaling $313,000, $216,000, and $150,000 as of February 1, 2026, January 26, 2025, and April 27, 2025, respectively.</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February 1, 2026, January 26, 2025, and April 27, 2025, the cost basis of our investments associated with the Trust was $6.7 million, $7.8 million, and $6.9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lines of credit - current, accounts payable, and accrued expenses approximates their fair value because of the short maturity of these financial instruments. The carrying amount of our line of credit - long-term approximates its fair value as the variable rates of interest associated with the respective line of credit are comparable with the market rate of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12,663,000 and 12,559,000 for the three months ended February 1, 2026, and January 26, 2025,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460" w:type="dxa"/>
            <w:vAlign w:val="bottom"/>
            <w:tcBorders>
              <w:top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12,619,000 and 12,514,000 for the nine months ended February 1, 2026, and January 26, 2025, respectively.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460" w:type="dxa"/>
            <w:vAlign w:val="bottom"/>
            <w:tcBorders>
              <w:top w:val="single" w:sz="8" w:color="auto"/>
            </w:tcBorders>
            <w:gridSpan w:val="3"/>
          </w:tcPr>
          <w:p>
            <w:pPr>
              <w:jc w:val="right"/>
              <w:ind w:right="993"/>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quarter of fiscal 2026, we renamed our two reportable business segments to better reflect our product offerings. Our former mattress fabrics segment is now known as the bedding segment and our former upholstery fabrics segment is now known as the upholstery segment. The bedding segment manufactures, sources, and sells fabrics and mattress covers primarily to bedding manufacturers. The upholstery segment develops, sources, manufactures, and sells fabrics primarily to residential, commercial, and hospitality furniture manufacturers.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upholstery segment includes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combined certain activities within the bedding and upholstery business segments and created one integrated Culp-branded business. As part of this strategic transformation, we closed our leased facilities operated by our upholstery segment located in Burlington, North Carolina, and Knoxville, Tennessee, and transitioned their production and distribution activities to a shared management model within our owned facility located in Stokesdale, North Carolina. See note 10 of the consolidated financial statements for further details regarding this strategic transformation initiative.</w:t>
      </w:r>
    </w:p>
    <w:p>
      <w:pPr>
        <w:spacing w:after="0" w:line="1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Chief Operating Decision Maker ("CODM") is our Chief Executive Officer ("CEO"), who regularly reviews the financial results of the company on a consolidated and business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business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Cost of sales for each segment includes costs to develop, manufacture, or source our products, including costs such as raw material and finished goods purchases, direct and indirect labor, overhead, and incoming freight charges. Intangible assets are not included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segment assets, as these assets are not used by the CODM to evaluate the respective segment’s operating performance and allocate resources to the individual segments.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r>
      <w:tr>
        <w:trPr>
          <w:trHeight w:val="213"/>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9"/>
        </w:trPr>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2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28,642</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20,682</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47,965</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 by segment:</w:t>
            </w:r>
          </w:p>
        </w:tc>
        <w:tc>
          <w:tcPr>
            <w:tcW w:w="2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25,327</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25,899</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17,315</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 of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45,282</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45,906</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by segment:</w:t>
            </w:r>
          </w:p>
        </w:tc>
        <w:tc>
          <w:tcPr>
            <w:tcW w:w="2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(624)</w:t>
            </w:r>
          </w:p>
        </w:tc>
      </w:tr>
      <w:tr>
        <w:trPr>
          <w:trHeight w:val="19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tcBorders>
              <w:top w:val="single" w:sz="8" w:color="CFF0FC"/>
            </w:tcBorders>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(8,464)</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(8,579)</w:t>
            </w: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 (2) (3)</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(584)</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(1,655)</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(3,725)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(3,887)</w:t>
            </w: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(3,140)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(3,680)</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-2159635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jc w:val="both"/>
        <w:ind w:left="300" w:hanging="292"/>
        <w:spacing w:after="0" w:line="249" w:lineRule="auto"/>
        <w:tabs>
          <w:tab w:leader="none" w:pos="29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January 26, 2025, cost of sales and gross profit included a restructuring related charge totaling $624,000 for losses on the disposal, valuation, and markdowns of inventory mostly related to the closure of the bedding manufacturing facility located in Quebec, Canada.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29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February 1, 2026, restructuring expense totaling $584,000 mostly represented charges related to transforming our operating model and the consolidation of certain facilities to reduce fixed costs. See Note 10 to the consolidated financial statements for further details and a description of our restructuring activities.</w:t>
      </w:r>
    </w:p>
    <w:p>
      <w:pPr>
        <w:spacing w:after="0" w:line="187"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28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January 26, 2025, restructuring expense totaling $1.7 million mostly represented charges related to the consolidation of our North American bedding platform and the closure of the bedding manufacturing facility located in Quebec, Canada. See Note 10 to the consolidated financial statements for further details and a description of our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2"/>
        </w:trPr>
        <w:tc>
          <w:tcPr>
            <w:tcW w:w="53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7"/>
                <w:szCs w:val="17"/>
                <w:color w:val="auto"/>
              </w:rPr>
            </w:pPr>
          </w:p>
        </w:tc>
      </w:tr>
      <w:tr>
        <w:trPr>
          <w:trHeight w:val="213"/>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January 26, 2025</w:t>
            </w:r>
          </w:p>
        </w:tc>
      </w:tr>
      <w:tr>
        <w:trPr>
          <w:trHeight w:val="199"/>
        </w:trPr>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2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65,766</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151,859</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 by segment:</w:t>
            </w:r>
          </w:p>
        </w:tc>
        <w:tc>
          <w:tcPr>
            <w:tcW w:w="2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78,092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81,930</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54,502</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 of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132,594</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145,541</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133,525</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147,050</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by segment:</w:t>
            </w:r>
          </w:p>
        </w:tc>
        <w:tc>
          <w:tcPr>
            <w:tcW w:w="2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(931)</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(1,509)</w:t>
            </w:r>
          </w:p>
        </w:tc>
      </w:tr>
      <w:tr>
        <w:trPr>
          <w:trHeight w:val="19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100" w:type="dxa"/>
            <w:vAlign w:val="bottom"/>
            <w:tcBorders>
              <w:top w:val="single" w:sz="8" w:color="CFF0FC"/>
            </w:tcBorders>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(26,321)</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(27,235)</w:t>
            </w: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credit (expense) (3) (4)</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(6,317)</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(5,562)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(16,138)</w:t>
            </w: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(565)</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(833)</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(898)</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(6,101)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(16,396)</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-2159635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00" w:hanging="292"/>
        <w:spacing w:after="0" w:line="246" w:lineRule="auto"/>
        <w:tabs>
          <w:tab w:leader="none" w:pos="30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February 1, 2026, cost of sales and gross profit included a restructuring related charge totaling $931,000 for losses on the disposal, valuation, and markdowns of inventory related to the consolidation of our North American bedding operations and the consolidation of certain facilities related to transforming our operating model to one integrated Culp-branded business to reduce fixed costs and enhance operating efficiency. See Note 10 to the consolidated financial statements for further details and a description of our restructuring activities.</w:t>
      </w:r>
    </w:p>
    <w:p>
      <w:pPr>
        <w:spacing w:after="0" w:line="198"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29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January 26, 2025, cost of sales and gross profit included a restructuring related charge totaling $1.5 million for losses on the disposal, valuation, and markdowns of inventory mostly related to the closure of the bedding manufacturing facility located in Quebec, Canada.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29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February 1, 2026, restructuring credit totaling $2.4 million mostly represented a gain from the sale of the manufacturing facility located in Quebec, Canada totaling $4.0 million, partially offset by charges related to transforming our operating model and the consolidation of certain facilities to reduce fixed costs.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28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January 26, 2025, restructuring expense totaling $6.3 million mostly represented charges related to the consolidation of our North American bedding platform and the closure of the bedding manufacturing facility located in Quebec, Canada. See Note 10 to the consolidated financial statements for further details and a description of our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February 1, 2026</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January 26, 2025</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27, 2025</w:t>
            </w:r>
          </w:p>
        </w:tc>
      </w:tr>
      <w:tr>
        <w:trPr>
          <w:trHeight w:val="19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8,601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11,607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10,576</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34,309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33,293</w:t>
            </w: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20,363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24,210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23,259</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 of use assets (2)</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Assets held for sale (3)</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2,214</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2,177</w:t>
            </w:r>
          </w:p>
        </w:tc>
      </w:tr>
      <w:tr>
        <w:trPr>
          <w:trHeight w:val="196"/>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bedding assets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63,273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69,608</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69,430</w:t>
            </w:r>
          </w:p>
        </w:tc>
      </w:tr>
      <w:tr>
        <w:trPr>
          <w:trHeight w:val="19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11,268</w:t>
            </w: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17,899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17,222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16,016</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(4)</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w:t>
            </w:r>
          </w:p>
        </w:tc>
      </w:tr>
      <w:tr>
        <w:trPr>
          <w:trHeight w:val="203"/>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Right of use assets (5)</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2,647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2,678</w:t>
            </w:r>
          </w:p>
        </w:tc>
      </w:tr>
      <w:tr>
        <w:trPr>
          <w:trHeight w:val="196"/>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upholstery assets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27,578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32,538</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30,972</w:t>
            </w:r>
          </w:p>
        </w:tc>
      </w:tr>
      <w:tr>
        <w:trPr>
          <w:trHeight w:val="196"/>
        </w:trPr>
        <w:tc>
          <w:tcPr>
            <w:tcW w:w="6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segment assets</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90,851</w:t>
            </w: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102,146</w:t>
            </w: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100,402</w:t>
            </w:r>
          </w:p>
        </w:tc>
      </w:tr>
      <w:tr>
        <w:trPr>
          <w:trHeight w:val="196"/>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Non-segment assets: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5,279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5,629</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1,325</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2,619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r>
      <w:tr>
        <w:trPr>
          <w:trHeight w:val="202"/>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1,182</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Right of use assets (7)</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3,256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3,105</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6,250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5,722</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6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120,753</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127,555</w:t>
            </w:r>
          </w:p>
        </w:tc>
        <w:tc>
          <w:tcPr>
            <w:tcW w:w="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-2905125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-2905125</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-2117090</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-2117090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22" w:lineRule="exact"/>
        <w:rPr>
          <w:sz w:val="20"/>
          <w:szCs w:val="20"/>
          <w:color w:val="auto"/>
        </w:rPr>
      </w:pPr>
    </w:p>
    <w:p>
      <w:pPr>
        <w:jc w:val="both"/>
        <w:ind w:left="380" w:hanging="372"/>
        <w:spacing w:after="0" w:line="24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$20.4 million as of February 1, 2026, represents property, plant, and equipment of $19.6 million and $803,000 located in the U.S. and Haiti, respectively. The $24.2 million as of January 26, 2025, represents property, plant, and equipment of $23.0 million, $973,000, and $221,000 located in the U.S., Haiti, and Canada, respectively. The $23.3 million as of April 27, 2025, represents property, plant, and equipment of $22.3 million and $955,000 located in the U.S. and Haiti,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February 1, 2026, the bedding segment did not have any right of use assets due to the closure of its leased facilities located in Ouanaminthe, Haiti and Quebec, Canada. The $200,000 and $125,000 as of January 26, 2025, and April 27, 2025, respectively, represents a right of use asset located in Haiti.</w:t>
      </w:r>
    </w:p>
    <w:p>
      <w:pPr>
        <w:spacing w:after="0" w:line="133"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February 1, 2026, the bedding segment did not have any assets held for sale.The $2.2 million as of January 26, 2025, and April 27, 2025, represents assets held for sale located in Canada.</w:t>
      </w:r>
    </w:p>
    <w:p>
      <w:pPr>
        <w:spacing w:after="0" w:line="118"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$712,000 as of February 1, 2026, represents property, plant, and equipment of $674,000 and $38,000 located in the U.S. and China, respectively. The $1.1 million as of January 26, 2025, represents property, plant, and equipment of $1.0 million and $83,000 located in the U.S. and China, respectively. The $1.0 million as of April 27, 2025, represents property, plant, and equipment of $940,000 and $70,000 located in the U.S.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$677,000 as of February 1, 2026, represents right of use assets of $574,000 and $103,000 located in China and the U.S., respectively. The $2.6 million as of January 26, 2025, represents right of use assets of $1.9 million and $764,000 located in China and the U.S., respectively. The $2.7 million as of April 27, 2025, represents right of use assets of $1.7 million and $1.0 million located in China and the U.S., respectively.</w:t>
      </w:r>
    </w:p>
    <w:p>
      <w:pPr>
        <w:spacing w:after="0" w:line="139" w:lineRule="exact"/>
        <w:rPr>
          <w:rFonts w:ascii="Times New Roman" w:cs="Times New Roman" w:eastAsia="Times New Roman" w:hAnsi="Times New Roman"/>
          <w:sz w:val="20"/>
          <w:szCs w:val="20"/>
          <w:color w:val="auto"/>
        </w:rPr>
      </w:pPr>
    </w:p>
    <w:p>
      <w:pPr>
        <w:ind w:left="380" w:right="20" w:hanging="372"/>
        <w:spacing w:after="0" w:line="26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$539,000, $612,000, and $567,000 as of February 1, 2026, January 26, 2025, and April 27, 2025, respectively, represents property, plant, and equipment located in the U.S.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49" w:lineRule="exact"/>
        <w:rPr>
          <w:sz w:val="20"/>
          <w:szCs w:val="20"/>
          <w:color w:val="auto"/>
        </w:rPr>
      </w:pPr>
    </w:p>
    <w:p>
      <w:pPr>
        <w:ind w:left="380" w:hanging="372"/>
        <w:spacing w:after="0" w:line="26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$2.6 million, $3.3 million, and $3.1 million as of February 1, 2026, January 26, 2025, and April 27, 2025,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right"/>
              <w:ind w:right="103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February 1, 2026</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January 26, 2025</w:t>
            </w:r>
          </w:p>
        </w:tc>
        <w:tc>
          <w:tcPr>
            <w:tcW w:w="0" w:type="dxa"/>
            <w:vAlign w:val="bottom"/>
          </w:tcPr>
          <w:p>
            <w:pPr>
              <w:spacing w:after="0"/>
              <w:rPr>
                <w:sz w:val="1"/>
                <w:szCs w:val="1"/>
                <w:color w:val="auto"/>
              </w:rPr>
            </w:pPr>
          </w:p>
        </w:tc>
      </w:tr>
      <w:tr>
        <w:trPr>
          <w:trHeight w:val="19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(1):</w:t>
            </w:r>
          </w:p>
        </w:tc>
        <w:tc>
          <w:tcPr>
            <w:tcW w:w="2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6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Non-Segment</w:t>
            </w:r>
          </w:p>
        </w:tc>
        <w:tc>
          <w:tcPr>
            <w:tcW w:w="2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2,538</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2,517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3,450</w:t>
            </w:r>
          </w:p>
        </w:tc>
        <w:tc>
          <w:tcPr>
            <w:tcW w:w="0" w:type="dxa"/>
            <w:vAlign w:val="bottom"/>
          </w:tcPr>
          <w:p>
            <w:pPr>
              <w:spacing w:after="0"/>
              <w:rPr>
                <w:sz w:val="1"/>
                <w:szCs w:val="1"/>
                <w:color w:val="auto"/>
              </w:rPr>
            </w:pP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6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w:t>
            </w:r>
          </w:p>
        </w:tc>
        <w:tc>
          <w:tcPr>
            <w:tcW w:w="3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509</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196"/>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Accelerated depreciation expense (2) (3)</w:t>
            </w:r>
          </w:p>
        </w:tc>
        <w:tc>
          <w:tcPr>
            <w:tcW w:w="26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3,254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5,627</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expenditures are stated on an accrual basis. See Consolidated Statements of Cash Flows for capital expenditures on a cash basis.</w:t>
      </w:r>
    </w:p>
    <w:p>
      <w:pPr>
        <w:spacing w:after="0" w:line="186" w:lineRule="exact"/>
        <w:rPr>
          <w:rFonts w:ascii="Times New Roman" w:cs="Times New Roman" w:eastAsia="Times New Roman" w:hAnsi="Times New Roman"/>
          <w:sz w:val="19"/>
          <w:szCs w:val="19"/>
          <w:color w:val="auto"/>
        </w:rPr>
      </w:pPr>
    </w:p>
    <w:p>
      <w:pPr>
        <w:jc w:val="both"/>
        <w:ind w:left="400" w:right="20" w:hanging="392"/>
        <w:spacing w:after="0" w:line="249" w:lineRule="auto"/>
        <w:tabs>
          <w:tab w:leader="none" w:pos="4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February 1, 2026, accelerated depreciation expense totaling $112,000 related to the upholstery segment and was classified within restructuring credit in the Consolidated Statement of Net Loss. The accelerated depreciation expense pertained to the shortening of useful lives of equipment related to the consolidation of distribution activities from our Burlington, North Carolina facility to the manufacturing and distribution center located in Stokesdale, North Carolina.</w:t>
      </w:r>
    </w:p>
    <w:p>
      <w:pPr>
        <w:spacing w:after="0" w:line="139" w:lineRule="exact"/>
        <w:rPr>
          <w:rFonts w:ascii="Times New Roman" w:cs="Times New Roman" w:eastAsia="Times New Roman" w:hAnsi="Times New Roman"/>
          <w:sz w:val="20"/>
          <w:szCs w:val="20"/>
          <w:color w:val="auto"/>
        </w:rPr>
      </w:pPr>
    </w:p>
    <w:p>
      <w:pPr>
        <w:jc w:val="both"/>
        <w:ind w:left="400" w:hanging="392"/>
        <w:spacing w:after="0" w:line="249" w:lineRule="auto"/>
        <w:tabs>
          <w:tab w:leader="none" w:pos="4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nine-month period ended January 26, 2025 accelerated depreciation expense totaling $1.3 million related to the bedding segment and was classified within restructuring expense in the Consolidated Statement of Net Loss. The accelerated depreciation expense related to the shortening of useful lives of equipment associated with the closure of our bedding operation located in Quebec, Canada.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$1.9 million, or (30.6)% of loss before income taxes, for the nine-month period ended February 1, 2026, compared with income tax expense of $635,000, or (3.9)% of loss before income taxes, for the nine-month period ended January 26, 2025.</w:t>
      </w:r>
    </w:p>
    <w:p>
      <w:pPr>
        <w:spacing w:after="0" w:line="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nine-month periods ended February 1, 2026, and January 26, 2025, were based upon the estimated effective income tax rate applicable for the full year after giving effect to any significant items related specifically to interim periods. When calculating the annual estimated effective income tax rates for the nine-month periods ended February 1, 2026, and January 26, 2025,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impacted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ended February 1, 2026, and January 26, 2025:</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35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February 1,</w:t>
            </w: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26,</w:t>
            </w:r>
          </w:p>
        </w:tc>
      </w:tr>
      <w:tr>
        <w:trPr>
          <w:trHeight w:val="213"/>
        </w:trPr>
        <w:tc>
          <w:tcPr>
            <w:tcW w:w="58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r>
      <w:tr>
        <w:trPr>
          <w:trHeight w:val="19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global intangible low tax income tax (GILTI)</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Tax effects of local currency foreign exchange loss</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Sub Part F tax</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foreign tax credits</w:t>
            </w:r>
          </w:p>
        </w:tc>
        <w:tc>
          <w:tcPr>
            <w:tcW w:w="3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(1)</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r>
      <w:tr>
        <w:trPr>
          <w:trHeight w:val="196"/>
        </w:trPr>
        <w:tc>
          <w:tcPr>
            <w:tcW w:w="5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effective income tax rate (1) (2) (3)</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Borders>
              <w:top w:val="single" w:sz="8" w:color="CFF0FC"/>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FF0FC"/>
            </w:tcBorders>
          </w:tcPr>
          <w:p>
            <w:pPr>
              <w:spacing w:after="0"/>
              <w:rPr>
                <w:sz w:val="17"/>
                <w:szCs w:val="17"/>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1" w:lineRule="exact"/>
        <w:rPr>
          <w:sz w:val="20"/>
          <w:szCs w:val="20"/>
          <w:color w:val="auto"/>
        </w:rPr>
      </w:pPr>
    </w:p>
    <w:p>
      <w:pPr>
        <w:ind w:left="520" w:hanging="512"/>
        <w:spacing w:after="0" w:line="269"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 all periods presented represents miscellaneous adjustments that pertain to U.S. permanent differences such as meals and entertainment, income tax provision to return adjustments, and other miscellaneous items.</w:t>
      </w:r>
    </w:p>
    <w:p>
      <w:pPr>
        <w:spacing w:after="0" w:line="159" w:lineRule="exact"/>
        <w:rPr>
          <w:rFonts w:ascii="Times New Roman" w:cs="Times New Roman" w:eastAsia="Times New Roman" w:hAnsi="Times New Roman"/>
          <w:sz w:val="20"/>
          <w:szCs w:val="20"/>
          <w:color w:val="auto"/>
        </w:rPr>
      </w:pPr>
    </w:p>
    <w:p>
      <w:pPr>
        <w:jc w:val="both"/>
        <w:ind w:left="520" w:hanging="512"/>
        <w:spacing w:after="0" w:line="248"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nine months of fiscal 2026 and 2025. Consequently, an income ta</w:t>
      </w:r>
      <w:r>
        <w:rPr>
          <w:rFonts w:ascii="Times New Roman" w:cs="Times New Roman" w:eastAsia="Times New Roman" w:hAnsi="Times New Roman"/>
          <w:sz w:val="18"/>
          <w:szCs w:val="18"/>
          <w:color w:val="auto"/>
        </w:rPr>
        <w:t>x benefit was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recognized for pre-tax losses associated with our U.S. operations </w:t>
      </w:r>
      <w:r>
        <w:rPr>
          <w:rFonts w:ascii="Times New Roman" w:cs="Times New Roman" w:eastAsia="Times New Roman" w:hAnsi="Times New Roman"/>
          <w:sz w:val="19"/>
          <w:szCs w:val="19"/>
          <w:color w:val="auto"/>
        </w:rPr>
        <w:t>totaling $(12.6) million and $(16.8) million that were incurred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first nine months of fiscal 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$(657,000) and $(992,000) that were incurred during the first nine months of fiscal 2026 and 2025, respectively.</w:t>
      </w: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jc w:val="both"/>
        <w:ind w:left="520" w:hanging="512"/>
        <w:spacing w:after="0" w:line="266" w:lineRule="auto"/>
        <w:tabs>
          <w:tab w:leader="none" w:pos="5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first nine months of fiscal 2026, we incurred a consolidated pre-tax loss of $(6.1) million, compared with a significantly higher consolidated pre-tax loss of $(16.4) million during the first nine months of fiscal 2025. As a result, the principal differences between income tax expense at the U.S. federal income tax rate and the effective income tax rate reflected in the consolidated financial statements were more pronounced during the first nine months of fiscal 2026, as compared with the first nine months of fiscal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One Big Beautiful Bill Act ("OBBBA")</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On July 4, 2025, OBBBA was signed into law, making several provisions of the 2017 Tax Cuts and Jobs Act ("TCJA") permanent. Such provisions include: (i) no change to the standard corporate tax rate of 21.0%; (ii) increased depreciation allowances for certain property acquired after January 19, 2025; (iii) deduction of certain U.S. research and development expenditures; (iv) limitations on the deductibility of business interest expense; and (v) modifications to GILTI and foreign-derived intangible income.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requires the income tax effects of changes in tax laws or rates to be recognized at the date of enactment. Accordingly, we evaluated the provisions of OBBBA and determined OBBBA did not have an impact on our consolidated effective income tax rate, income tax expense, or our U.S. net deferred income tax assets during the nine-months ended February 1, 2026, due to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application of a full valuation allowance against our U.S. net deferred income tax assets described in the below section titled - </w:t>
      </w:r>
      <w:r>
        <w:rPr>
          <w:rFonts w:ascii="Times New Roman" w:cs="Times New Roman" w:eastAsia="Times New Roman" w:hAnsi="Times New Roman"/>
          <w:sz w:val="20"/>
          <w:szCs w:val="20"/>
          <w:i w:val="1"/>
          <w:iCs w:val="1"/>
          <w:color w:val="auto"/>
        </w:rPr>
        <w:t>U.S. Valuation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Allowance.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February 1, 2026,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2023 through 2025, and we currently expect significant U.S. pre-tax losses to continue during fiscal 2026.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February 1, 2026, January 26, 2025 and April 27, 2025,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222885</wp:posOffset>
            </wp:positionV>
            <wp:extent cx="93980" cy="170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222885</wp:posOffset>
            </wp:positionV>
            <wp:extent cx="93980" cy="1708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222885</wp:posOffset>
            </wp:positionV>
            <wp:extent cx="102870" cy="170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7081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January 26, 2025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April 27, 2025</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27,008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23,973</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February 1, 2026,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U.S. corporation is allowed a 100% dividend-received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as of February 1, 2026, January 26, 2025, and April 27, 2025, we recorded a deferred income tax liability of $4.9 million, $5.1 million, and $5.2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January 26, 2025, and April 27, 2025, we had $845,000, $1.4 million, and $790,000 of total gross unrecognized income tax benefits, of which the entire amount was classified as income taxes payable – long-term in the accompanying Consolidated Balance Sheets. These unrecognized income tax benefits would favorably affect income tax expense in future periods by $845,000, $1.4 million, and $790,000 as of February 1, 2026, January 26, 2025, and April 27, 2025, respectively.</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$845,000 as of February 1, 2026, relates to an income tax position for which significant change is currently not expected within the next year.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income taxes paid by jurisdiction: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Nine Months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February 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2026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U.S. State - Income tax payments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China - Income tax payments,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 payments,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time-based restricted stock units, performance-based restricted stock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types of awards that may be issued under the 2015 plan.</w:t>
      </w:r>
    </w:p>
    <w:p>
      <w:pPr>
        <w:spacing w:after="0" w:line="159" w:lineRule="exact"/>
        <w:rPr>
          <w:sz w:val="20"/>
          <w:szCs w:val="20"/>
          <w:color w:val="auto"/>
        </w:rPr>
      </w:pPr>
    </w:p>
    <w:p>
      <w:pPr>
        <w:ind w:right="940"/>
        <w:spacing w:after="0" w:line="422" w:lineRule="auto"/>
        <w:rPr>
          <w:sz w:val="20"/>
          <w:szCs w:val="20"/>
          <w:color w:val="auto"/>
        </w:rPr>
      </w:pPr>
      <w:r>
        <w:rPr>
          <w:rFonts w:ascii="Times New Roman" w:cs="Times New Roman" w:eastAsia="Times New Roman" w:hAnsi="Times New Roman"/>
          <w:sz w:val="20"/>
          <w:szCs w:val="20"/>
          <w:color w:val="auto"/>
        </w:rPr>
        <w:t xml:space="preserve">As of February 1, 2026, there were 316,524 shares available for future equity-based grants under the Amended and Restated Plan. </w:t>
      </w:r>
      <w:r>
        <w:rPr>
          <w:rFonts w:ascii="Times New Roman" w:cs="Times New Roman" w:eastAsia="Times New Roman" w:hAnsi="Times New Roman"/>
          <w:sz w:val="20"/>
          <w:szCs w:val="20"/>
          <w:i w:val="1"/>
          <w:iCs w:val="1"/>
          <w:color w:val="auto"/>
        </w:rPr>
        <w:t>Performance-Based Restricted Stock Units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7, 2025, we granted performance-based restricted stock units to senior executives which could earn up to a certain number of shares of common stock if performance targets related to adjusted EBITDA were met over the performance period defined in the related restricted stock unit award agreements. The number of shares of common stock that are earned based on performance targets that have been achieved are not adjusted based on a market-based total shareholder return component. Accordingly, fair market value was measured based on the closing price of our common stock on the date of grant.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August 8, 2024, January 8, 2024, and September 28, 2023, we granted performance-based restricted stock units to senior executives which could earn up to a certain number of shares of common stock if performance targets related to operating income were met over performance periods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 Accordingly, fair market value was measured using the Monte Carlo simulation model for the market-based total shareholder return component and the closing price of our common stock for the performance-based component on the date of grant.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and September 28, 2023:</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January 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6"/>
        </w:trPr>
        <w:tc>
          <w:tcPr>
            <w:tcW w:w="3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14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142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22.6 - 104.0  %</w:t>
            </w:r>
          </w:p>
        </w:tc>
        <w:tc>
          <w:tcPr>
            <w:tcW w:w="20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33.7 - 102.6  %</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35.7- 91.5  %</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- 0.17</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that were unvested as of February 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7"/>
                <w:szCs w:val="17"/>
                <w:color w:val="auto"/>
              </w:rPr>
            </w:pPr>
          </w:p>
        </w:tc>
        <w:tc>
          <w:tcPr>
            <w:tcW w:w="186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Performance-Based</w:t>
            </w:r>
          </w:p>
        </w:tc>
        <w:tc>
          <w:tcPr>
            <w:tcW w:w="120" w:type="dxa"/>
            <w:vAlign w:val="bottom"/>
          </w:tcPr>
          <w:p>
            <w:pPr>
              <w:spacing w:after="0"/>
              <w:rPr>
                <w:sz w:val="17"/>
                <w:szCs w:val="17"/>
                <w:color w:val="auto"/>
              </w:rPr>
            </w:pPr>
          </w:p>
        </w:tc>
        <w:tc>
          <w:tcPr>
            <w:tcW w:w="18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18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Units Expected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266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rPr>
              <w:t>Units Awarded</w:t>
            </w:r>
          </w:p>
        </w:tc>
        <w:tc>
          <w:tcPr>
            <w:tcW w:w="120" w:type="dxa"/>
            <w:vAlign w:val="bottom"/>
          </w:tcPr>
          <w:p>
            <w:pPr>
              <w:spacing w:after="0"/>
              <w:rPr>
                <w:sz w:val="18"/>
                <w:szCs w:val="18"/>
                <w:color w:val="auto"/>
              </w:rPr>
            </w:pPr>
          </w:p>
        </w:tc>
        <w:tc>
          <w:tcPr>
            <w:tcW w:w="186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to Vest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0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August 7, 2025</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298,909</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59,782</w:t>
            </w:r>
          </w:p>
        </w:tc>
        <w:tc>
          <w:tcPr>
            <w:tcW w:w="12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7"/>
                <w:szCs w:val="17"/>
                <w:color w:val="auto"/>
              </w:rPr>
            </w:pP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8, 2024</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488,377</w:t>
            </w:r>
          </w:p>
        </w:tc>
        <w:tc>
          <w:tcPr>
            <w:tcW w:w="12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January 8, 2024</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43"/>
        </w:trPr>
        <w:tc>
          <w:tcPr>
            <w:tcW w:w="2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28, 2023</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62,569</w:t>
            </w:r>
          </w:p>
        </w:tc>
        <w:tc>
          <w:tcPr>
            <w:tcW w:w="1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6"/>
              </w:rPr>
              <w:t>(6)</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ind w:left="380" w:hanging="372"/>
        <w:spacing w:after="0" w:line="26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 as of the date of grant.</w:t>
      </w:r>
    </w:p>
    <w:p>
      <w:pPr>
        <w:spacing w:after="0" w:line="13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February 1, 2026.</w:t>
      </w:r>
    </w:p>
    <w:p>
      <w:pPr>
        <w:spacing w:after="0" w:line="13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the respective award was granted.</w:t>
      </w:r>
    </w:p>
    <w:p>
      <w:pPr>
        <w:spacing w:after="0" w:line="175"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a senior executive on January 8, 2024.</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nine-month periods ended February 1, 2026, and January 26, 2025, respectively.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$51,000 and $49,000 within selling, general, and administrative expenses associated with our performance-based restricted stock unit awards for the nine-month periods ended February 1, 2026, and January 26, 2025,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February 1, 2026, the remaining unrecognized compensation expense related to our performance-based restricted stock units was $215,000, which is expected to be recognized over a weighted average vesting period of 2.4 years. As of February 1, 2026, performance-based restricted stock units that are expected to vest had a fair value of $225,000.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3" w:name="page34"/>
    <w:bookmarkEnd w:id="33"/>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time-based restricted stock unit awards associated with senior executives, key employees, and outside directors that were unvested as of February 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left="1739"/>
              <w:spacing w:after="0"/>
              <w:rPr>
                <w:sz w:val="20"/>
                <w:szCs w:val="20"/>
                <w:color w:val="auto"/>
              </w:rPr>
            </w:pPr>
            <w:r>
              <w:rPr>
                <w:rFonts w:ascii="Times New Roman" w:cs="Times New Roman" w:eastAsia="Times New Roman" w:hAnsi="Times New Roman"/>
                <w:sz w:val="16"/>
                <w:szCs w:val="16"/>
                <w:color w:val="auto"/>
                <w:w w:val="99"/>
              </w:rPr>
              <w:t>Time-Based</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3560" w:type="dxa"/>
            <w:vAlign w:val="bottom"/>
          </w:tcPr>
          <w:p>
            <w:pPr>
              <w:jc w:val="center"/>
              <w:ind w:left="173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560" w:type="dxa"/>
            <w:vAlign w:val="bottom"/>
            <w:tcBorders>
              <w:bottom w:val="single" w:sz="8" w:color="auto"/>
            </w:tcBorders>
          </w:tcPr>
          <w:p>
            <w:pPr>
              <w:jc w:val="center"/>
              <w:ind w:left="1739"/>
              <w:spacing w:after="0"/>
              <w:rPr>
                <w:sz w:val="20"/>
                <w:szCs w:val="20"/>
                <w:color w:val="auto"/>
              </w:rPr>
            </w:pPr>
            <w:r>
              <w:rPr>
                <w:rFonts w:ascii="Times New Roman" w:cs="Times New Roman" w:eastAsia="Times New Roman" w:hAnsi="Times New Roman"/>
                <w:sz w:val="16"/>
                <w:szCs w:val="16"/>
                <w:color w:val="auto"/>
              </w:rPr>
              <w:t>Units Outstanding</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19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25, 2025 (2)</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67,146</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August 7, 2025 (3)</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6, 2025 (3)</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August 8, 2024 (3)</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8, 2024 (3)</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2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September 28, 2023 (3)</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82,151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bl>
    <w:p>
      <w:pPr>
        <w:spacing w:after="0" w:line="20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nine-month period ended February 1, 2026, time-based restricted stock units totaling 119,931 vested at a fair value of $531,000, or $4.43 weighted average per share. During the nine-month period ended January 26, 2025, time-based restricted stock units totaling 103,320 vested at a fair value of $581,000, or $5.63 per share.</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$411,000 and $473,000 within selling, general, and administrative expenses associated with our time-based restricted stock unit awards for the nine-month periods ended February 1, 2026, and January 26, 2025,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February 1, 2026, the remaining unrecognized compensation expense related to our time-based restricted stock units was $431,000, which is expected to be recognized over a weighted average vesting period of 1.1 years. As of February 1, 2026, the time-based restricted stock units that are expected to vest had a fair value totaling $745,000.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six years, with renewal options for additional periods ranging up to twelve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February 1, 2026, January 26, 2025 and April 27,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February 1,</w:t>
            </w:r>
          </w:p>
        </w:tc>
        <w:tc>
          <w:tcPr>
            <w:tcW w:w="34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January 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6"/>
                <w:szCs w:val="16"/>
                <w:color w:val="auto"/>
                <w:w w:val="99"/>
              </w:rPr>
              <w:t>3,322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00" w:type="dxa"/>
            <w:vAlign w:val="bottom"/>
          </w:tcPr>
          <w:p>
            <w:pPr>
              <w:spacing w:after="0"/>
              <w:rPr>
                <w:sz w:val="17"/>
                <w:szCs w:val="17"/>
                <w:color w:val="auto"/>
              </w:rPr>
            </w:pPr>
          </w:p>
        </w:tc>
        <w:tc>
          <w:tcPr>
            <w:tcW w:w="11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9"/>
              </w:rPr>
              <w:t>1,138</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9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6"/>
                <w:szCs w:val="16"/>
                <w:color w:val="auto"/>
                <w:w w:val="99"/>
              </w:rPr>
              <w:t>1,138</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445"/>
        </w:trPr>
        <w:tc>
          <w:tcPr>
            <w:tcW w:w="49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0" w:type="dxa"/>
            <w:vAlign w:val="bottom"/>
            <w:gridSpan w:val="2"/>
          </w:tcPr>
          <w:p>
            <w:pPr>
              <w:jc w:val="center"/>
              <w:ind w:right="419"/>
              <w:spacing w:after="0" w:line="182" w:lineRule="exact"/>
              <w:rPr>
                <w:sz w:val="20"/>
                <w:szCs w:val="20"/>
                <w:color w:val="auto"/>
              </w:rPr>
            </w:pPr>
            <w:r>
              <w:rPr>
                <w:rFonts w:ascii="Times New Roman" w:cs="Times New Roman" w:eastAsia="Times New Roman" w:hAnsi="Times New Roman"/>
                <w:sz w:val="16"/>
                <w:szCs w:val="16"/>
                <w:color w:val="auto"/>
                <w:w w:val="99"/>
              </w:rPr>
              <w:t>Nine months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339"/>
              <w:spacing w:after="0" w:line="182" w:lineRule="exact"/>
              <w:rPr>
                <w:sz w:val="20"/>
                <w:szCs w:val="20"/>
                <w:color w:val="auto"/>
              </w:rPr>
            </w:pPr>
            <w:r>
              <w:rPr>
                <w:rFonts w:ascii="Times New Roman" w:cs="Times New Roman" w:eastAsia="Times New Roman" w:hAnsi="Times New Roman"/>
                <w:sz w:val="16"/>
                <w:szCs w:val="16"/>
                <w:color w:val="auto"/>
              </w:rPr>
              <w:t>Nine months</w:t>
            </w: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w w:val="99"/>
              </w:rPr>
              <w:t>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9"/>
              </w:rPr>
              <w:t>ended</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Times New Roman" w:cs="Times New Roman" w:eastAsia="Times New Roman" w:hAnsi="Times New Roman"/>
                <w:sz w:val="16"/>
                <w:szCs w:val="16"/>
                <w:color w:val="auto"/>
              </w:rPr>
              <w:t>February 1, 2026</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January 26, 2025</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00" w:type="dxa"/>
            <w:vAlign w:val="bottom"/>
            <w:shd w:val="clear" w:color="auto" w:fill="CFF0FC"/>
          </w:tcPr>
          <w:p>
            <w:pPr>
              <w:spacing w:after="0"/>
              <w:rPr>
                <w:sz w:val="17"/>
                <w:szCs w:val="17"/>
                <w:color w:val="auto"/>
              </w:rPr>
            </w:pPr>
          </w:p>
        </w:tc>
        <w:tc>
          <w:tcPr>
            <w:tcW w:w="1160" w:type="dxa"/>
            <w:vAlign w:val="bottom"/>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1,781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Operating lease expense for the three-month periods ended February 1, 2026, and January 26, 2025, was $425,000 and $683,000, respectively. Operating lease expense for the nine-month periods ended February 1, 2026, and January 26, 2025, was $1.8 million and $2.1 million, respectively. Short-term lease costs for the three-month periods ended February 1, 2026, and January 26, 2025, were $56,000 and $3,000, respectively. Short-term lease costs for the nine-month periods ended February 1, 2026, and January 26, 2025, were $56,000 and $13,000, respectively. Variable lease expenses were immaterial for the three-month and six-month periods ended February 1, 2026, and January 26,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2026 and the subsequent five fiscal years follows: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1,039</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202"/>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2031</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r>
      <w:tr>
        <w:trPr>
          <w:trHeight w:val="196"/>
        </w:trPr>
        <w:tc>
          <w:tcPr>
            <w:tcW w:w="5660" w:type="dxa"/>
            <w:vAlign w:val="bottom"/>
            <w:shd w:val="clear" w:color="auto" w:fill="CFF0FC"/>
          </w:tcPr>
          <w:p>
            <w:pPr>
              <w:spacing w:after="0"/>
              <w:rPr>
                <w:sz w:val="17"/>
                <w:szCs w:val="17"/>
                <w:color w:val="auto"/>
              </w:rPr>
            </w:pPr>
          </w:p>
        </w:tc>
        <w:tc>
          <w:tcPr>
            <w:tcW w:w="438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2,505</w:t>
            </w:r>
          </w:p>
        </w:tc>
      </w:tr>
      <w:tr>
        <w:trPr>
          <w:trHeight w:val="20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36"/>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2,276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 2026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Borders>
              <w:top w:val="single" w:sz="8" w:color="auto"/>
              <w:bottom w:val="single" w:sz="8" w:color="auto"/>
            </w:tcBorders>
          </w:tcPr>
          <w:p>
            <w:pPr>
              <w:spacing w:after="0"/>
              <w:rPr>
                <w:sz w:val="18"/>
                <w:szCs w:val="18"/>
                <w:color w:val="auto"/>
              </w:rPr>
            </w:pPr>
          </w:p>
        </w:tc>
        <w:tc>
          <w:tcPr>
            <w:tcW w:w="5180" w:type="dxa"/>
            <w:vAlign w:val="bottom"/>
            <w:tcBorders>
              <w:top w:val="single" w:sz="8" w:color="auto"/>
              <w:bottom w:val="single" w:sz="8" w:color="auto"/>
            </w:tcBorders>
          </w:tcPr>
          <w:p>
            <w:pPr>
              <w:ind w:left="3540"/>
              <w:spacing w:after="0"/>
              <w:rPr>
                <w:sz w:val="20"/>
                <w:szCs w:val="20"/>
                <w:color w:val="auto"/>
              </w:rPr>
            </w:pPr>
            <w:r>
              <w:rPr>
                <w:rFonts w:ascii="Times New Roman" w:cs="Times New Roman" w:eastAsia="Times New Roman" w:hAnsi="Times New Roman"/>
                <w:sz w:val="16"/>
                <w:szCs w:val="16"/>
                <w:color w:val="auto"/>
              </w:rPr>
              <w:t>February 1, 2026</w:t>
            </w:r>
          </w:p>
        </w:tc>
      </w:tr>
      <w:tr>
        <w:trPr>
          <w:trHeight w:val="19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180" w:type="dxa"/>
            <w:vAlign w:val="bottom"/>
            <w:shd w:val="clear" w:color="auto" w:fill="CFF0FC"/>
          </w:tcPr>
          <w:p>
            <w:pPr>
              <w:ind w:left="4760"/>
              <w:spacing w:after="0"/>
              <w:rPr>
                <w:sz w:val="20"/>
                <w:szCs w:val="20"/>
                <w:color w:val="auto"/>
              </w:rPr>
            </w:pPr>
            <w:r>
              <w:rPr>
                <w:rFonts w:ascii="Times New Roman" w:cs="Times New Roman" w:eastAsia="Times New Roman" w:hAnsi="Times New Roman"/>
                <w:sz w:val="16"/>
                <w:szCs w:val="16"/>
                <w:color w:val="auto"/>
              </w:rPr>
              <w:t>3.43</w:t>
            </w:r>
          </w:p>
        </w:tc>
      </w:tr>
      <w:tr>
        <w:trPr>
          <w:trHeight w:val="20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180" w:type="dxa"/>
            <w:vAlign w:val="bottom"/>
            <w:tcBorders>
              <w:bottom w:val="single" w:sz="8" w:color="auto"/>
            </w:tcBorders>
          </w:tcPr>
          <w:p>
            <w:pPr>
              <w:ind w:left="4760"/>
              <w:spacing w:after="0"/>
              <w:rPr>
                <w:sz w:val="20"/>
                <w:szCs w:val="20"/>
                <w:color w:val="auto"/>
              </w:rPr>
            </w:pPr>
            <w:r>
              <w:rPr>
                <w:rFonts w:ascii="Times New Roman" w:cs="Times New Roman" w:eastAsia="Times New Roman" w:hAnsi="Times New Roman"/>
                <w:sz w:val="16"/>
                <w:szCs w:val="16"/>
                <w:color w:val="auto"/>
                <w:w w:val="96"/>
              </w:rPr>
              <w:t>5.50%</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arise in the ordinary course of business. Management has determined that these actions, when ultimately concluded or settled, will not have a material adverse effect on the company's financial position, results of operations, or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three-month and nine-month periods ended February 1, 2026, the company received $1.0 million in cash proceeds in connection with the resolution of a legal matter. The $1.0 million was classified within other income (expense) in the consolidated statement of net loss for the three-month and nine-month periods ended February 1,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February 1, 2026,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fund must be made before distributions of any dividend to shareholders. As of February 1, 2026, the company’s statutory surplus reserve was $4.2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$4.2 million, to assist with debt repayment, capital expenditures, and other expenses of the company’s business.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this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nine-month periods ended February 1, 2026, and January 26, 2025, respectively. As of February 1, 2026, $3.2 million is available for additional repurchases of our common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other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refunds for those tariffs, and it is uncertain whether or when the Company may receive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bedding business to profitability, as well as our ability to successfully integrate our bedding and upholstery divisions and achieve the anticipated operating efficiency and cost reduction benefits of that and similar cost-reduction and efficiency initiatives.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company's nine months ended February 1, 2026, and January 26, 2025, represent 40-week and 39-week periods, respectively. We refer to the three months ended February 1, 2026, as the "third quarter" and the three months ended January 26, 2025, as the "comparable quarter".</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operations are classified into two business segments: bedding (formerly known as mattress fabrics) and upholstery (formerly known as upholstery fabrics).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Bedding</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bedding segment manufactures, sources, and sells fabrics and mattress covers primarily to bedding manufacturers. Currently, we have a mattress fabrics manufacturing operation located in Stokesdale, North Carolina, and a sewn mattress cover operation located in Ouanaminthe, Haiti.</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April 29, 2024 (the first quarter of fiscal 2025), our board of directors made a decision to: (i) consolidate the company's North American bedding operations, including the closure and sale of the company's manufacturing facility and related land ("collectively referred to as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 standing supply partners; (iv) consolidate the company's sewn mattress cover operation located in Ouanaminthe, Haiti, from two leased facilities into one building and reduce other operating expenses at this location; and (v) reduce unallocated corporate expenses and shared service expenses. Refer to Note 10 of the consolidated financial statements for further details regarding this restructuring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upholstery segment develops, sources, manufactures, and sells fabrics primarily to residential, commercial, and hospitality furniture manufacturers. Currently, we have upholstery fabric operations located in Shanghai, China; Burlington, North Carolina; and Vietnam.</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Also, Read Window Products, LLC (“Read”), is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combined certain activities within the bedding and upholstery segments and created one integrated Culp-branded business. As part of this strategic transformation, we closed our leased facilities operated by our upholstery segment located in Burlington, North Carolina, and Knoxville, Tennessee, and transitioned their production and distribution activities to a shared management model within our owned facility located in Stokesdale, North Carolina, which has historically been solely operated by our bedding segment. Refer to Note 10 of the consolidated financial statements for further details regarding this restructuring activity.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Results of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February 1,</w:t>
            </w:r>
          </w:p>
        </w:tc>
        <w:tc>
          <w:tcPr>
            <w:tcW w:w="2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January 26,</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47,965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20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(64.7)%</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(3,725)</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(3,887)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(3,140)</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(3,680)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(446)</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(34.5)%</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(3,432)</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(4,126)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w:t>
            </w:r>
          </w:p>
        </w:tc>
        <w:tc>
          <w:tcPr>
            <w:tcW w:w="0" w:type="dxa"/>
            <w:vAlign w:val="bottom"/>
          </w:tcPr>
          <w:p>
            <w:pPr>
              <w:spacing w:after="0"/>
              <w:rPr>
                <w:sz w:val="1"/>
                <w:szCs w:val="1"/>
                <w:color w:val="auto"/>
              </w:rPr>
            </w:pPr>
          </w:p>
        </w:tc>
      </w:tr>
      <w:tr>
        <w:trPr>
          <w:trHeight w:val="398"/>
        </w:trPr>
        <w:tc>
          <w:tcPr>
            <w:tcW w:w="482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200" w:type="dxa"/>
            <w:vAlign w:val="bottom"/>
            <w:vMerge w:val="restart"/>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700" w:type="dxa"/>
            <w:vAlign w:val="bottom"/>
            <w:gridSpan w:val="4"/>
          </w:tcPr>
          <w:p>
            <w:pPr>
              <w:jc w:val="right"/>
              <w:ind w:right="71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2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February 1,</w:t>
            </w:r>
          </w:p>
        </w:tc>
        <w:tc>
          <w:tcPr>
            <w:tcW w:w="2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January 26,</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151,859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150bp</w:t>
            </w: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20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(6,317)</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(5,562)</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(16,138)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(65.5)%</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610bp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(6,101)</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(16,396)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(62.8)%</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(1,868)</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(635)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6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(7,969)</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(17,031)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(53.2)%</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consolidated net sales for the third quarter of fiscal 2026 decreased by $(4.3) million, or (8.2)% compared with the same period a year ago, with bedding sales decreasing by $(1.4) million, or (4.7)%, and upholstery sales decreasing by $(2.9) million, or (12.4)%. Our consolidated net sales for the first nine months of fiscal 2026 decreased by $(12.6) million, or (7.7)%, compared with the same period a year ago, with bedding sales decreasing by $(699,000), or (0.8)%, and upholstery sales decreasing by $(11.9) million, or (15.3)%.</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Market conditions in the home furnishings and bedding industry remain challenging, with continued softness in consumer spending and housing activity weighing on demand and sales. These pressures, compounded by severe winter weather in the United States that effectively eliminated the final week of shipping during the third quarter in our largest market, as well as ongoing complexity related to global trade and tariff dynamics, drove the decline in consolidated net sales for the quarter. While we remain confident that our core bedding and furniture markets will recover over time, we believe that meaningful improvement will depend on a sustained rebound in housing activity and discretionary consumer spending. Encouragingly, we have observed what we believe may be some early signs of demand stabilization in the bedding segment in recent periods.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Despite the difficult macroeconomic environment, we continue to secure new programs with major customers and expand our share of available business in targeted channels. Prior to the weather-related disruptions late in the quarter, our bedding sales were tracking those in the comparable prior-year period. Moreover, we were pleased to see growth during the quarter in our sewn mattress cover product category, which remains a key growth driver within our bedding segment. We also continue to see customers recognize the strategic value of our global footprint and strong U.S. manufacturing capabilities, particularly as the current trade and tariff environment drives increased scrutiny of supply chain cost structures and reliability.</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decline in our upholstery sales reflects the broader softness in the home furnishings market and its impact on residential upholstery demand. Notwithstanding these headwinds, we delivered double-digit growth in our upholstery kit product category,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9" w:name="page40"/>
    <w:bookmarkEnd w:id="39"/>
    <w:p>
      <w:pPr>
        <w:jc w:val="both"/>
        <w:spacing w:after="0" w:line="269" w:lineRule="auto"/>
        <w:rPr>
          <w:sz w:val="20"/>
          <w:szCs w:val="20"/>
          <w:color w:val="auto"/>
        </w:rPr>
      </w:pPr>
      <w:r>
        <w:rPr>
          <w:rFonts w:ascii="Times New Roman" w:cs="Times New Roman" w:eastAsia="Times New Roman" w:hAnsi="Times New Roman"/>
          <w:sz w:val="20"/>
          <w:szCs w:val="20"/>
          <w:color w:val="auto"/>
        </w:rPr>
        <w:t>an important strategic focus for this segment. Sales in our commercial and hospitality upholstery business also declined year-over-year, as customer demand in these markets was affected by project delays driven by ongoing macroeconomic uncertainty.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the markets we serve continue to face near-term challenges, we believe we are well positioned for future growth. The recent restructuring of our bedding platform, along with the completion of several additional initiatives during the quarter that should positively impact our upholstery segment—including the integration of our U.S. distribution operations and the consolidation of our production footprint in China—strengthens our operating foundation. Combined with our capabilities in product development and customer service, these actions position us to capture additional market share in the current environment and to accelerate sales growth as industry conditions improve.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Gross Profit</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Consolidated gross profit for the third quarter of fiscal 2026 was $5.3 million, a decrease of $(1.0) million, or (16.1)%, compared with consolidated gross profit of $6.3 million for the third quarter of fiscal 2025, with bedding gross profit decreasing by $(787,000), or (28.7)%, and upholstery gross profit decreasing by $(861,000), or (20.4)%. Consolidated gross profit for the first nine months of fiscal 2026 was $18.3 million, an increase of $920,000, or 5.3%, compared with consolidated gross profit of $17.4 million, for the first nine months of fiscal 2025, with bedding gross profit increasing by $3.1 million, or 64.6%, and upholstery gross profit decreasing by $(2.8) million, or (19.9)%.</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gross profitability for the quarter was adversely affected by lower sales volumes, unfavorable foreign exchange impacts related to our China upholstery operations, and inventory-related adjustments primarily associated with the completion of our restructuring and integration initiatives, which were partially offset by the benefits of improved selling margins within our bedding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loss before income taxes for the third quarter of fiscal 2026 was $(3.1) million, an improvement of $540,000, or 14.7%, compared with loss before income taxes of $(3.7) million for the same period a year ago. Our loss before income taxes for the first nine months of fiscal 2026 was $(6.1) million, an improvement of $10.3 million, or 62.8%, compared with loss before income taxes of $(16.4) million for the same period a year ago.</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lower comparable sales and other factors adversely affected our operating performance during the quarter, we continue to benefit from the lower costs and efficiencies emanating from our recently restructured bedding manufacturing platform. Our operating performance also continues to benefit from our additional actions to reduce selling, general and administrative expenses and implement price increases to mitigate tariff impacts. Further, the integration of our domestic upholstery distribution and Read window treatment operations into our owned North Carolina facility, along with the reduction of our facility footprint in China, all of which we completed during the quarter, should further strengthen our operating profile going forward.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$1.9 million, or (30.6)% of loss before income taxes, for the nine-month period ended February 1, 2026, compared with income tax expense of $635,000, or (3.9)% of loss before income taxes, for the nine-month period ended January 26, 2025.</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nine months of fiscal 2026 and 2025. Consequently, an income ta</w:t>
      </w:r>
      <w:r>
        <w:rPr>
          <w:rFonts w:ascii="Times New Roman" w:cs="Times New Roman" w:eastAsia="Times New Roman" w:hAnsi="Times New Roman"/>
          <w:sz w:val="18"/>
          <w:szCs w:val="18"/>
          <w:color w:val="auto"/>
        </w:rPr>
        <w:t>x benefit was not recognized for pre-tax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losses associated with our U.S. operations </w:t>
      </w:r>
      <w:r>
        <w:rPr>
          <w:rFonts w:ascii="Times New Roman" w:cs="Times New Roman" w:eastAsia="Times New Roman" w:hAnsi="Times New Roman"/>
          <w:sz w:val="19"/>
          <w:szCs w:val="19"/>
          <w:color w:val="auto"/>
        </w:rPr>
        <w:t>totaling $(12.6) million and $(16.8) million that were incurred during the first nine months of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0" w:name="page41"/>
    <w:bookmarkEnd w:id="40"/>
    <w:p>
      <w:pPr>
        <w:jc w:val="both"/>
        <w:spacing w:after="0" w:line="269" w:lineRule="auto"/>
        <w:rPr>
          <w:sz w:val="20"/>
          <w:szCs w:val="20"/>
          <w:color w:val="auto"/>
        </w:rPr>
      </w:pPr>
      <w:r>
        <w:rPr>
          <w:rFonts w:ascii="Times New Roman" w:cs="Times New Roman" w:eastAsia="Times New Roman" w:hAnsi="Times New Roman"/>
          <w:sz w:val="20"/>
          <w:szCs w:val="20"/>
          <w:color w:val="auto"/>
        </w:rPr>
        <w:t>with our Haitian operations totaling $(657,000) and $(992,000) that were incurred during the first nine months of fiscal 2026 and 2025, respectively.</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nine months of fiscal 2026, we incurred a consolidated pre-tax loss of $(6.1) million, compared with a significantly higher consolidated pre-tax loss of $(16.4) million during the first nine months of fiscal 2025. As a result, the principal differences between income tax expense at the U.S. federal income tax rate and the effective income tax rate reflected in the consolidated financial statements were more pronounced during the first nine months of fiscal 2026, as compared with the first nine months of fiscal 2025.</w:t>
      </w:r>
    </w:p>
    <w:p>
      <w:pPr>
        <w:spacing w:after="0" w:line="139"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15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our cash and cash equivalents (collectively, “cash”) totaled $9.7 million, which represents an increase of $4.1 million compared with cash of $5.6 million as of April 27, 2025. This increase was due mostly to: (i) net borrowings on our lines of credit of $5.3 million; and (ii) proceeds from the sale of property, plant, and equipment totaling $1.1 million, partially offset by net cash used in operating activities of $(2.3) million.</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net cash used in operating activities of $(2.3) million improved for the first nine months of fiscal 2026, compared with net cash used in operating activities of $(9.4) million during the first nine months of fiscal 2025. This trend mostly reflects: (i) a decrease in cash losses from savings associated with our restructuring activities announced on May 1, 2024, and April 24, 2025 (refer to section titled "-- Segment Analysis -- Consolidated Other Income Statement Categories -- Restructuring Activities" for further details regarding our restructuring initiatives), and (ii) an increase in cash flow from accounts receivable due to faster payment trends with key bedding customers, as well as a lower sales mix with upholstery customers who had longer payments trends; partially offset by a decrease in cash flow from: (i) having more finished goods on hand to accommodate customers during the transition of our restructuring activities related to our bedding segment and to prepare for the supply chain effects of the Chinese New Year Holiday, (ii) rising costs to produce and source inventory, and (iii) tariffs imposed in accordance with U.S. trade policies related to imported products, and (iv) a decline in consumer demand negatively impacting cash flow from accounts payable.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outstanding borrowings totaling $18.5 million under our line of credit agreements, of which $11.5 million and $7.0 million were reported in lines of credit-current and line of credit-long term, respectively, on the February 1, 2026, Consolidated Balance Sheet.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Chief Operating Decision Maker ("CODM") is our Chief Executive Officer ("CEO"), who regularly reviews the financial results of the company on a consolidated and business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business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auto"/>
        </w:rPr>
        <w:t>Bedding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1,</w:t>
            </w:r>
          </w:p>
        </w:tc>
        <w:tc>
          <w:tcPr>
            <w:tcW w:w="1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26,</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1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28,642</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(28.7)%</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84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(240)bp</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color w:val="auto"/>
              </w:rPr>
              <w:t>Nine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1,</w:t>
            </w:r>
          </w:p>
        </w:tc>
        <w:tc>
          <w:tcPr>
            <w:tcW w:w="1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26,</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86,093</w:t>
            </w:r>
          </w:p>
        </w:tc>
        <w:tc>
          <w:tcPr>
            <w:tcW w:w="1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86,792</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84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370bp</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-1087755</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-1087755</wp:posOffset>
            </wp:positionV>
            <wp:extent cx="94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94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Bedding net sales decreased (4.7)% during the third quarter of fiscal 2026, compared with the same period a year ago. Bedding net sales for the first nine months of fiscal 2026 decreased by (0.8)%, compared with the same period a year ago.</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both the three and nine-month periods ended February 1, 2026, net sales were negatively impacted by reduced demand, as well as ongoing complexity related to global trade and tariff dynamic and adverse weather conditions. However, despite ongoing market headwinds, the company continues to secure new programs with major bedding manufacturers and expand its share of available business within targeted channels. Prior to severe weather-related disruptions late in the quarter, bedding sales were tracking in line with the prior-year period and we were ultimately able to achieve growth in sewn mattress cover products, which remain a key growth driver in this segment. Our bedding customers continue to value the strategic supply alternatives provided by our global footprint and U.S. manufacturing bases, particularly given the increased emphasis on supply chain cost structures and reliability driven by the current tariff environment.</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Looking ahead, we see encouraging indications that the bedding market may be stabilizing to a degree, with potential demand improvement driven by product replacement cycles. We will remain focused on expanding placements with key customers and increasing market share to drive revenue growth, while continuing to navigate sales pressure stemming from the current macroeconomic environment. We believe that meaningful future sales growth will depend on a broader industry recovery, improved economic conditions, and greater global trade stability. Ongoing geopolitical risks, including conflicts in Ukraine and the Middle East, also have the potential to disrupt global markets and adversely affect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Gross profit was $2.0 million for the third quarter of fiscal 2026, a decrease of $(787,000), or (28.7)%, compared with gross profit of $2.7 million for the third quarter of fiscal 2025. Gross profit for the first nine months of fiscal 2026 was $8.0 million, an increase of $3.1 million, or 64.6%, compared with gross profit of 4.9 million for the first nine months of fiscal 2025.</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third quarter, the decrease in gross profit compared with the comparable quarter was due primarily to inventory-related adjustments resulting primarily from our decision to build inventory to ensure high customer service levels during the pendency of our restructuring activities, as well as lower comparable sales, partially offset by cost reductions, efficiency gains and improved selling margins. For the nine months ended February 1, 2026, the increase in gross profit was due primarily to cost reductions and efficiency gains achieved through the restructuring of our bedding segment in fiscal 2025, together with pricing actions and improved selling margin, partially offset by the same factors affecting the third quarter.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138430</wp:posOffset>
            </wp:positionV>
            <wp:extent cx="939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138430</wp:posOffset>
            </wp:positionV>
            <wp:extent cx="939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1, 2026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April 27, 2025</w:t>
            </w:r>
          </w:p>
        </w:tc>
        <w:tc>
          <w:tcPr>
            <w:tcW w:w="100" w:type="dxa"/>
            <w:vAlign w:val="bottom"/>
          </w:tcPr>
          <w:p>
            <w:pPr>
              <w:spacing w:after="0"/>
              <w:rPr>
                <w:sz w:val="18"/>
                <w:szCs w:val="18"/>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11,607</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10,576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31,377</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33,293</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24,210</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23,259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54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5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2,177</w:t>
            </w:r>
          </w:p>
        </w:tc>
      </w:tr>
      <w:tr>
        <w:trPr>
          <w:trHeight w:val="196"/>
        </w:trPr>
        <w:tc>
          <w:tcPr>
            <w:tcW w:w="4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segment assets</w:t>
            </w: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63,273</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69,608</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69,430</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-144780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-144780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accounts receivable of $8.6 million decreased by $(3.0) million, or (25.9)%, compared with accounts receivable totaling $11.6 million as of January 26, 2025. This decrease was driven by a decrease in net sales of (4.7)% during the third quarter of fiscal 2026, compared with the same period a year ago. In addition, this decrease reflects faster payment trends with key customers during the third quarter of fiscal 2026, compared with the third quarter of fiscal 2025. Accordingly, days’ sales outstanding decreased to 29 days for the third quarter of fiscal 2026, from 37 days for the third quarter of fiscal 2025.</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accounts receivable totaling $8.6 million decreased by $(2.0) million, or (18.7)%, compared with accounts receivable totaling $10.6 million as of April 27, 2025. This decrease mostly represents faster payment trends with key customers during the third quarter of fiscal 2026, compared with the fourth quarter of fiscal 2025. Accordingly, days’ sales outstanding decreased to 29 days for the third quarter of fiscal 2026, from 35 days for the fourth quarter of fiscal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inventory of $34.3 million increased by $2.9 million, or 9.3%, compared with inventory totaling $31.4 million as of January 26, 2025. This increase in inventory is due primarily to: (i) requiring more finished goods to be on hand to accommodate customers during our restructuring-related transitions, and (ii) rising costs to produce and source inventory, along with tariffs imposed in accordance with U.S. trade policies related to imported products.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February 1, 2026, inventory of $34.3 increased by $1.0 million, or 3.1%, compared with inventory totaling $33.3 million as of April 27, 2025. This increase in inventory is due to the same reasons noted above for the third quarter ended February 1, 2026, compared with the third quarter ended January 26, 2025.</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3.0 for the third quarter of fiscal 2026, as compared with 3.4 for the third quarter of fiscal 2025, and 2.9 for the fourth quarter of fiscal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Property, plant, and equipment has steadily decreased due to reduced capital spending stemming from current unfavorable macroeconomic conditions within the home furnishings and bedding industries, as well as restructuring initiatives commencing at the beginning of fiscal 2025 and continuing through the third quarter of fiscal 2026. See note 10 of the consolidated financial statements for further details and description of our restructuring activities.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$20.4 million as of February 1, 2026, represents property, plant, and equipment of $19.6 million and $803,000 located in the U.S. and Haiti, respectively. The $24.2 million as of January 26, 2025, represents property, plant, and equipment of $23.0 million, $973,000 and $221,000 located in the U.S., Haiti, and Canada, respectively. The $23.3 million as of April 27, 2025, represents property, plant, and equipment of $22.3 million and $955,000 located in the U.S.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Right of use assets have steadily decreased due to the restructuring initiatives announced on May 1, 2024, which commenced at the beginning of fiscal 2025 and continued through the third quarter fiscal 2026. In connection with these restructuring initiatives,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3" w:name="page44"/>
    <w:bookmarkEnd w:id="4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right of use assets decreased due mostly to the termination of an agreement to lease a facility located in Ouanaminthe, Haiti, and the closure of two leased facilities located in Quebec, Canada.</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February 1, 2026, the bedding segment did not have any right of use assets due to the closure of the above mentioned facilities. The $200,000 and $125,000 as of January 26, 2025, and April 27, 2025, respectively, represents a right of use asset located in Haiti.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April 27, 2025, and January 26, 2025, we classified certain assets as held for sale totaling $2.2 million, which mostly related to the manufacturing facility and related land (collectively referred to as the "Property") associated with the closure of our operations located in Quebec, Canada.</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2026, we sold the Property, and recognized a gain from this sale totaling $4.0 million that was classified within restructuring credit in the Consolidated Statement of Net Loss for the nine-month period ended February 1, 2026. As a result, the bedding segment did not have any assets classified as held for sale as of February 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8 of the consolidated financial statements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6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February 1,</w:t>
            </w: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Three Months Ended</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January 26,</w:t>
            </w: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vMerge w:val="continue"/>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3"/>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2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19,274</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20,291</w:t>
            </w:r>
          </w:p>
        </w:tc>
        <w:tc>
          <w:tcPr>
            <w:tcW w:w="900" w:type="dxa"/>
            <w:vAlign w:val="bottom"/>
            <w:tcBorders>
              <w:lef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U.S. Produced</w:t>
            </w:r>
          </w:p>
        </w:tc>
        <w:tc>
          <w:tcPr>
            <w:tcW w:w="23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20,682</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900" w:type="dxa"/>
            <w:vAlign w:val="bottom"/>
            <w:tcBorders>
              <w:lef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453"/>
        </w:trPr>
        <w:tc>
          <w:tcPr>
            <w:tcW w:w="336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February 1,</w:t>
            </w:r>
          </w:p>
        </w:tc>
        <w:tc>
          <w:tcPr>
            <w:tcW w:w="14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w w:val="96"/>
              </w:rPr>
              <w:t>Nine Months Ended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January 26,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vMerge w:val="continue"/>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96"/>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2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61,004</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7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68,000</w:t>
            </w:r>
          </w:p>
        </w:tc>
        <w:tc>
          <w:tcPr>
            <w:tcW w:w="820" w:type="dxa"/>
            <w:vAlign w:val="bottom"/>
            <w:tcBorders>
              <w:left w:val="single" w:sz="8" w:color="CFF0FC"/>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U.S. Produced</w:t>
            </w:r>
          </w:p>
        </w:tc>
        <w:tc>
          <w:tcPr>
            <w:tcW w:w="2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9,672</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65,766</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7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77,672</w:t>
            </w:r>
          </w:p>
        </w:tc>
        <w:tc>
          <w:tcPr>
            <w:tcW w:w="820" w:type="dxa"/>
            <w:vAlign w:val="bottom"/>
            <w:tcBorders>
              <w:left w:val="single" w:sz="8" w:color="CFF0FC"/>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-1104900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-1104900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-1104900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-1104900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-1104900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net sales decreased (12.4)% during the third quarter of fiscal 2026, compared with the same period a year ago. Upholstery net sales for the first nine months of fiscal 2026 decreased by (15.3)%, compared with the same period a year ago.</w:t>
      </w:r>
    </w:p>
    <w:p>
      <w:pPr>
        <w:spacing w:after="0" w:line="11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20"/>
          <w:szCs w:val="20"/>
          <w:color w:val="auto"/>
        </w:rPr>
        <w:t>Conditions in the upholstery market remain unsettled, continuing to adversely affect demand in the company’s residential fabric business. In addition, broader macroeconomic pressures have dampened project activity in the commercial and hospitality fabric markets we serve. The year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over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declines in upholstery sales during the quarter and first nine months of fiscal 2026 reflect these factors, as well as incremental pressure on customer demand resulting from ongoing tariff volatility. Despite these market challenges, we achieved double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digit growth in upholstery kits during the quarter. This product category represents an important strategic channel for this segment and continues to perform favorably relative to broader market trends.</w:t>
      </w:r>
    </w:p>
    <w:p>
      <w:pPr>
        <w:spacing w:after="0" w:line="16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20"/>
          <w:szCs w:val="20"/>
          <w:color w:val="auto"/>
        </w:rPr>
        <w:t>Looking forward, we expect conditions in the home furnishings market to remain uncertain in the near term. However, as market conditions improve and a broader industry recovery emerges, we believe that recent scale and efficiency enhancements resulting from the completion of integration initiatives within our upholstery segment, coupled with our product innovation capabilities and multi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location manufacturing and sourcing platform, position our upholstery segment to accelerate sales growth when demand stabilizes.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potential impact of ongoing geopolitical developments, including conflicts in Ukraine and the Middle East, remains uncertain and is dependent on factors outside of our control. At this time, we cannot reasonably estimate the effect of these events on the upholstery fabrics segment. However, an escalation of geopolitical tensions, including potential shipping disruptions related to conflicts in the Middle East, could adversely affect our operations, as well as those of our suppliers and customers, and could negatively impact the global economy and our financial performance.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4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February 1,</w:t>
            </w:r>
          </w:p>
        </w:tc>
        <w:tc>
          <w:tcPr>
            <w:tcW w:w="3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January 26,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0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3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4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(160)bp</w:t>
            </w:r>
          </w:p>
        </w:tc>
        <w:tc>
          <w:tcPr>
            <w:tcW w:w="0" w:type="dxa"/>
            <w:vAlign w:val="bottom"/>
          </w:tcPr>
          <w:p>
            <w:pPr>
              <w:spacing w:after="0"/>
              <w:rPr>
                <w:sz w:val="1"/>
                <w:szCs w:val="1"/>
                <w:color w:val="auto"/>
              </w:rPr>
            </w:pPr>
          </w:p>
        </w:tc>
      </w:tr>
      <w:tr>
        <w:trPr>
          <w:trHeight w:val="574"/>
        </w:trPr>
        <w:tc>
          <w:tcPr>
            <w:tcW w:w="4280" w:type="dxa"/>
            <w:vAlign w:val="bottom"/>
            <w:tcBorders>
              <w:top w:val="single" w:sz="8" w:color="auto"/>
              <w:bottom w:val="single" w:sz="8" w:color="auto"/>
            </w:tcBorders>
          </w:tcPr>
          <w:p>
            <w:pPr>
              <w:spacing w:after="0"/>
              <w:rPr>
                <w:sz w:val="24"/>
                <w:szCs w:val="24"/>
                <w:color w:val="auto"/>
              </w:rPr>
            </w:pPr>
          </w:p>
        </w:tc>
        <w:tc>
          <w:tcPr>
            <w:tcW w:w="30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2"/>
          </w:tcPr>
          <w:p>
            <w:pPr>
              <w:spacing w:after="0"/>
              <w:rPr>
                <w:sz w:val="24"/>
                <w:szCs w:val="24"/>
                <w:color w:val="auto"/>
              </w:rPr>
            </w:pPr>
          </w:p>
        </w:tc>
        <w:tc>
          <w:tcPr>
            <w:tcW w:w="160" w:type="dxa"/>
            <w:vAlign w:val="bottom"/>
            <w:vMerge w:val="restart"/>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360" w:type="dxa"/>
            <w:vAlign w:val="bottom"/>
            <w:gridSpan w:val="4"/>
          </w:tcPr>
          <w:p>
            <w:pPr>
              <w:jc w:val="right"/>
              <w:ind w:right="559"/>
              <w:spacing w:after="0" w:line="182" w:lineRule="exact"/>
              <w:rPr>
                <w:sz w:val="20"/>
                <w:szCs w:val="20"/>
                <w:color w:val="auto"/>
              </w:rPr>
            </w:pPr>
            <w:r>
              <w:rPr>
                <w:rFonts w:ascii="Times New Roman" w:cs="Times New Roman" w:eastAsia="Times New Roman" w:hAnsi="Times New Roman"/>
                <w:sz w:val="16"/>
                <w:szCs w:val="16"/>
                <w:color w:val="auto"/>
              </w:rPr>
              <w:t>Nine Months Ended</w:t>
            </w:r>
          </w:p>
        </w:tc>
        <w:tc>
          <w:tcPr>
            <w:tcW w:w="1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4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February 1,</w:t>
            </w:r>
          </w:p>
        </w:tc>
        <w:tc>
          <w:tcPr>
            <w:tcW w:w="3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January 26,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0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3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14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(100)bp</w:t>
            </w: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Upholstery gross profit was $3.4 million for the third quarter of fiscal 2026, a decrease of $(861,000), or (20.4)%, compared with upholstery gross profit of $4.2 million for the third quarter of fiscal 2025. Upholstery gross profit for the first nine months of fiscal 2026 was $11.3 million, a decrease of $(2.8) million, or (19.9)%, compared with upholstery gross profit of $14.1 million for the first nine months of fiscal 2025.</w:t>
      </w:r>
    </w:p>
    <w:p>
      <w:pPr>
        <w:spacing w:after="0" w:line="13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declines in gross profit within our upholstery segment during the quarter and first nine months of fiscal 2026 were primarily attributable to lower comparable sales and unfavorable foreign exchange impacts associated with our China upholstery operations. These factors were partially offset by our improving cost structure, which allowed us to maintain solid gross margins despite challenging market conditions affecting the home furnishings industry, including both residential and commercial upholstery channels.</w:t>
      </w:r>
    </w:p>
    <w:p>
      <w:pPr>
        <w:spacing w:after="0" w:line="139"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20"/>
          <w:szCs w:val="20"/>
          <w:color w:val="auto"/>
        </w:rPr>
        <w:t>The residential home furnishings market continues to experience reduced demand driven by shifts in consumer spending patterns, volatility related to global trade and tariffs, inflationary pressures, lower home sales activity, and other macroeconomic factors affecting discretionary purchases. As a result, we expect the current low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demand environment for residential upholstery fabrics to continue to adversely affect gross profit until market conditions improve.</w:t>
      </w:r>
    </w:p>
    <w:p>
      <w:pPr>
        <w:spacing w:after="0" w:line="162"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20"/>
          <w:szCs w:val="20"/>
          <w:color w:val="auto"/>
        </w:rPr>
        <w:t>During the quarter, we completed the integration of our U.S. upholstery distribution and window treatment operations into our owned facility in North Carolina, which is expected to enhance operating efficiency and improve this segment’s profitability profile. In addition, we implemented further cost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reduction and efficiency initiatives during the quarter, including the rationalization of our production and distribution footprint in China. We continue to monitor demand trends closely and remain prepared to implement additional operational adjustments as necessary to align our cost structure in this segment with market conditions, while continuing to provide consistent service levels to customers.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138430</wp:posOffset>
            </wp:positionV>
            <wp:extent cx="939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138430</wp:posOffset>
            </wp:positionV>
            <wp:extent cx="939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1, 2026</w:t>
            </w:r>
          </w:p>
        </w:tc>
        <w:tc>
          <w:tcPr>
            <w:tcW w:w="1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January 26, 2025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April 27, 2025</w:t>
            </w:r>
          </w:p>
        </w:tc>
        <w:tc>
          <w:tcPr>
            <w:tcW w:w="100" w:type="dxa"/>
            <w:vAlign w:val="bottom"/>
          </w:tcPr>
          <w:p>
            <w:pPr>
              <w:spacing w:after="0"/>
              <w:rPr>
                <w:sz w:val="18"/>
                <w:szCs w:val="18"/>
                <w:color w:val="auto"/>
              </w:rPr>
            </w:pPr>
          </w:p>
        </w:tc>
      </w:tr>
      <w:tr>
        <w:trPr>
          <w:trHeight w:val="19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72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11,552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11,268</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17,222</w:t>
            </w: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16,016</w:t>
            </w: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1,117</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1,010</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2,647</w:t>
            </w: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2,678</w:t>
            </w:r>
          </w:p>
        </w:tc>
      </w:tr>
      <w:tr>
        <w:trPr>
          <w:trHeight w:val="20"/>
        </w:trPr>
        <w:tc>
          <w:tcPr>
            <w:tcW w:w="440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Segment Assets</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32,538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30,972</w:t>
            </w:r>
          </w:p>
        </w:tc>
      </w:tr>
      <w:tr>
        <w:trPr>
          <w:trHeight w:val="20"/>
        </w:trPr>
        <w:tc>
          <w:tcPr>
            <w:tcW w:w="440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accounts receivable of 8.3 million decreased by $(3.3) million, or (28.2)%, compared with $11.6 million as of January 26, 2025. This trend was driven by a decrease in net sales of (12.4)% during the third quarter of fiscal 2026, compared with the third quarter of fiscal 2025. In addition, this decrease reflects a lower sales mix with customers who had longer payment trends during the third quarter of fiscal 2026, compared with the third quarter of fiscal 2025. Accordingly, days’ sales outstanding was 34 days for the third quarter of fiscal 2026, as compared with 42 days for the third quarter of fiscal 2025.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5" w:name="page46"/>
    <w:bookmarkEnd w:id="45"/>
    <w:p>
      <w:pPr>
        <w:jc w:val="both"/>
        <w:spacing w:after="0" w:line="245" w:lineRule="auto"/>
        <w:rPr>
          <w:sz w:val="20"/>
          <w:szCs w:val="20"/>
          <w:color w:val="auto"/>
        </w:rPr>
      </w:pPr>
      <w:r>
        <w:rPr>
          <w:rFonts w:ascii="Times New Roman" w:cs="Times New Roman" w:eastAsia="Times New Roman" w:hAnsi="Times New Roman"/>
          <w:sz w:val="20"/>
          <w:szCs w:val="20"/>
          <w:color w:val="auto"/>
        </w:rPr>
        <w:t>As of February 1, 2026, accounts receivable of $8.3 million decreased by $(3.0) million, or (26.4)%, compared with $11.3 million as of April 27, 2025. This trend stems from a decrease in net sales during the third quarter of fiscal 2026, compared with the fourth quarter of fiscal 2025. Net sales totaled $20.7 million during the third quarter of fiscal 2026, a decrease of (4.5)%, compared with $21.7 million during the fourth quarter of fiscal 2025. In addition, this decrease reflects a lower sales mix with customers who had longer payment trends during the third quarter of fiscal 2026, compared with the third quarter of fiscal 2025. Accordingly, days’ sales outstanding was 34 days for the third quarter of fiscal 2026, as compared with 46 days for the third quarter of fiscal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February 1, 2026, inventory of $17.9 million increased by $677,000, or 3.9%, compared with $17.2 million as of January 26, 2025. This increase in inventory is due primarily to: (i) requiring more finished goods to prepare for the supply chain effects of the Chinese New Year Holiday, and (ii) rising costs to produce and source inventory, along with tariffs imposed in accordance with U.S. trade policies related to imported products, which were partially offset by a decrease in net sales of (12.4%) due to lower consumer demand during the third quarter of fiscal 2026, compared with the third quarter of fiscal 2025.</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inventory of $17.9 million increased by $1.9 million, or 11.8%, compared with $16.0 million as of April 27, 2025. This increase in inventory is due primarily to: (i) requiring more finished goods to be on hand to prepare for the supply chain effects of the Chinese New Year Holiday, and (ii) rising costs to produce and source inventory, along with tariffs imposed in accordance with U.S. trade policies related to imported products.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4.0 for the third quarter of fiscal 2026, as compared with 4.2 for the third quarter of fiscal 2025 and 4.0 for the fourth quarter of fiscal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Property, plant, and equipment has steadily decreased due to reduced capital spending stemming from current unfavorable macroeconomic conditions within the home furnishings and residential furniture industries, as well as from our recent restructuring activities announced on April 24, 2025. See note 10 of the consolidated financial statements for further details and description of our restructuring activities.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$712,000 as of February 1, 2026, represents property, plant, and equipment of $674,000 and $38,000 located in the U.S. and China, respectively. The $1.1 million as of January 26, 2025, represents property, plant, and equipment of $1.0 million and $83,000 located in the U.S. and China, respectively. The $1.0 million as of April 27, 2025, represents property, plant, and equipment of $940,000 and $70,000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Right of use assets have steadily decreased due to the restructuring initiatives announced on April 24, 2025, which were mostly completed by the end of the third quarter fiscal 2026. In connection with these restructuring initiatives, right of use assets decreased due mostly to the termination of lease agreements associated with upholstery facilities located in Burlington, North Carolina, and Knoxville, Tennessee, as well as one facility located in Shanghai, China.</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$677,000 as of February 1, 2026, represents right of use assets of $574,000 and $103,000 located in China and the U.S., respectively. The $2.6 million as of January 26, 2025, represents right of use assets of $1.9 million and $764,000 located in the U.S. and China, respectively. The $2.7 million as of April 27, 2025, represents right of use assets of $1.7 million and $1.0 million located in China and the U.S.,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 Other Income Statement Categories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7"/>
                <w:szCs w:val="17"/>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02"/>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(64.7)%</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190.5%</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47.1%</w:t>
            </w:r>
          </w:p>
        </w:tc>
      </w:tr>
      <w:tr>
        <w:trPr>
          <w:trHeight w:val="203"/>
        </w:trPr>
        <w:tc>
          <w:tcPr>
            <w:tcW w:w="6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-808990</wp:posOffset>
            </wp:positionV>
            <wp:extent cx="939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-808990</wp:posOffset>
            </wp:positionV>
            <wp:extent cx="939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6" w:name="page47"/>
    <w:bookmarkEnd w:id="46"/>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7"/>
                <w:szCs w:val="17"/>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26,321</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(6,317)</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366.9%</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r>
      <w:tr>
        <w:trPr>
          <w:trHeight w:val="20"/>
        </w:trPr>
        <w:tc>
          <w:tcPr>
            <w:tcW w:w="6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-809625</wp:posOffset>
            </wp:positionV>
            <wp:extent cx="939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-809625</wp:posOffset>
            </wp:positionV>
            <wp:extent cx="939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 ("SG&amp;A")</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third quarter and first nine months of fiscal 2026, compared with the third quarter and first nine months of fiscal 2025, was primarily due to the cost reduction initiatives in connection with our restructuring and integration activities announced on May 1, 2024, and April 24, 2025 (see Note 10 of the consolidated financial statements for further details and descriptions of our restructuring initiatives). Also, additional SG&amp;A expenses were incurred during the first nine months of fiscal 2026, compared with the first nine months of fiscal 2025, as the first nine months of fiscal 2026 and 2025 represented 40-week and 39-week periods,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Restructuring Activities Announced May 1, 2024</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(i) consolidate the company's North American bedding operations, including the closure and sale of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restructuring activities were completed by the end of the second quarter of fiscal 2026, including the sale of the Property located in Quebec, Canada. Accordingly, we recorded a gain from the sale of this Property totaling $4.0 million that was classified within restructuring credit in the Consolidated Statement of Net Loss for the nine-month period ended February 1, 2026. See Notes 7 and 8 of the consolidated financial statements for further details regarding the Sales Agreement associated with the sale of the Property and determination of fair value regarding the Property and equipment.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Since inception of this restructuring initiative, we incurred cumulative restructuring and restructuring related charges totaling $5.3 million, most of which is related to the bedding segment. Of this total $5.3 million, $7.2 million and $(1.9) million, represent a cash restructuring and related charge and a non-cash restructuring credit,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Restructuring Activities Announced April 24, 2025</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 we closed our leased facilities operated by our upholstery segment located in Burlington, North Carolina, and Knoxville, Tennessee, and transitioned their production and distribution activities to a shared management model within our owned facility located in Stokesdale, North Carolina, which has historically been solely operated by our bedding segment.</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restructuring activities were mostly completed by the end of the third quarter of fiscal 2026. Since inception of this restructuring initiative, we incurred cumulative restructuring and restructuring related charges totaling $2.6 million, of which $2.3 million and $265,000 related to the upholstery and bedding segments, respectively. Of this total $2.6 million, $1.3 million and $1.3 million represent a cash restructuring and related charge and a non-cash restructuring charge,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firstLine="49"/>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(credit) and restructuring related charges associated with the above announcements for the three-month and nine-month periods ended February 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2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2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 1, 2026</w:t>
            </w:r>
          </w:p>
        </w:tc>
        <w:tc>
          <w:tcPr>
            <w:tcW w:w="0" w:type="dxa"/>
            <w:vAlign w:val="bottom"/>
          </w:tcPr>
          <w:p>
            <w:pPr>
              <w:spacing w:after="0"/>
              <w:rPr>
                <w:sz w:val="1"/>
                <w:szCs w:val="1"/>
                <w:color w:val="auto"/>
              </w:rPr>
            </w:pPr>
          </w:p>
        </w:tc>
      </w:tr>
      <w:tr>
        <w:trPr>
          <w:trHeight w:val="199"/>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6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(credit) expense</w:t>
            </w:r>
          </w:p>
        </w:tc>
        <w:tc>
          <w:tcPr>
            <w:tcW w:w="15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15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60" w:type="dxa"/>
            <w:vAlign w:val="bottom"/>
            <w:shd w:val="clear" w:color="auto" w:fill="C1E5F5"/>
          </w:tcPr>
          <w:p>
            <w:pPr>
              <w:spacing w:after="0"/>
              <w:rPr>
                <w:sz w:val="17"/>
                <w:szCs w:val="17"/>
                <w:color w:val="auto"/>
              </w:rPr>
            </w:pPr>
          </w:p>
        </w:tc>
        <w:tc>
          <w:tcPr>
            <w:tcW w:w="14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1E5F5"/>
          </w:tcPr>
          <w:p>
            <w:pPr>
              <w:spacing w:after="0"/>
              <w:rPr>
                <w:sz w:val="17"/>
                <w:szCs w:val="17"/>
                <w:color w:val="auto"/>
              </w:rPr>
            </w:pPr>
          </w:p>
        </w:tc>
        <w:tc>
          <w:tcPr>
            <w:tcW w:w="280" w:type="dxa"/>
            <w:vAlign w:val="bottom"/>
            <w:shd w:val="clear" w:color="auto" w:fill="C1E5F5"/>
          </w:tcPr>
          <w:p>
            <w:pPr>
              <w:spacing w:after="0"/>
              <w:rPr>
                <w:sz w:val="17"/>
                <w:szCs w:val="17"/>
                <w:color w:val="auto"/>
              </w:rPr>
            </w:pPr>
          </w:p>
        </w:tc>
        <w:tc>
          <w:tcPr>
            <w:tcW w:w="14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1E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6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(credit) and restructuring related charges (1) (2) (3)</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60" w:hanging="352"/>
        <w:spacing w:after="0" w:line="254" w:lineRule="auto"/>
        <w:tabs>
          <w:tab w:leader="none" w:pos="31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$584,000 was classified within restructuring expense in the Consolidated Statement of Net Loss for the three-month period ended February 1, 2026. Of the total $584,000 restructuring expense, $565,000 and $19,000 related to the upholstery and bedding segments, respectively.</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$(1.5) million net restructuring credit and restructuring related charge, a $(2.4) million credit and $931,000 charge were classified within restructuring credit and cost of sales, respectively, in the Consolidated Statement of Net Loss for the nine-month period ended February 1, 2026. Of the total ($1.5) million net restructuring credit and restructuring related charge, a credit of ($3.1) million and a charge of $1.6 million related to the bedding and upholstery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29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$584,000 restructuring expense for the three months ended February 1, 2026, $577,000 and $7,000 related to the restructuring activities announced on April 24, 2025, and May 1, 2024, respectively. Of the total $(1.5) million net restructuring credit and restructuring related charge for the nine months ended February 1, 2026, a credit of $(3.4) million and a charge of $1.9 million related to the restructuring activities announced on May 1, 2024, and April 24, 2025, respectively.</w:t>
      </w:r>
    </w:p>
    <w:p>
      <w:pPr>
        <w:spacing w:after="0" w:line="19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and restructuring related charges associated with the May 1, 2024 announcement described above for the three-month and nine-month periods ended January 26,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16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6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6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54" w:lineRule="auto"/>
        <w:tabs>
          <w:tab w:leader="none" w:pos="33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$2.3 million restructuring expense and restructuring related charge, $1.7 million and $624,000 were classified within restructuring expense and cost of sales, respectively, in the Consolidated Statement of Net Loss for the three-month period ended January 26, 2025. The $2.3 million mostly relates to the bedding segment.</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$7.8 million restructuring expense and restructuring related charge, $6.3 million and $1.5 million were classified within restructuring expense and cost of sales, respectively, in the Consolidated Statement of Net Loss for the nine-month period ended January 26, 2025. The $7.8 million mostly relates to the building segment.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interest expense during the third quarter and first nine months of fiscal 2026, compared with the third quarter and first nine months of fiscal 2025, reflects increased borrowings under line of credit agreements associated with our operations located in the U.S. and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increase in interest income during the third quarter and first nine months of fiscal 2026, compared with the third quarter and first nine months of fiscal 2025, reflects interest income earned from a note receivable associated with the sale of the Property that occurred at the beginning of the first quarter of fiscal 2026. During the third quarter and the first nine months of fiscal 2026, interest income of $118,000 and $267,000, respectively, was earned from this note receivable, and this interest income was not earned during the third quarter and the first nine months of fiscal 2025. Interest income was partially offset by a decrease in interest income from lower average cash balances during first nine months of fiscal 2026, compared with the first nine months of fiscal 2025.</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Notes 7 and 10 of the consolidated financial statements for further details regarding our note receivable and our restructuring activity announced on May 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increase in other income for the third quarter of fiscal 2026, compared with the third quarter of fiscal 2025, and the decrease in other expense for the first nine months of fiscal 2026, compared with the first nine months of fiscal 2025, reflects $1.0 million of cash proceeds in connection with the resolution of a legal matter, offset by less favorable foreign currency exchange rates associated with our operations located in China. During the third quarter of fiscal 2026, we incurred a foreign currency exchange rate loss associated with our operations located in China totaling $(532,000), compared with a foreign currency exchange rate gain of $305,000 during the third quarter of fiscal 2025. During the first nine months of fiscal 2026, we incurred a foreign currency exchange rate loss associated with our operations located in China totaling $(994,000), compared with a foreign currency exchange gain of $74,000 during the first nine months of fiscal 2025.</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$(994,000) foreign currency exchange rate loss for the first nine months of fiscal 2026 described above was mostly non-cash and offset by an income tax benefit of $839,000. The income tax benefit of $839,000 was associated with tax deductible foreign currency exchange rate losses based on less favorable foreign currency exchange rates applied against balance sheet accounts denominated in U.S. dollars to determine the corresponding Chinese Renminbi local currency amounts. The foreign currency exchange rate loss derived from U.S. dollar denominated balance sheet accounts is considered tax deductible, as we incur income tax expense and pay income taxes in China's local currency.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$1.9 million, or (30.6)% of loss before income taxes, for the nine-month period ended February 1, 2026, compared with income tax expense of $635,000, or (3.9)% of loss before income taxes, for the nine-month period ended January 26, 2025.</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nine-month periods ended February 1, 2026, and January 26, 2025, were based upon the estimated effective income tax rate applicable for the full year after giving effect to any significant items related specifically to interim periods. When calculating the annual estimated effective income tax rates for the nine-month periods ended February 1, 2026, and January 26, 2025,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impacted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ended February 1, 2026, and January 26, 2025:</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35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February 1,</w:t>
            </w: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26,</w:t>
            </w:r>
          </w:p>
        </w:tc>
      </w:tr>
      <w:tr>
        <w:trPr>
          <w:trHeight w:val="213"/>
        </w:trPr>
        <w:tc>
          <w:tcPr>
            <w:tcW w:w="58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r>
      <w:tr>
        <w:trPr>
          <w:trHeight w:val="19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global intangible low tax income tax (GILTI)</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Tax effects of local currency foreign exchange loss</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Sub Part F tax</w:t>
            </w:r>
          </w:p>
        </w:tc>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foreign tax credits</w:t>
            </w:r>
          </w:p>
        </w:tc>
        <w:tc>
          <w:tcPr>
            <w:tcW w:w="3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 deduction - Quebec, Canada</w:t>
            </w:r>
          </w:p>
        </w:tc>
        <w:tc>
          <w:tcPr>
            <w:tcW w:w="3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(1)</w:t>
            </w:r>
          </w:p>
        </w:tc>
        <w:tc>
          <w:tcPr>
            <w:tcW w:w="3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r>
      <w:tr>
        <w:trPr>
          <w:trHeight w:val="196"/>
        </w:trPr>
        <w:tc>
          <w:tcPr>
            <w:tcW w:w="5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effective income tax rate (1) (2) (3)</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Borders>
              <w:top w:val="single" w:sz="8" w:color="CFF0FC"/>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FF0FC"/>
            </w:tcBorders>
          </w:tcPr>
          <w:p>
            <w:pPr>
              <w:spacing w:after="0"/>
              <w:rPr>
                <w:sz w:val="17"/>
                <w:szCs w:val="17"/>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3" w:lineRule="exact"/>
        <w:rPr>
          <w:sz w:val="20"/>
          <w:szCs w:val="20"/>
          <w:color w:val="auto"/>
        </w:rPr>
      </w:pPr>
    </w:p>
    <w:p>
      <w:pPr>
        <w:ind w:left="520" w:hanging="512"/>
        <w:spacing w:after="0" w:line="269"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 all periods presented represents miscellaneous adjustments that pertain to U.S. permanent differences such as meals and entertainment, income tax provision to return adjustments, and other miscellaneous items.</w:t>
      </w:r>
    </w:p>
    <w:p>
      <w:pPr>
        <w:spacing w:after="0" w:line="159" w:lineRule="exact"/>
        <w:rPr>
          <w:rFonts w:ascii="Times New Roman" w:cs="Times New Roman" w:eastAsia="Times New Roman" w:hAnsi="Times New Roman"/>
          <w:sz w:val="20"/>
          <w:szCs w:val="20"/>
          <w:color w:val="auto"/>
        </w:rPr>
      </w:pPr>
    </w:p>
    <w:p>
      <w:pPr>
        <w:jc w:val="both"/>
        <w:ind w:left="520" w:hanging="512"/>
        <w:spacing w:after="0" w:line="248"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nine months of fiscal 2026 and 2025. Consequently, an income ta</w:t>
      </w:r>
      <w:r>
        <w:rPr>
          <w:rFonts w:ascii="Times New Roman" w:cs="Times New Roman" w:eastAsia="Times New Roman" w:hAnsi="Times New Roman"/>
          <w:sz w:val="18"/>
          <w:szCs w:val="18"/>
          <w:color w:val="auto"/>
        </w:rPr>
        <w:t>x benefit was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recognized for pre-tax losses associated with our U.S. operations </w:t>
      </w:r>
      <w:r>
        <w:rPr>
          <w:rFonts w:ascii="Times New Roman" w:cs="Times New Roman" w:eastAsia="Times New Roman" w:hAnsi="Times New Roman"/>
          <w:sz w:val="19"/>
          <w:szCs w:val="19"/>
          <w:color w:val="auto"/>
        </w:rPr>
        <w:t>totaling $(12.6) million and $(16.8) million that were incurred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first nine months of fiscal 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$(657,000) and $(992,000) that were incurred during the first nine months of fiscal 2026 and 2025, respectively.</w:t>
      </w: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first nine months of fiscal 2026, we incurred a consolidated pre-tax loss of $(6.1) million, compared with a significantly higher consolidated pre-tax loss of $(16.4) million during the first nine months of fiscal 2025. As a result, the principal differences between income tax expense at the U.S. federal income tax rate and the effective income tax rate reflected in the consolidated financial statements were more pronounced during the first nine months of fiscal 2026, as compared with the first nine months of fiscal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One Big Beautiful Bill Act ("OBBBA")</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On July 4, 2025, OBBBA was signed into law, making several provisions of the 2017 Tax Cuts and Jobs Act ("TCJA") permanent. Such provisions include: (i) no change to the standard corporate tax rate of 21.0%; (ii) increased depreciation allowances for certain property acquired after January 19, 2025; (iii) deduction of certain U.S. research and development expenditures; (iv) limitations on the deductibility of business interest expense; and (v) modifications to GILTI and foreign-derived intangible income.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requires the income tax effects of changes in tax laws or rates to be recognized at the date of enactment. Accordingly, we evaluated the provisions of OBBBA and determined OBBBA did not have an impact on our consolidated effective income tax rate, income tax expense, or our U.S. net deferred income tax assets during the nine months ended February 1, 2026, due to the application of a full valuation allowance applied against our U.S. net deferred income tax assets described in the below section titled - </w:t>
      </w:r>
      <w:r>
        <w:rPr>
          <w:rFonts w:ascii="Times New Roman" w:cs="Times New Roman" w:eastAsia="Times New Roman" w:hAnsi="Times New Roman"/>
          <w:sz w:val="20"/>
          <w:szCs w:val="20"/>
          <w:i w:val="1"/>
          <w:iCs w:val="1"/>
          <w:color w:val="auto"/>
        </w:rPr>
        <w:t>U.S. Valuation Allowance.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0" w:name="page51"/>
    <w:bookmarkEnd w:id="50"/>
    <w:p>
      <w:pPr>
        <w:jc w:val="both"/>
        <w:spacing w:after="0" w:line="245" w:lineRule="auto"/>
        <w:rPr>
          <w:sz w:val="20"/>
          <w:szCs w:val="20"/>
          <w:color w:val="auto"/>
        </w:rPr>
      </w:pPr>
      <w:r>
        <w:rPr>
          <w:rFonts w:ascii="Times New Roman" w:cs="Times New Roman" w:eastAsia="Times New Roman" w:hAnsi="Times New Roman"/>
          <w:sz w:val="20"/>
          <w:szCs w:val="20"/>
          <w:color w:val="auto"/>
        </w:rPr>
        <w:t>As of February 1, 2026,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2023 through 2025, and we currently expect significant U.S. pre-tax losses to continue during fiscal 2026.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February 1, 2026, January 26, 2025, and April 27, 2025,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102870</wp:posOffset>
            </wp:positionV>
            <wp:extent cx="93980" cy="1708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102870</wp:posOffset>
            </wp:positionV>
            <wp:extent cx="93980" cy="1708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102870</wp:posOffset>
            </wp:positionV>
            <wp:extent cx="102870" cy="1708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17081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1, 2026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January 26, 2025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27, 2025</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23,962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23,973</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February 1, 2026,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U.S. corporation is allowed a 100% dividend-received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as of February 1, 2026, January 26, 2025, and April 27, 2025, we recorded a deferred income tax liability of $4.9 million, $5.1 million, and $5.2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January 26, 2025, and April 27, 2025, we had $845,000, $1.4 million, and $790,000 of total gross unrecognized income tax benefits, of which the entire amount was classified as income taxes payable – long-term in the accompanying Consolidated Balance Sheets. These unrecognized income tax benefits would favorably affect income tax expense in future periods by $845,000, $1.4 million, and $790,000 as of February 1, 2026, January 26, 2025, and April 27, 2025, respectively.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$845,000 as of February 1, 2026, relates to an income tax position for which significant change is currently not expected within the next year.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income taxes paid by jurisdiction: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Nine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Nine Months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February 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January 26,</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2026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U.S. State - Income tax payments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China - Income tax payments,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 payments, net of refunds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Currently, our sources of liquidity include cash and cash equivalents (collectively, "cash"), cash flow from operations, and amounts available under our revolving credit lines. As of February 1, 2026, we believe: (i) our cash of $9.7 million; (ii) improvements in cash flow from operations stemming from expected cash savings from our recent restructuring activities, (iii) the current availability under our U.S. line of credit totaling $13.7 million (refer to Note 11 of the consolidated financial statements for further details regarding our financing arrangements), and (iv) proceeds totaling $4.8 million from the collection of a note receivable associated with the sale of Property located in Quebec, Canada (see Note 7 of the consolidated financial statements for further details) will be sufficient to fund our: (i) foreseeable business needs; (ii) restructuring activities; (iii) capital expenditures; (iv) commitments; (v) contractual obligations; and (vi) income tax payments.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February 1, 2026, our cash and cash equivalents (collectively, “cash”) totaled $9.7 million, which represents an increase of $4.1 million compared with cash of $5.6 million as of April 27, 2025. This increase was due mostly to: (i) net borrowings on our lines of credit of $5.3 million; and (ii) proceeds from the sale of property, plant, and equipment totaling $1.1 million, partially offset by net cash used in operating activities of $(2.3) million.</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net cash used in operating activities of $(2.3) million improved for the first nine months of fiscal 2026, compared with net cash used in operating activities of $(9.4) million during the first nine months of fiscal 2025. This trend mostly reflects: (i) a decrease in cash losses from savings associated with our restructuring activities announced on May 1, 2024, and April 24, 2025 (refer to section titled "-- Segment Analysis -- Consolidated Other Income Statement Categories -- Restructuring Activities" for further details regarding our restructuring initiatives), and (ii) an increase in cash flow from accounts receivable due to faster payment trends with key bedding customers, as well as a lower sales mix with upholstery customers who had longer payments trends; partially offset by a decrease in cash flow from: (i) having more finished goods on hand to accommodate customers during the transition of our restructuring activities related to our bedding segment and to prepare for the supply chain effects of the Chinese New Year Holiday, (ii) rising costs to produce and source inventory, and (iii) tariffs imposed in accordance with U.S. trade policies related to imported products, and (iv) a decline in consumer demand negatively impacting cash flow from accounts payable.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outstanding borrowings totaling $18.5 million under our line of credit agreements, of which $11.5 million and $7.0 million were reported in lines of credit-current and line of credit-long term, respectively, on the February 1, 2026, Consolidated Balance Sheet.</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affecting net sales; (ii) increased tariffs or other changes in U.S. trade policy related to imported products; (iii) supply chain disruptions; (iv) rising interest rates and inflation; and (v) geopolitical events (including conflicts in Ukraine and the Middle East). These factors could cause delays in receipt of payment on accounts receivable and could increase cash disbursements due to rising prices.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548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February 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January 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vMerge w:val="continue"/>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2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29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Vietnam</w:t>
            </w:r>
          </w:p>
        </w:tc>
        <w:tc>
          <w:tcPr>
            <w:tcW w:w="2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Haiti</w:t>
            </w:r>
          </w:p>
        </w:tc>
        <w:tc>
          <w:tcPr>
            <w:tcW w:w="29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2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shd w:val="clear" w:color="auto" w:fill="CFF0FC"/>
          </w:tcPr>
          <w:p>
            <w:pPr>
              <w:spacing w:after="0"/>
              <w:rPr>
                <w:sz w:val="17"/>
                <w:szCs w:val="17"/>
                <w:color w:val="auto"/>
              </w:rPr>
            </w:pPr>
          </w:p>
        </w:tc>
        <w:tc>
          <w:tcPr>
            <w:tcW w:w="2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this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nine-month periods ended February 1, 2026, or January 26, 2025,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 2026, $3.2 million is available for additional repurchases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On June 29, 2022, our board of directors announced the decision to suspend the company’s quarterly cash dividend. We believed that preserving capital and managing our liquidity were in the company’s best interest to support future growth and the long-term interests of our shareholders. Accordingly, we did not make any dividend payments during the first nine months of fiscal 2026, fiscal 2025, 2024, or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Tariffs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Since early 2025, the U.S. government has imposed tariffs under the International Emergency Economic Powers Act (“IEEPA”). In February 2026, the U.S. Supreme Court invalidated certain tariffs imposed under IEEPA, and the company has filed a claim seeking reimbursement for amounts it paid under the invalidated tariffs, which amount may be significant. However, the Supreme Court’s ruling did not address whether importers who paid IEEPA tariffs are entitled to refunds, and that issue remains subject to further litigation. We cannot predict whether or when any reimbursement for amounts the company paid in respect of IEEPA tariffs will be available. The litigation regarding these refunds may be ongoing for a significant period of time, and we may not be successful in our claim.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Basis -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$38.8 million as of February 1, 2026, compared with $37.9 million as of January 26, 2025, and $43.4 million as of April 27, 2025. Operating working capital turnover was 4.9 during the third quarter of fiscal 2026, compared with 5.8 during the third quarter of fiscal 2025, and 5.7 during the fourth quarter of fiscal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was $16.9 million as of February 1, 2026, a decrease of $(6.3) million, or (27.1)%, compared with $23.2 million as of January 26, 2025. This decrease was driven by a decrease in net sales of (8.2)% during the third quarter of fiscal 2026, compared with the same period a year ago. In addition, this decrease reflects faster payment trends with key bedding customers, as well as a lower sales mix with upholstery customers who had longer payment trends during the third quarter of fiscal 2026, compared with the third quarter of fiscal 2025. Accordingly, days’ sales outstanding decreased to 31 days for the third quarter of fiscal 2026, from 39 days for the third quarter of fiscal 2025.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20"/>
          <w:szCs w:val="20"/>
          <w:color w:val="auto"/>
        </w:rPr>
        <w:t>Accounts receivable was $16.9 million as of February 1, 2026, a decrease of $(5.0) million, or (22.7)%, compared with $21.8 million as of April 27, 2025. This decrease reflects faster payment trends with key bedding customers, as well as a lower sales mix with upholstery customers who had longer payment trends during the third quarter of fiscal 2026, compared with the fourth quarter of fiscal 2025. Accordingly, days’ sales outstanding decreased to 31 days for the third quarter of fiscal 2026, from 40 days for the fourth quarter of fiscal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Inventory was $52.2 million as of February 1, 2026, an increase of $3.6 million, or 7.4%, compared with $48.6 million as of January 26, 2025. This increase in inventory is due primarily to: (i) requiring more finished goods to be on hand to accommodate customers during our restructuring-related transitions, and (ii) rising costs to produce and source inventory, along with tariffs imposed in accordance with U.S. trade policies related to imported products, which were partially offset by a decrease in net sales related to our upholstery segment due to lower consumer demand during the third quarter of fiscal 2026, compared with the third quarter of fiscal 2025.</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Inventory was $52.2 million as of February 1, 2026, an increase of $2.9 million, or 5.9%, compared with $49.3 million as of April 27, 2025. This increase in inventory is due primarily to: (i) requiring more finished goods to be on hand to accommodate customers during our restructuring-related transitions, and supply chain effects of the Chinese New Year Holiday, and (ii) rising costs to produce and source inventory, along with tariffs imposed in accordance with U.S. trade policies related to imported products.</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3.4 for the third quarter of fiscal 2026, as compared with 3.8 for the third quarter of fiscal 2025, and 3.3 for the fourth quarter of fiscal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Accounts payable - trade was $29.6 million, as of February 1, 2026, a decrease of $(3.1) million, or (9.4)%, compared with $32.7 million as of January 26, 2025. This trend represents a decrease in net sales of (8.2%) due to lower consumer demand, which ultimately led to fewer purchase orders with suppliers, during the third quarter of fiscal 2026, compared with the third quarter of fiscal 2025.</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Accounts payable - trade was $29.6 million, as of February 1, 2026, an increase of $2.3 million, or 8.5%, compared with $27.3 million as of April 27, 2025. This trend represents a strategic build of inventory due to the supply chain effects of the Chinese New Year Holiday.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Currently, we have line of credit agreements with banks for our U.S parent company and our operations located in China. As of February 1, 2026, we had outstanding borrowings associated with our line of credit agreements totaling $18.5 million, of which $11.5 million and $7.0 million were reported in lines of credit-current and line of credit- long term, respectively.. Our loan agreements require, among other things, that we maintain compliance with certain financial covenants. As of February 1, 2026, we were in compliance with these financial covenants.</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11 of the consolidated financial statements for further disclosure regarding our line of credit agreements, which include the Third Amendment and Fourth Amendment to our U.S. revolving credit agreement effective June 12,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17 of the consolidated financial statements for further disclosures regarding our lease obligations, which include a five-year maturity schedule.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for the first nine months of fiscal 2026 totaled $442,000, compared with $2.4 million for the first nine months of fiscal 2025. Our decision to reduce our level of capital expenditures is due to the current unfavorable macro-economic conditions within the home furnishings and bedding industries.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nine months of fiscal 2026, we reported depreciation expense of $3.1 million, compared with $4.3 million for the same period a year ago, which was mostly related to our bedding segment for both periods. We reported accelerated depreciation of $112,000 that was classified within restructuring credit in the Consolidated Statement of Net loss for the nine-month period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4" w:name="page55"/>
    <w:bookmarkEnd w:id="54"/>
    <w:p>
      <w:pPr>
        <w:jc w:val="both"/>
        <w:spacing w:after="0" w:line="244" w:lineRule="auto"/>
        <w:rPr>
          <w:sz w:val="20"/>
          <w:szCs w:val="20"/>
          <w:color w:val="auto"/>
        </w:rPr>
      </w:pPr>
      <w:r>
        <w:rPr>
          <w:rFonts w:ascii="Times New Roman" w:cs="Times New Roman" w:eastAsia="Times New Roman" w:hAnsi="Times New Roman"/>
          <w:sz w:val="20"/>
          <w:szCs w:val="20"/>
          <w:color w:val="auto"/>
        </w:rPr>
        <w:t>ended February 1, 2026. The $112,000 of accelerated depreciation related to the shortening of useful lives of equipment related to the consolidation of distribution activities from our Burlington, North Carolina, facility to our manufacturing and distribution center located in Stokesdale, North Carolina. We reported accelerated depreciation of $1.3 million that was classified within restructuring expense in the Consolidated Statement of Net Loss for the nine-month period ended January 26, 2025. The $1.3 million of accelerated depreciation related to the shortening of useful lives of equipment associated with the closure of our operations located in Quebec, Canada. See Note 10 of the consolidated financial statements for further details and descriptions of our restructuring activities announced on May 1, 2024 and April 24, 2025.</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on current expectations, capital spending for fiscal 2026 is projected to be lower than fiscal 2025 and will center on capital projects that will increase efficiencies, improve the quality of our products, and facilitate future growth. Funding for capital expenditures is expected to be from cash provided by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February 1, 2026, there were no changes in our significant accounting policies or the application of those policies from those reported in our Annual Report on Form 10-K for the year ended April 27, 2025.</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27,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27,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meaningful rise in raw material, utility, energy or other costs, as well as broader economic inflation, could materially and adversely affect our operating results. Competitive market dynamics have traditionally constrained our ability to fully offset such cost increases through price adjustments to customers.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fiscal 2023 and 2024, raw material prices declined, primarily due to lower oil prices and softening global demand. However, both years were marked by persistent challenges associated with elevated labor costs and limited labor availability. While raw material and labor costs stabilized through fiscal 2024 and the first half of fiscal 2025, recent developments such as global trade negotiations and the implementation of new tariffs and import restrictions beginning in the fourth quarter of fiscal 2025 have begun to influence industry pricing structures and supply chain patterns. These evolving conditions have placed upward pressure on our raw material costs, and this trend is expected to continue. In addition, energy prices have demonstrated substantial volatility in recent fiscal years and continue to represent an unpredictable element of our cost structure.</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recent periods we implemented price increases designed to mitigate the impacts of recent tariff actions affecting products imported into the U.S., including those imported from China, as well as additional surcharges in response to new tariffs on imports from Haiti, Turkey and elsewhere. The majority of these price increases began to phase in and become effective as of the second quarter of fiscal 2026, and we believe that our current pricing strategies position us to effectively absorb the additional costs flowing from applicable tariffs, but the above-referenced dynamics may ultimately lead to higher input costs, with potential adverse implications for our financial performance.</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 persistent inflationary pressures significantly curtailed consumer spending during fiscal 2023, with effects extending into fiscal 2024, 2025, and 2026. This economic environment contributed to a broader slowdown in both the mattress and residential home furnishings markets, leading to lower demand from home furnishings manufacturers for our mattress fabrics and residential upholstery fabrics across this period. The duration and future impact of these trends remain uncertain, and it is difficult to predict how inflationary conditions may continue to influence consumer behavior and the broader economic cycle for home furnishings products over the near and long term.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5" w:name="page56"/>
    <w:bookmarkEnd w:id="55"/>
    <w:p>
      <w:pPr>
        <w:ind w:right="3620"/>
        <w:spacing w:after="0" w:line="450" w:lineRule="auto"/>
        <w:rPr>
          <w:sz w:val="20"/>
          <w:szCs w:val="20"/>
          <w:color w:val="auto"/>
        </w:rPr>
      </w:pPr>
      <w:r>
        <w:rPr>
          <w:rFonts w:ascii="Times New Roman" w:cs="Times New Roman" w:eastAsia="Times New Roman" w:hAnsi="Times New Roman"/>
          <w:sz w:val="20"/>
          <w:szCs w:val="20"/>
          <w:u w:val="single" w:color="auto"/>
          <w:color w:val="auto"/>
        </w:rPr>
        <w:t xml:space="preserve">ITEM 3. QUANTITATIVE AND QUALITATIVE DISCLOSURES ABOUT MARKET RISK </w:t>
      </w:r>
      <w:r>
        <w:rPr>
          <w:rFonts w:ascii="Times New Roman" w:cs="Times New Roman" w:eastAsia="Times New Roman" w:hAnsi="Times New Roman"/>
          <w:sz w:val="20"/>
          <w:szCs w:val="20"/>
          <w:i w:val="1"/>
          <w:iCs w:val="1"/>
          <w:color w:val="auto"/>
        </w:rPr>
        <w:t>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regarding our credit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U.S. revolving credit agreement ("Credit Agreement") with Wells Fargo Bank, N.A., permits both base rate borrowings and borrowings that require interest to be charged at a variable rate calculated using an applicable margin over SOFR (the secured overnight financing rate administered by the Federal Reserve Bank of New York (or its successor)), as defined in the Credit Agreement. The annual interest rate under the Credit Agreement as of February 1, 2026, was 5.64%. As of February 1, 2026, outstanding borrowings under the Credit Agreement totaled $7.0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Agreements - China Operations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November 7, 2025, we entered into an unsecured credit agreement with the Bank of China that provides for a 10.0 million RMB ($1.4 million USD as of February 1, 2026) working capital loan. Interest is charged at a rate determined by the Bank of China, which was 2.5% per year as of February 1, 2026. As of February 1, 2026, the outstanding balance under this working capital loan was 10.0 million RMB ($1.4 million USD).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March 5, 2025, we entered into a separate unsecured credit agreement with the Agricultural Bank of China ("ABC") that provided for a line of credit up to 29.0 million RMB ($4.2 million USD as of February 1, 2026). Interest is charged at a rate determined by ABC, which was 2.60% per year as of February 1, 2026. As of February 1, 2026, the outstanding balance under this agreement was 29.0 million RMB ($4.2 million USD).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quarter of fiscal 2026, we entered into unsecured working capital loan agreements with ABC that provided for 21.0 RMB ($3.0 million USD as of February 1, 2026) working capital loan. Interest is charged at a rate determined by ABC, which ranged from 2.50% to 2.6% during the first nine months of fiscal 2026. As of February 1, 2026, the outstanding balance under this agreement was 21.0 million RMB ($3.0 million USD).</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Currently, we have supplier financing arrangements that bear interest at a fixed rate, which were paid in full at the time of borrowings, and therefore borrowings under these arrangements are not subject to future changes in the market rate of interest.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and a substantial portion of the company’s imports purchased outside the U.S. are denominated in U.S. dollars. A 10% change in the above exchange rates as of February 1, 2026, would not have materially affected our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February 1, 2026,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February 1, 2026,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February 1, 2026. Our legal proceedings are disclosed in the company’s Annual Report on Form 10-K filed with the Securities and Exchange Commission on July 11, 2025, for the fiscal year ended April 27,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Except as set forth below, there have not been any material changes to our risk factors during the three months ended February 1, 2026, from the risk factors disclosed in Item 1A “Risk Factors” of the company’s Annual Report on Form 10-K filed with the Securities and Exchange Commission on July 11, 2025, for the fiscal year ended April 27,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may be adversely affected by increased tariffs or other changes in U.S. trade policy related to imported products.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Many of our products are manufactured or sourced outside of the U.S. Since early 2025, the U.S. government has imposed tariffs on imports from various countries, including China, where a significant amount of our products is manufactured. Many of these tariffs were imposed pursuant to the International Emergency Economic Powers Act (IEEPA). In February 2026, the U.S. Supreme Court ruled these tariffs unlawful, but did not address potential refunds for tariffs paid under IEEPA. The U.S. government immediately imposed new global tariffs pursuant to different statutory authority.</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tariff actions compelled us to raise prices on our products and, as a result, our sales and gross margins on certain products are likely to be impacted. Moreover, the current tariff and trade regulatory environment is unpredictable, making it difficult to for us, and for our customers, to manage enterprise cost structure and supply chain planning. Any tariffs that result in increased costs of imported products and materials could require us to further increase prices to our domestic customers. If we are unable to pass along these additional costs, our sales and gross margins may be adversely affected. Further, while a significant portion of our products produced in China are not sold directly into the U.S., and therefore may not be directly impacted by certain U.S. imposed tariffs, most of our products are sold to manufacturers for end use in the U.S. If our customers’ sales are adversely affected by tariffs, our sales may also be adversely impacted. As discussed in “Management’s Discussion and Analysis of Financial Condition and Results of Operations,” tariffs have had an adverse impact on our business, and may have a material adverse effect on our results of operations in the future.</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the U.S. Supreme Court’s decision finding tariffs under IEEPA to be unlawful, we filed a claim with U.S. Court of International Trade seeking a refund for the amounts we paid pursuant to IEEPA tariffs. However, the availability, timing, and amount of any related refunds associated with payments of these duties remain uncertain and subject to further legal, regulatory, and administrative action. We can offer no assurance as to when, or if, we will receive any payments with respect to these claims.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tariffs, the U.S. government has considered, and is expected to continue to consider, other proposals for substantial changes to its trade and tax policies, which could include import restrictions,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8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20" w:type="dxa"/>
            <w:vAlign w:val="bottom"/>
            <w:tcBorders>
              <w:top w:val="single" w:sz="8" w:color="auto"/>
              <w:left w:val="single" w:sz="8" w:color="auto"/>
              <w:right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top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(c)</w:t>
            </w:r>
          </w:p>
        </w:tc>
        <w:tc>
          <w:tcPr>
            <w:tcW w:w="2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color w:val="auto"/>
                <w:w w:val="92"/>
              </w:rPr>
              <w:t>(d)</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Total Number of</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Approximate</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(a)</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5"/>
              </w:rPr>
              <w:t>Dollar Value of</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4"/>
              </w:rPr>
              <w:t>Total</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2"/>
              </w:rPr>
              <w:t>(b)</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7"/>
              </w:rPr>
              <w:t>as Part of</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Shares that May</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3"/>
              </w:rPr>
              <w:t>Number</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5"/>
              </w:rPr>
              <w:t>Average</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Publicly</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Yet Be Purchased</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vMerge w:val="restart"/>
          </w:tcPr>
          <w:p>
            <w:pPr>
              <w:ind w:left="2240"/>
              <w:spacing w:after="0"/>
              <w:rPr>
                <w:sz w:val="20"/>
                <w:szCs w:val="20"/>
                <w:color w:val="auto"/>
              </w:rPr>
            </w:pPr>
            <w:r>
              <w:rPr>
                <w:rFonts w:ascii="Times New Roman" w:cs="Times New Roman" w:eastAsia="Times New Roman" w:hAnsi="Times New Roman"/>
                <w:sz w:val="16"/>
                <w:szCs w:val="16"/>
                <w:color w:val="auto"/>
              </w:rPr>
              <w:t>Period</w:t>
            </w:r>
          </w:p>
        </w:tc>
        <w:tc>
          <w:tcPr>
            <w:tcW w:w="8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8"/>
              </w:rPr>
              <w:t>of Shares</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4"/>
              </w:rPr>
              <w:t>Price Paid</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Announced Plans</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Under the Plans or</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color w:val="auto"/>
                <w:w w:val="97"/>
              </w:rPr>
              <w:t>Purchased</w:t>
            </w:r>
          </w:p>
        </w:tc>
        <w:tc>
          <w:tcPr>
            <w:tcW w:w="2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per Share</w:t>
            </w:r>
          </w:p>
        </w:tc>
        <w:tc>
          <w:tcPr>
            <w:tcW w:w="20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4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or Programs</w:t>
            </w:r>
          </w:p>
        </w:tc>
        <w:tc>
          <w:tcPr>
            <w:tcW w:w="2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color w:val="auto"/>
                <w:w w:val="96"/>
              </w:rPr>
              <w:t>Programs (1)</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November 3, 2025 to December 7, 2025</w:t>
            </w:r>
          </w:p>
        </w:tc>
        <w:tc>
          <w:tcPr>
            <w:tcW w:w="8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December 8, 2025 to January 4, 2026</w:t>
            </w:r>
          </w:p>
        </w:tc>
        <w:tc>
          <w:tcPr>
            <w:tcW w:w="880" w:type="dxa"/>
            <w:vAlign w:val="bottom"/>
          </w:tcPr>
          <w:p>
            <w:pPr>
              <w:spacing w:after="0"/>
              <w:rPr>
                <w:sz w:val="17"/>
                <w:szCs w:val="17"/>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5, 2026 to February 1, 2026</w:t>
            </w: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-419735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-419735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-419735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-419735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-145415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-145415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-145415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5.</w:t>
      </w:r>
      <w:r>
        <w:rPr>
          <w:sz w:val="20"/>
          <w:szCs w:val="20"/>
          <w:color w:val="auto"/>
        </w:rPr>
        <w:tab/>
      </w:r>
      <w:r>
        <w:rPr>
          <w:rFonts w:ascii="Times New Roman" w:cs="Times New Roman" w:eastAsia="Times New Roman" w:hAnsi="Times New Roman"/>
          <w:sz w:val="19"/>
          <w:szCs w:val="19"/>
          <w:u w:val="single" w:color="auto"/>
          <w:color w:val="auto"/>
        </w:rPr>
        <w:t>Other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February 1, 2026,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93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Item 6. Exhibits</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3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0000FF"/>
              </w:rPr>
              <w:t>Fourth Amendment to the Second Amended and Restated Credit Agreement, dated as of November 4, 2025, by and</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amon</w:t>
            </w:r>
          </w:p>
        </w:tc>
      </w:tr>
      <w:tr>
        <w:trPr>
          <w:trHeight w:val="20"/>
        </w:trPr>
        <w:tc>
          <w:tcPr>
            <w:tcW w:w="900" w:type="dxa"/>
            <w:vAlign w:val="bottom"/>
            <w:tcBorders>
              <w:right w:val="single" w:sz="8" w:color="0000FF"/>
            </w:tcBorders>
            <w:gridSpan w:val="3"/>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38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0000FF"/>
              </w:rPr>
              <w:t>Culp, Inc., as Borrower, Read Window Products, LLC and Culp Fabrics Global, LLC, as Guarantors, and Wells</w:t>
            </w:r>
          </w:p>
        </w:tc>
        <w:tc>
          <w:tcPr>
            <w:tcW w:w="1960" w:type="dxa"/>
            <w:vAlign w:val="bottom"/>
            <w:gridSpan w:val="3"/>
          </w:tcPr>
          <w:p>
            <w:pPr>
              <w:ind w:left="300"/>
              <w:spacing w:after="0" w:line="209" w:lineRule="exact"/>
              <w:rPr>
                <w:sz w:val="20"/>
                <w:szCs w:val="20"/>
                <w:color w:val="auto"/>
              </w:rPr>
            </w:pPr>
            <w:r>
              <w:rPr>
                <w:rFonts w:ascii="Times New Roman" w:cs="Times New Roman" w:eastAsia="Times New Roman" w:hAnsi="Times New Roman"/>
                <w:sz w:val="20"/>
                <w:szCs w:val="20"/>
                <w:color w:val="0000FF"/>
                <w:w w:val="98"/>
              </w:rPr>
              <w:t>Fargo Bank, Nationa</w:t>
            </w:r>
          </w:p>
        </w:tc>
      </w:tr>
      <w:tr>
        <w:trPr>
          <w:trHeight w:val="210"/>
        </w:trPr>
        <w:tc>
          <w:tcPr>
            <w:tcW w:w="9380" w:type="dxa"/>
            <w:vAlign w:val="bottom"/>
            <w:tcBorders>
              <w:top w:val="single" w:sz="8" w:color="0000FF"/>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FF"/>
              </w:rPr>
              <w:t>Association, as Lender.</w:t>
            </w:r>
          </w:p>
        </w:tc>
        <w:tc>
          <w:tcPr>
            <w:tcW w:w="118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Rule 13a-14(a)/15d-14(a)</w:t>
            </w:r>
            <w:r>
              <w:rPr>
                <w:rFonts w:ascii="Times New Roman" w:cs="Times New Roman" w:eastAsia="Times New Roman" w:hAnsi="Times New Roman"/>
                <w:sz w:val="16"/>
                <w:szCs w:val="16"/>
                <w:color w:val="0000FF"/>
                <w:w w:val="98"/>
              </w:rPr>
              <w:t>.</w:t>
            </w:r>
          </w:p>
        </w:tc>
        <w:tc>
          <w:tcPr>
            <w:tcW w:w="23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240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101.INS</w:t>
            </w:r>
          </w:p>
        </w:tc>
        <w:tc>
          <w:tcPr>
            <w:tcW w:w="6020" w:type="dxa"/>
            <w:vAlign w:val="bottom"/>
            <w:tcBorders>
              <w:top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246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101.SCH</w:t>
            </w:r>
          </w:p>
        </w:tc>
        <w:tc>
          <w:tcPr>
            <w:tcW w:w="84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101.CAL</w:t>
            </w:r>
          </w:p>
        </w:tc>
        <w:tc>
          <w:tcPr>
            <w:tcW w:w="84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101.LAB</w:t>
            </w:r>
          </w:p>
        </w:tc>
        <w:tc>
          <w:tcPr>
            <w:tcW w:w="84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101.PRE</w:t>
            </w:r>
          </w:p>
        </w:tc>
        <w:tc>
          <w:tcPr>
            <w:tcW w:w="84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101.DEF</w:t>
            </w:r>
          </w:p>
        </w:tc>
        <w:tc>
          <w:tcPr>
            <w:tcW w:w="84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52" w:lineRule="exact"/>
        <w:rPr>
          <w:sz w:val="20"/>
          <w:szCs w:val="20"/>
          <w:color w:val="auto"/>
        </w:rPr>
      </w:pPr>
    </w:p>
    <w:p>
      <w:pPr>
        <w:ind w:left="2260" w:right="2660" w:hanging="2252"/>
        <w:spacing w:after="0" w:line="269" w:lineRule="auto"/>
        <w:tabs>
          <w:tab w:leader="none" w:pos="98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71"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CULP, INC.</w:t>
            </w:r>
          </w:p>
        </w:tc>
      </w:tr>
      <w:tr>
        <w:trPr>
          <w:trHeight w:val="262"/>
        </w:trPr>
        <w:tc>
          <w:tcPr>
            <w:tcW w:w="3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426"/>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March 13, 2026</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By:   /s/ Kenneth R. Bowling</w:t>
            </w:r>
          </w:p>
        </w:tc>
      </w:tr>
      <w:tr>
        <w:trPr>
          <w:trHeight w:val="200"/>
        </w:trPr>
        <w:tc>
          <w:tcPr>
            <w:tcW w:w="3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Kenneth R. Bowling</w:t>
            </w:r>
          </w:p>
        </w:tc>
      </w:tr>
      <w:tr>
        <w:trPr>
          <w:trHeight w:val="230"/>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29"/>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financial officer and principal accounting officer)</w:t>
            </w:r>
          </w:p>
        </w:tc>
      </w:tr>
      <w:tr>
        <w:trPr>
          <w:trHeight w:val="453"/>
        </w:trPr>
        <w:tc>
          <w:tcPr>
            <w:tcW w:w="3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FOURTH AMENDMENT TO SECOND AMENDED AND RESTATED CREDIT AGREEMENT</w:t>
      </w:r>
    </w:p>
    <w:p>
      <w:pPr>
        <w:spacing w:after="0" w:line="233" w:lineRule="exact"/>
        <w:rPr>
          <w:sz w:val="20"/>
          <w:szCs w:val="20"/>
          <w:color w:val="auto"/>
        </w:rPr>
      </w:pPr>
    </w:p>
    <w:p>
      <w:pPr>
        <w:jc w:val="both"/>
        <w:ind w:right="380" w:firstLine="777"/>
        <w:spacing w:after="0" w:line="246" w:lineRule="auto"/>
        <w:rPr>
          <w:sz w:val="20"/>
          <w:szCs w:val="20"/>
          <w:color w:val="auto"/>
        </w:rPr>
      </w:pPr>
      <w:r>
        <w:rPr>
          <w:rFonts w:ascii="Times New Roman" w:cs="Times New Roman" w:eastAsia="Times New Roman" w:hAnsi="Times New Roman"/>
          <w:sz w:val="20"/>
          <w:szCs w:val="20"/>
          <w:color w:val="auto"/>
        </w:rPr>
        <w:t>This Fourth Amendment to Second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November 4, 2025, is made by and among </w:t>
      </w:r>
      <w:r>
        <w:rPr>
          <w:rFonts w:ascii="Times New Roman" w:cs="Times New Roman" w:eastAsia="Times New Roman" w:hAnsi="Times New Roman"/>
          <w:sz w:val="20"/>
          <w:szCs w:val="20"/>
          <w:b w:val="1"/>
          <w:bCs w:val="1"/>
          <w:color w:val="auto"/>
        </w:rPr>
        <w:t>CULP, INC.</w:t>
      </w:r>
      <w:r>
        <w:rPr>
          <w:rFonts w:ascii="Times New Roman" w:cs="Times New Roman" w:eastAsia="Times New Roman" w:hAnsi="Times New Roman"/>
          <w:sz w:val="20"/>
          <w:szCs w:val="20"/>
          <w:color w:val="auto"/>
        </w:rPr>
        <w:t>, a North Carolina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READ WINDOW PRODUCTS, LLC</w:t>
      </w:r>
      <w:r>
        <w:rPr>
          <w:rFonts w:ascii="Times New Roman" w:cs="Times New Roman" w:eastAsia="Times New Roman" w:hAnsi="Times New Roman"/>
          <w:sz w:val="20"/>
          <w:szCs w:val="20"/>
          <w:color w:val="auto"/>
        </w:rPr>
        <w:t>, a North Carolina limited liability company (“</w:t>
      </w:r>
      <w:r>
        <w:rPr>
          <w:rFonts w:ascii="Times New Roman" w:cs="Times New Roman" w:eastAsia="Times New Roman" w:hAnsi="Times New Roman"/>
          <w:sz w:val="20"/>
          <w:szCs w:val="20"/>
          <w:u w:val="single" w:color="auto"/>
          <w:color w:val="auto"/>
        </w:rPr>
        <w:t>Read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CULP FABRICS GLOBAL, LLC</w:t>
      </w:r>
      <w:r>
        <w:rPr>
          <w:rFonts w:ascii="Times New Roman" w:cs="Times New Roman" w:eastAsia="Times New Roman" w:hAnsi="Times New Roman"/>
          <w:sz w:val="20"/>
          <w:szCs w:val="20"/>
          <w:color w:val="auto"/>
        </w:rPr>
        <w:t>, a North Carolina limited liability company (“</w:t>
      </w:r>
      <w:r>
        <w:rPr>
          <w:rFonts w:ascii="Times New Roman" w:cs="Times New Roman" w:eastAsia="Times New Roman" w:hAnsi="Times New Roman"/>
          <w:sz w:val="20"/>
          <w:szCs w:val="20"/>
          <w:u w:val="single" w:color="auto"/>
          <w:color w:val="auto"/>
        </w:rPr>
        <w:t>Global</w:t>
      </w:r>
      <w:r>
        <w:rPr>
          <w:rFonts w:ascii="Times New Roman" w:cs="Times New Roman" w:eastAsia="Times New Roman" w:hAnsi="Times New Roman"/>
          <w:sz w:val="20"/>
          <w:szCs w:val="20"/>
          <w:color w:val="auto"/>
        </w:rPr>
        <w:t>”; together with Read,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WELLS FARGO BANK,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NATIONAL ASSOCIATION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I T N E S S E T 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-25400</wp:posOffset>
            </wp:positionV>
            <wp:extent cx="94297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2975" cy="38100"/>
                    </a:xfrm>
                    <a:prstGeom prst="rect">
                      <a:avLst/>
                    </a:prstGeom>
                    <a:noFill/>
                  </pic:spPr>
                </pic:pic>
              </a:graphicData>
            </a:graphic>
          </wp:anchor>
        </w:drawing>
      </w:r>
    </w:p>
    <w:p>
      <w:pPr>
        <w:spacing w:after="0" w:line="209" w:lineRule="exact"/>
        <w:rPr>
          <w:sz w:val="20"/>
          <w:szCs w:val="20"/>
          <w:color w:val="auto"/>
        </w:rPr>
      </w:pPr>
    </w:p>
    <w:p>
      <w:pPr>
        <w:jc w:val="both"/>
        <w:ind w:right="380" w:firstLine="777"/>
        <w:spacing w:after="0" w:line="295" w:lineRule="auto"/>
        <w:rPr>
          <w:sz w:val="20"/>
          <w:szCs w:val="20"/>
          <w:color w:val="auto"/>
        </w:rPr>
      </w:pPr>
      <w:r>
        <w:rPr>
          <w:rFonts w:ascii="Times New Roman" w:cs="Times New Roman" w:eastAsia="Times New Roman" w:hAnsi="Times New Roman"/>
          <w:sz w:val="19"/>
          <w:szCs w:val="19"/>
          <w:color w:val="auto"/>
        </w:rPr>
        <w:t>WHEREAS, Borrower, Guarantor, and Lender are parties to that certain Second Amended and Restated Credit Agreement dated as of January 19, 2023 (as amended, restated, supplemented, or otherwise modified from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and</w:t>
      </w:r>
    </w:p>
    <w:p>
      <w:pPr>
        <w:spacing w:after="0" w:line="151"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WHEREAS, Loan Parties have requested that Lender amend the Credit Agreement as set forth herein, and Lender is willing to do so on the terms and conditions set forth herein.</w:t>
      </w:r>
    </w:p>
    <w:p>
      <w:pPr>
        <w:spacing w:after="0" w:line="173" w:lineRule="exact"/>
        <w:rPr>
          <w:sz w:val="20"/>
          <w:szCs w:val="20"/>
          <w:color w:val="auto"/>
        </w:rPr>
      </w:pPr>
    </w:p>
    <w:p>
      <w:pPr>
        <w:ind w:right="420" w:firstLine="77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of the mutual covenants and agreements herein contained, it is agreed as follows:</w:t>
      </w:r>
    </w:p>
    <w:p>
      <w:pPr>
        <w:spacing w:after="0" w:line="173" w:lineRule="exact"/>
        <w:rPr>
          <w:sz w:val="20"/>
          <w:szCs w:val="20"/>
          <w:color w:val="auto"/>
        </w:rPr>
      </w:pPr>
    </w:p>
    <w:p>
      <w:pPr>
        <w:ind w:right="380" w:firstLine="725"/>
        <w:spacing w:after="0" w:line="269"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in this Agreement, including in the recitals hereto, which are defined in the Credit Agreement shall have the same meanings as defined therein, unless otherwise defined herein.</w:t>
      </w:r>
    </w:p>
    <w:p>
      <w:pPr>
        <w:spacing w:after="0" w:line="159" w:lineRule="exact"/>
        <w:rPr>
          <w:rFonts w:ascii="Times New Roman" w:cs="Times New Roman" w:eastAsia="Times New Roman" w:hAnsi="Times New Roman"/>
          <w:sz w:val="20"/>
          <w:szCs w:val="20"/>
          <w:color w:val="auto"/>
        </w:rPr>
      </w:pPr>
    </w:p>
    <w:p>
      <w:pPr>
        <w:jc w:val="both"/>
        <w:ind w:right="380" w:firstLine="725"/>
        <w:spacing w:after="0" w:line="259"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xml:space="preserve">. Subject to the satisfaction of each of the conditions precedent set forth in this Agreement,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of the Credit Agreement is hereby amended </w:t>
      </w:r>
      <w:r>
        <w:rPr>
          <w:rFonts w:ascii="Times New Roman" w:cs="Times New Roman" w:eastAsia="Times New Roman" w:hAnsi="Times New Roman"/>
          <w:sz w:val="21"/>
          <w:szCs w:val="21"/>
          <w:color w:val="auto"/>
        </w:rPr>
        <w:t>by deleting the single instance “$2,000,000” and inserting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“$3,000,000” in replacement thereof.</w:t>
      </w:r>
    </w:p>
    <w:p>
      <w:pPr>
        <w:spacing w:after="0" w:line="162" w:lineRule="exact"/>
        <w:rPr>
          <w:rFonts w:ascii="Times New Roman" w:cs="Times New Roman" w:eastAsia="Times New Roman" w:hAnsi="Times New Roman"/>
          <w:sz w:val="20"/>
          <w:szCs w:val="20"/>
          <w:color w:val="auto"/>
        </w:rPr>
      </w:pPr>
    </w:p>
    <w:p>
      <w:pPr>
        <w:jc w:val="both"/>
        <w:ind w:right="380" w:firstLine="725"/>
        <w:spacing w:after="0" w:line="242" w:lineRule="auto"/>
        <w:tabs>
          <w:tab w:leader="none" w:pos="111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Amendment or Waiver</w:t>
      </w:r>
      <w:r>
        <w:rPr>
          <w:rFonts w:ascii="Times New Roman" w:cs="Times New Roman" w:eastAsia="Times New Roman" w:hAnsi="Times New Roman"/>
          <w:sz w:val="20"/>
          <w:szCs w:val="20"/>
          <w:color w:val="auto"/>
        </w:rPr>
        <w:t>. The execution, delivery and effectiveness of this Agreement shall not operate as a waiver of any right, power or remedy of Lender under the Credit Agreement or any of the other Loan Documents, nor constitute a waiver of any provision of the Credit Agreement or any of the other Loan Documents. Except for the amendments set forth in this Agreement, the text of the Credit Agreement and the other Loan Documents shall remain unchanged and in full force and effect and each Loan Party hereby ratifies and confirms its obligations thereunder. This Agreement shall not constitute a modification of the Credit Agreement or the other Loan Documents or a course of dealing with Lender of variance with the Credit Agreement or the other Loan Documents such as to require notice by Lender to require strict compliance with the terms of the Credit Agreement and other Loan Documents in the future, except as expressly set forth in this Agreement. Each Loan Party acknowledges and agrees that Lender reserves the right to, and does in fact, require strict compliance with all terms and provisions of the Credit Agreement and the other Loan Documents, as amended by this Agreement.</w:t>
      </w:r>
    </w:p>
    <w:p>
      <w:pPr>
        <w:spacing w:after="0" w:line="192" w:lineRule="exact"/>
        <w:rPr>
          <w:rFonts w:ascii="Times New Roman" w:cs="Times New Roman" w:eastAsia="Times New Roman" w:hAnsi="Times New Roman"/>
          <w:sz w:val="20"/>
          <w:szCs w:val="20"/>
          <w:color w:val="auto"/>
        </w:rPr>
      </w:pPr>
    </w:p>
    <w:p>
      <w:pPr>
        <w:ind w:left="1120" w:hanging="395"/>
        <w:spacing w:after="0"/>
        <w:tabs>
          <w:tab w:leader="none" w:pos="11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hereby represents and warrants to Lender as follows:</w:t>
      </w:r>
    </w:p>
    <w:p>
      <w:pPr>
        <w:spacing w:after="0" w:line="216" w:lineRule="exact"/>
        <w:rPr>
          <w:sz w:val="20"/>
          <w:szCs w:val="20"/>
          <w:color w:val="auto"/>
        </w:rPr>
      </w:pPr>
    </w:p>
    <w:p>
      <w:pPr>
        <w:jc w:val="both"/>
        <w:ind w:right="380" w:firstLine="1446"/>
        <w:spacing w:after="0" w:line="254" w:lineRule="auto"/>
        <w:rPr>
          <w:sz w:val="20"/>
          <w:szCs w:val="20"/>
          <w:color w:val="auto"/>
        </w:rPr>
      </w:pPr>
      <w:r>
        <w:rPr>
          <w:rFonts w:ascii="Times New Roman" w:cs="Times New Roman" w:eastAsia="Times New Roman" w:hAnsi="Times New Roman"/>
          <w:sz w:val="20"/>
          <w:szCs w:val="20"/>
          <w:color w:val="auto"/>
        </w:rPr>
        <w:t>(a)Such Loan Party has all requisite power and authority to execute this Agreement and to perform all of its obligations hereunder, and this Agreement has been duly executed and delivered by such Loan Party and constitutes the legal, valid and binding obligation of such Loan Party,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729615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684" w:right="339" w:bottom="1440" w:gutter="0" w:footer="0" w:header="0"/>
        </w:sectPr>
      </w:pPr>
    </w:p>
    <w:bookmarkStart w:id="61" w:name="page62"/>
    <w:bookmarkEnd w:id="61"/>
    <w:p>
      <w:pPr>
        <w:ind w:left="300" w:firstLine="1446"/>
        <w:spacing w:after="0" w:line="250" w:lineRule="auto"/>
        <w:rPr>
          <w:sz w:val="20"/>
          <w:szCs w:val="20"/>
          <w:color w:val="auto"/>
        </w:rPr>
      </w:pPr>
      <w:r>
        <w:rPr>
          <w:rFonts w:ascii="Times New Roman" w:cs="Times New Roman" w:eastAsia="Times New Roman" w:hAnsi="Times New Roman"/>
          <w:sz w:val="20"/>
          <w:szCs w:val="20"/>
          <w:color w:val="auto"/>
        </w:rPr>
        <w:t>(b)The execution, delivery and performance by such Loan Party of this Agreement have been duly authorized by all necessary corporate or limited liability company action and do not</w:t>
      </w:r>
    </w:p>
    <w:p>
      <w:pPr>
        <w:spacing w:after="0" w:line="2" w:lineRule="exact"/>
        <w:rPr>
          <w:sz w:val="20"/>
          <w:szCs w:val="20"/>
          <w:color w:val="auto"/>
        </w:rPr>
      </w:pPr>
    </w:p>
    <w:p>
      <w:pPr>
        <w:jc w:val="both"/>
        <w:ind w:left="300" w:firstLine="1"/>
        <w:spacing w:after="0"/>
        <w:tabs>
          <w:tab w:leader="none" w:pos="59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such Loan Party, or the articles or certificate of incorporation or formation or bylaws or operating agreement of such Loan Party, or (iii) result in a breach of or constitute a default under any indenture or loan or credit agreement or any other agreement, lease or instrument to which such Loan Party is a party or by which it or its properties may be bound or affected.</w:t>
      </w:r>
    </w:p>
    <w:p>
      <w:pPr>
        <w:spacing w:after="0" w:line="178" w:lineRule="exact"/>
        <w:rPr>
          <w:sz w:val="20"/>
          <w:szCs w:val="20"/>
          <w:color w:val="auto"/>
        </w:rPr>
      </w:pPr>
    </w:p>
    <w:p>
      <w:pPr>
        <w:jc w:val="both"/>
        <w:ind w:left="300" w:firstLine="1446"/>
        <w:spacing w:after="0" w:line="260" w:lineRule="auto"/>
        <w:rPr>
          <w:sz w:val="20"/>
          <w:szCs w:val="20"/>
          <w:color w:val="auto"/>
        </w:rPr>
      </w:pPr>
      <w:r>
        <w:rPr>
          <w:rFonts w:ascii="Times New Roman" w:cs="Times New Roman" w:eastAsia="Times New Roman" w:hAnsi="Times New Roman"/>
          <w:sz w:val="19"/>
          <w:szCs w:val="19"/>
          <w:color w:val="auto"/>
        </w:rPr>
        <w:t>(c)All of the representations and warranties of the Loan Parties contained in the Credit Agreement are correct in all material respects (except that such materiality qualifier shall not be applicable to any representations and warranties that already are qualified or modified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as of such earlier date (except that such materiality qualifier shall not be applicable to any representations and warranties that already are qualified or modified by materiality in the text thereof)).</w:t>
      </w:r>
    </w:p>
    <w:p>
      <w:pPr>
        <w:spacing w:after="0" w:line="186" w:lineRule="exact"/>
        <w:rPr>
          <w:sz w:val="20"/>
          <w:szCs w:val="20"/>
          <w:color w:val="auto"/>
        </w:rPr>
      </w:pPr>
    </w:p>
    <w:p>
      <w:pPr>
        <w:jc w:val="both"/>
        <w:ind w:left="300" w:firstLine="725"/>
        <w:spacing w:after="0" w:line="254" w:lineRule="auto"/>
        <w:tabs>
          <w:tab w:leader="none" w:pos="14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All references in the Credit Agreement to “this Agreement” shall be deemed to refer to the Credit Agreement as amended hereby; and any and all references in the other Loan Documents to the Credit Agreement shall be deemed to refer to the Credit Agreement as amended hereby.</w:t>
      </w:r>
    </w:p>
    <w:p>
      <w:pPr>
        <w:spacing w:after="0" w:line="160" w:lineRule="exact"/>
        <w:rPr>
          <w:rFonts w:ascii="Times New Roman" w:cs="Times New Roman" w:eastAsia="Times New Roman" w:hAnsi="Times New Roman"/>
          <w:sz w:val="20"/>
          <w:szCs w:val="20"/>
          <w:color w:val="auto"/>
        </w:rPr>
      </w:pPr>
    </w:p>
    <w:p>
      <w:pPr>
        <w:ind w:left="300" w:firstLine="725"/>
        <w:spacing w:after="0" w:line="269" w:lineRule="auto"/>
        <w:tabs>
          <w:tab w:leader="none" w:pos="14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xml:space="preserve">. The amendments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shall become effective only upon satisfaction of the following conditions precedent:</w:t>
      </w:r>
    </w:p>
    <w:p>
      <w:pPr>
        <w:spacing w:after="0" w:line="186" w:lineRule="exact"/>
        <w:rPr>
          <w:sz w:val="20"/>
          <w:szCs w:val="20"/>
          <w:color w:val="auto"/>
        </w:rPr>
      </w:pPr>
    </w:p>
    <w:p>
      <w:pPr>
        <w:ind w:left="2540" w:hanging="740"/>
        <w:spacing w:after="0"/>
        <w:tabs>
          <w:tab w:leader="none" w:pos="25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shall have received this Agreement, duly executed and delivered by the Loan</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Parties.</w:t>
      </w:r>
    </w:p>
    <w:p>
      <w:pPr>
        <w:spacing w:after="0" w:line="315" w:lineRule="exact"/>
        <w:rPr>
          <w:sz w:val="20"/>
          <w:szCs w:val="20"/>
          <w:color w:val="auto"/>
        </w:rPr>
      </w:pPr>
    </w:p>
    <w:p>
      <w:pPr>
        <w:ind w:left="300" w:right="560" w:firstLine="1446"/>
        <w:spacing w:after="0" w:line="269" w:lineRule="auto"/>
        <w:rPr>
          <w:sz w:val="20"/>
          <w:szCs w:val="20"/>
          <w:color w:val="auto"/>
        </w:rPr>
      </w:pPr>
      <w:r>
        <w:rPr>
          <w:rFonts w:ascii="Times New Roman" w:cs="Times New Roman" w:eastAsia="Times New Roman" w:hAnsi="Times New Roman"/>
          <w:sz w:val="20"/>
          <w:szCs w:val="20"/>
          <w:color w:val="auto"/>
        </w:rPr>
        <w:t>(b)Lender shall have received such other documents, instruments, agreements or information as reasonably requested by Lender.</w:t>
      </w:r>
    </w:p>
    <w:p>
      <w:pPr>
        <w:spacing w:after="0" w:line="159" w:lineRule="exact"/>
        <w:rPr>
          <w:sz w:val="20"/>
          <w:szCs w:val="20"/>
          <w:color w:val="auto"/>
        </w:rPr>
      </w:pPr>
    </w:p>
    <w:p>
      <w:pPr>
        <w:jc w:val="both"/>
        <w:ind w:left="300" w:firstLine="725"/>
        <w:spacing w:after="0" w:line="246" w:lineRule="auto"/>
        <w:tabs>
          <w:tab w:leader="none" w:pos="141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Waiver</w:t>
      </w:r>
      <w:r>
        <w:rPr>
          <w:rFonts w:ascii="Times New Roman" w:cs="Times New Roman" w:eastAsia="Times New Roman" w:hAnsi="Times New Roman"/>
          <w:sz w:val="20"/>
          <w:szCs w:val="20"/>
          <w:color w:val="auto"/>
        </w:rPr>
        <w:t>. Except as expressly set forth herein, the execution of this Agreement and acceptance of any documents related hereto or thereto shall not be deemed to be a waiver of any Event of Default, or event or condition which with notice, or passage of time, or both, would constitute an Event of Default, under the Credit Agreement or breach, default or event of default under any Loan Document or other document held by Lender, whether or not known to Lender and whether or not existing on the date of this Agreement.</w:t>
      </w:r>
    </w:p>
    <w:p>
      <w:pPr>
        <w:spacing w:after="0" w:line="184" w:lineRule="exact"/>
        <w:rPr>
          <w:rFonts w:ascii="Times New Roman" w:cs="Times New Roman" w:eastAsia="Times New Roman" w:hAnsi="Times New Roman"/>
          <w:sz w:val="20"/>
          <w:szCs w:val="20"/>
          <w:color w:val="auto"/>
        </w:rPr>
      </w:pPr>
    </w:p>
    <w:p>
      <w:pPr>
        <w:jc w:val="both"/>
        <w:ind w:left="300" w:firstLine="725"/>
        <w:spacing w:after="0" w:line="243" w:lineRule="auto"/>
        <w:tabs>
          <w:tab w:leader="none" w:pos="141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Each Loan Party hereby absolutely and unconditionally releases and forever discharges Lender, and any and all of Lender’s Affiliates, participants, parent corporations, subsidiary corporations, insurers, indemnitors, and successors and assigns of any of the foregoing, together with all of the present and former directors, officers, agents, attorneys, attorneys-in-fact, representatives, and employees of any of the foregoing, from any and all claims, demands or causes of action of any kind, nature or description, whether arising in law or equity or upon contract or tort or under any state or federal law or otherwise, which such Loan Party has had, now has or has made claim to have against any such Person for or by reason of any act, omission, matter, cause or thing whatsoever arising from the beginning of time to and including the date of this Agreement, whether such claims, demands and causes of action are matured or unmatured or known or unknown.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878840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413" w:right="719" w:bottom="1440" w:gutter="0" w:footer="0" w:header="0"/>
        </w:sectPr>
      </w:pPr>
    </w:p>
    <w:bookmarkStart w:id="62" w:name="page63"/>
    <w:bookmarkEnd w:id="62"/>
    <w:p>
      <w:pPr>
        <w:jc w:val="both"/>
        <w:ind w:left="300" w:firstLine="725"/>
        <w:spacing w:after="0" w:line="243" w:lineRule="auto"/>
        <w:tabs>
          <w:tab w:leader="none" w:pos="14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Each Loan Party hereby reaffirms its agreement under the Credit Agreement to pay or reimburse Lender on demand for all costs and expenses incurred by Lender in connection with the Loan Documents, including without limitation all reasonable fees and disbursements of legal counsel. Without limiting the generality of the foregoing, Borrower specifically agrees to pay all fees and disbursements of counsel to Lender for the services performed by such counsel in connection with the preparation of this Agreement and the documents and instruments incidental hereto. Borrower hereby agrees that Lender may, at any time or from time to time in its sole discretion and without further authorization by Borrower, make a loan to Borrower pursuant to </w:t>
      </w:r>
      <w:r>
        <w:rPr>
          <w:rFonts w:ascii="Times New Roman" w:cs="Times New Roman" w:eastAsia="Times New Roman" w:hAnsi="Times New Roman"/>
          <w:sz w:val="20"/>
          <w:szCs w:val="20"/>
          <w:u w:val="single" w:color="auto"/>
          <w:color w:val="auto"/>
        </w:rPr>
        <w:t>Section 2.4(g)</w:t>
      </w:r>
      <w:r>
        <w:rPr>
          <w:rFonts w:ascii="Times New Roman" w:cs="Times New Roman" w:eastAsia="Times New Roman" w:hAnsi="Times New Roman"/>
          <w:sz w:val="20"/>
          <w:szCs w:val="20"/>
          <w:color w:val="auto"/>
        </w:rPr>
        <w:t xml:space="preserve"> of the Credit Agreement, or apply the proceeds of any such loan, for the purpose of paying any such fees, disbursements, costs and expenses contemplated hereby.</w:t>
      </w:r>
    </w:p>
    <w:p>
      <w:pPr>
        <w:spacing w:after="0" w:line="175" w:lineRule="exact"/>
        <w:rPr>
          <w:rFonts w:ascii="Times New Roman" w:cs="Times New Roman" w:eastAsia="Times New Roman" w:hAnsi="Times New Roman"/>
          <w:sz w:val="20"/>
          <w:szCs w:val="20"/>
          <w:color w:val="auto"/>
        </w:rPr>
      </w:pPr>
    </w:p>
    <w:p>
      <w:pPr>
        <w:jc w:val="both"/>
        <w:ind w:left="300" w:firstLine="725"/>
        <w:spacing w:after="0" w:line="242" w:lineRule="auto"/>
        <w:tabs>
          <w:tab w:leader="none" w:pos="14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notices delivered under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Lender reserves the right, in its sole discretion, to accept, deny, or condition acceptance of any electronic signature on this Agreement or on any notice delivered to Lender under this Agreement. This Agreement and any notices delivered under this 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 as effective as delivery of a manually executed counterpart of the Agreement or notice.</w:t>
      </w:r>
    </w:p>
    <w:p>
      <w:pPr>
        <w:spacing w:after="0" w:line="206" w:lineRule="exact"/>
        <w:rPr>
          <w:sz w:val="20"/>
          <w:szCs w:val="20"/>
          <w:color w:val="auto"/>
        </w:rPr>
      </w:pPr>
    </w:p>
    <w:p>
      <w:pPr>
        <w:ind w:left="1800" w:hanging="749"/>
        <w:spacing w:after="0"/>
        <w:tabs>
          <w:tab w:leader="none" w:pos="18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Agreement shall be deemed a Loan Document for all purposes.</w:t>
      </w:r>
    </w:p>
    <w:p>
      <w:pPr>
        <w:spacing w:after="0" w:line="202" w:lineRule="exact"/>
        <w:rPr>
          <w:rFonts w:ascii="Times New Roman" w:cs="Times New Roman" w:eastAsia="Times New Roman" w:hAnsi="Times New Roman"/>
          <w:sz w:val="20"/>
          <w:szCs w:val="20"/>
          <w:color w:val="auto"/>
        </w:rPr>
      </w:pPr>
    </w:p>
    <w:p>
      <w:pPr>
        <w:jc w:val="both"/>
        <w:ind w:left="300" w:firstLine="725"/>
        <w:spacing w:after="0" w:line="249" w:lineRule="auto"/>
        <w:tabs>
          <w:tab w:leader="none" w:pos="141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JURY TRIAL WAIVER</w:t>
      </w:r>
      <w:r>
        <w:rPr>
          <w:rFonts w:ascii="Times New Roman" w:cs="Times New Roman" w:eastAsia="Times New Roman" w:hAnsi="Times New Roman"/>
          <w:sz w:val="20"/>
          <w:szCs w:val="20"/>
          <w:color w:val="auto"/>
        </w:rPr>
        <w:t xml:space="preserve">. THIS AGREEMENT SHALL BE SUBJECT TO THE PROVISIONS REGARDING GOVERNING LAW, FORUM NON CONVENIENS, WAIVER OF JURY TRIAL AND SUBMISSION TO JURISDICTION SET FORTH IN SECTIONS 10.1, 10.2, 10.3, AND 10.4 OF THE CREDIT AGREEMENT, AND SUCH PROVISIONS ARE INCORPORATED HEREIN BY THIS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878840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413" w:right="719" w:bottom="1440" w:gutter="0" w:footer="0" w:header="0"/>
        </w:sectPr>
      </w:pPr>
    </w:p>
    <w:bookmarkStart w:id="63" w:name="page64"/>
    <w:bookmarkEnd w:id="63"/>
    <w:p>
      <w:pPr>
        <w:spacing w:after="0" w:line="108"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0"/>
          <w:szCs w:val="20"/>
          <w:color w:val="auto"/>
        </w:rPr>
        <w:t>[Continued on following page.]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878840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64" w:name="page65"/>
    <w:bookmarkEnd w:id="64"/>
    <w:p>
      <w:pPr>
        <w:spacing w:after="0" w:line="211" w:lineRule="auto"/>
        <w:framePr w:w="1880" w:h="384" w:wrap="auto" w:vAnchor="page" w:hAnchor="page" w:x="4960" w:y="5196"/>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 Kenneth R. Bowling R. Bowling</w:t>
      </w:r>
    </w:p>
    <w:p>
      <w:pPr>
        <w:spacing w:after="0" w:line="195" w:lineRule="auto"/>
        <w:framePr w:w="2500" w:h="168" w:wrap="auto" w:vAnchor="page" w:hAnchor="page" w:x="4960" w:y="562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EVP, CFO, and Treasurer</w:t>
      </w:r>
    </w:p>
    <w:p>
      <w:pPr>
        <w:spacing w:after="0" w:line="189" w:lineRule="auto"/>
        <w:framePr w:w="4640" w:h="155" w:wrap="auto" w:vAnchor="page" w:hAnchor="page" w:x="4620" w:y="11487"/>
        <w:rPr>
          <w:rFonts w:ascii="Arial" w:cs="Arial" w:eastAsia="Arial" w:hAnsi="Arial"/>
          <w:sz w:val="17"/>
          <w:szCs w:val="17"/>
          <w:color w:val="545656"/>
        </w:rPr>
      </w:pPr>
      <w:r>
        <w:rPr>
          <w:rFonts w:ascii="Arial" w:cs="Arial" w:eastAsia="Arial" w:hAnsi="Arial"/>
          <w:sz w:val="17"/>
          <w:szCs w:val="17"/>
          <w:color w:val="545656"/>
        </w:rPr>
        <w:t>[CULP</w:t>
      </w:r>
      <w:r>
        <w:rPr>
          <w:rFonts w:ascii="Arial" w:cs="Arial" w:eastAsia="Arial" w:hAnsi="Arial"/>
          <w:sz w:val="17"/>
          <w:szCs w:val="17"/>
          <w:color w:val="757777"/>
        </w:rPr>
        <w:t>-</w:t>
      </w:r>
      <w:r>
        <w:rPr>
          <w:rFonts w:ascii="Arial" w:cs="Arial" w:eastAsia="Arial" w:hAnsi="Arial"/>
          <w:sz w:val="17"/>
          <w:szCs w:val="17"/>
          <w:color w:val="545656"/>
        </w:rPr>
        <w:t xml:space="preserve">FOURTH </w:t>
      </w:r>
      <w:r>
        <w:rPr>
          <w:rFonts w:ascii="Arial" w:cs="Arial" w:eastAsia="Arial" w:hAnsi="Arial"/>
          <w:sz w:val="17"/>
          <w:szCs w:val="17"/>
          <w:color w:val="646466"/>
        </w:rPr>
        <w:t>AMENDMENT</w:t>
      </w:r>
      <w:r>
        <w:rPr>
          <w:rFonts w:ascii="Arial" w:cs="Arial" w:eastAsia="Arial" w:hAnsi="Arial"/>
          <w:sz w:val="17"/>
          <w:szCs w:val="17"/>
          <w:color w:val="545656"/>
        </w:rPr>
        <w:t xml:space="preserve"> TO </w:t>
      </w:r>
      <w:r>
        <w:rPr>
          <w:rFonts w:ascii="Arial" w:cs="Arial" w:eastAsia="Arial" w:hAnsi="Arial"/>
          <w:sz w:val="17"/>
          <w:szCs w:val="17"/>
          <w:color w:val="757777"/>
        </w:rPr>
        <w:t>C</w:t>
      </w:r>
      <w:r>
        <w:rPr>
          <w:rFonts w:ascii="Arial" w:cs="Arial" w:eastAsia="Arial" w:hAnsi="Arial"/>
          <w:sz w:val="17"/>
          <w:szCs w:val="17"/>
          <w:color w:val="545656"/>
        </w:rPr>
        <w:t>REDIT AGREEMENT]</w:t>
      </w:r>
    </w:p>
    <w:p>
      <w:pPr>
        <w:spacing w:after="0" w:line="195" w:lineRule="auto"/>
        <w:framePr w:w="1260" w:h="168" w:wrap="auto" w:vAnchor="page" w:hAnchor="page" w:x="10160" w:y="5196"/>
        <w:rPr>
          <w:rFonts w:ascii="Times New Roman" w:cs="Times New Roman" w:eastAsia="Times New Roman" w:hAnsi="Times New Roman"/>
          <w:sz w:val="18"/>
          <w:szCs w:val="18"/>
          <w:color w:val="545656"/>
        </w:rPr>
      </w:pPr>
      <w:r>
        <w:rPr>
          <w:rFonts w:ascii="Times New Roman" w:cs="Times New Roman" w:eastAsia="Times New Roman" w:hAnsi="Times New Roman"/>
          <w:sz w:val="18"/>
          <w:szCs w:val="18"/>
          <w:color w:val="545656"/>
        </w:rPr>
        <w:t>Name: Kenneth</w:t>
      </w:r>
    </w:p>
    <w:p>
      <w:pPr>
        <w:spacing w:after="0" w:line="211" w:lineRule="auto"/>
        <w:framePr w:w="1880" w:h="384" w:wrap="auto" w:vAnchor="page" w:hAnchor="page" w:x="4960" w:y="3738"/>
        <w:rPr>
          <w:rFonts w:ascii="Times New Roman" w:cs="Times New Roman" w:eastAsia="Times New Roman" w:hAnsi="Times New Roman"/>
          <w:sz w:val="19"/>
          <w:szCs w:val="19"/>
          <w:color w:val="545656"/>
        </w:rPr>
      </w:pPr>
      <w:r>
        <w:rPr>
          <w:rFonts w:ascii="Times New Roman" w:cs="Times New Roman" w:eastAsia="Times New Roman" w:hAnsi="Times New Roman"/>
          <w:sz w:val="19"/>
          <w:szCs w:val="19"/>
          <w:color w:val="545656"/>
        </w:rPr>
        <w:t>/s/ Kenneth R. Bowling R. Bowling</w:t>
      </w:r>
    </w:p>
    <w:p>
      <w:pPr>
        <w:spacing w:after="0" w:line="195" w:lineRule="auto"/>
        <w:framePr w:w="2500" w:h="168" w:wrap="auto" w:vAnchor="page" w:hAnchor="page" w:x="4960" w:y="4170"/>
        <w:rPr>
          <w:rFonts w:ascii="Times New Roman" w:cs="Times New Roman" w:eastAsia="Times New Roman" w:hAnsi="Times New Roman"/>
          <w:sz w:val="18"/>
          <w:szCs w:val="18"/>
          <w:color w:val="545656"/>
        </w:rPr>
      </w:pPr>
      <w:r>
        <w:rPr>
          <w:rFonts w:ascii="Times New Roman" w:cs="Times New Roman" w:eastAsia="Times New Roman" w:hAnsi="Times New Roman"/>
          <w:sz w:val="18"/>
          <w:szCs w:val="18"/>
          <w:color w:val="545656"/>
        </w:rPr>
        <w:t>Title: EVP, CFO, and Treasurer</w:t>
      </w:r>
    </w:p>
    <w:p>
      <w:pPr>
        <w:spacing w:after="0" w:line="195" w:lineRule="auto"/>
        <w:framePr w:w="2820" w:h="168" w:wrap="auto" w:vAnchor="page" w:hAnchor="page" w:x="4960" w:y="4737"/>
        <w:rPr>
          <w:rFonts w:ascii="Times New Roman" w:cs="Times New Roman" w:eastAsia="Times New Roman" w:hAnsi="Times New Roman"/>
          <w:sz w:val="18"/>
          <w:szCs w:val="18"/>
          <w:b w:val="1"/>
          <w:bCs w:val="1"/>
          <w:color w:val="545656"/>
        </w:rPr>
      </w:pPr>
      <w:r>
        <w:rPr>
          <w:rFonts w:ascii="Times New Roman" w:cs="Times New Roman" w:eastAsia="Times New Roman" w:hAnsi="Times New Roman"/>
          <w:sz w:val="18"/>
          <w:szCs w:val="18"/>
          <w:b w:val="1"/>
          <w:bCs w:val="1"/>
          <w:color w:val="545656"/>
        </w:rPr>
        <w:t>CULP FABRICS GLOBAL, LLC</w:t>
      </w:r>
    </w:p>
    <w:p>
      <w:pPr>
        <w:spacing w:after="0" w:line="195" w:lineRule="auto"/>
        <w:framePr w:w="1260" w:h="168" w:wrap="auto" w:vAnchor="page" w:hAnchor="page" w:x="10160" w:y="3738"/>
        <w:rPr>
          <w:rFonts w:ascii="Times New Roman" w:cs="Times New Roman" w:eastAsia="Times New Roman" w:hAnsi="Times New Roman"/>
          <w:sz w:val="18"/>
          <w:szCs w:val="18"/>
          <w:b w:val="1"/>
          <w:bCs w:val="1"/>
          <w:color w:val="545656"/>
        </w:rPr>
      </w:pPr>
      <w:r>
        <w:rPr>
          <w:rFonts w:ascii="Times New Roman" w:cs="Times New Roman" w:eastAsia="Times New Roman" w:hAnsi="Times New Roman"/>
          <w:sz w:val="18"/>
          <w:szCs w:val="18"/>
          <w:b w:val="1"/>
          <w:bCs w:val="1"/>
          <w:color w:val="545656"/>
        </w:rPr>
        <w:t>Name: Kenneth</w:t>
      </w:r>
    </w:p>
    <w:p>
      <w:pPr>
        <w:spacing w:after="0" w:line="195" w:lineRule="auto"/>
        <w:framePr w:w="3100" w:h="168" w:wrap="auto" w:vAnchor="page" w:hAnchor="page" w:x="4960" w:y="3279"/>
        <w:rPr>
          <w:rFonts w:ascii="Times New Roman" w:cs="Times New Roman" w:eastAsia="Times New Roman" w:hAnsi="Times New Roman"/>
          <w:sz w:val="18"/>
          <w:szCs w:val="18"/>
          <w:b w:val="1"/>
          <w:bCs w:val="1"/>
          <w:color w:val="545656"/>
        </w:rPr>
      </w:pPr>
      <w:r>
        <w:rPr>
          <w:rFonts w:ascii="Times New Roman" w:cs="Times New Roman" w:eastAsia="Times New Roman" w:hAnsi="Times New Roman"/>
          <w:sz w:val="18"/>
          <w:szCs w:val="18"/>
          <w:b w:val="1"/>
          <w:bCs w:val="1"/>
          <w:color w:val="545656"/>
        </w:rPr>
        <w:t>READ WINDOW PRODUCTS, LLC</w:t>
      </w:r>
    </w:p>
    <w:p>
      <w:pPr>
        <w:spacing w:after="0" w:line="211" w:lineRule="auto"/>
        <w:framePr w:w="1880" w:h="384" w:wrap="auto" w:vAnchor="page" w:hAnchor="page" w:x="4960" w:y="2280"/>
        <w:rPr>
          <w:rFonts w:ascii="Times New Roman" w:cs="Times New Roman" w:eastAsia="Times New Roman" w:hAnsi="Times New Roman"/>
          <w:sz w:val="19"/>
          <w:szCs w:val="19"/>
          <w:b w:val="1"/>
          <w:bCs w:val="1"/>
          <w:color w:val="545656"/>
        </w:rPr>
      </w:pPr>
      <w:r>
        <w:rPr>
          <w:rFonts w:ascii="Times New Roman" w:cs="Times New Roman" w:eastAsia="Times New Roman" w:hAnsi="Times New Roman"/>
          <w:sz w:val="19"/>
          <w:szCs w:val="19"/>
          <w:b w:val="1"/>
          <w:bCs w:val="1"/>
          <w:color w:val="545656"/>
        </w:rPr>
        <w:t>/s/ Kenneth R. Bowling R. Bowling</w:t>
      </w:r>
    </w:p>
    <w:p>
      <w:pPr>
        <w:spacing w:after="0" w:line="195" w:lineRule="auto"/>
        <w:framePr w:w="2500" w:h="168" w:wrap="auto" w:vAnchor="page" w:hAnchor="page" w:x="4960" w:y="2712"/>
        <w:rPr>
          <w:rFonts w:ascii="Times New Roman" w:cs="Times New Roman" w:eastAsia="Times New Roman" w:hAnsi="Times New Roman"/>
          <w:sz w:val="18"/>
          <w:szCs w:val="18"/>
          <w:b w:val="1"/>
          <w:bCs w:val="1"/>
          <w:color w:val="545656"/>
        </w:rPr>
      </w:pPr>
      <w:r>
        <w:rPr>
          <w:rFonts w:ascii="Times New Roman" w:cs="Times New Roman" w:eastAsia="Times New Roman" w:hAnsi="Times New Roman"/>
          <w:sz w:val="18"/>
          <w:szCs w:val="18"/>
          <w:b w:val="1"/>
          <w:bCs w:val="1"/>
          <w:color w:val="545656"/>
        </w:rPr>
        <w:t>Title: EVP, CFO, and Treasurer</w:t>
      </w:r>
    </w:p>
    <w:p>
      <w:pPr>
        <w:spacing w:after="0" w:line="195" w:lineRule="auto"/>
        <w:framePr w:w="1080" w:h="168" w:wrap="auto" w:vAnchor="page" w:hAnchor="page" w:x="5620" w:y="1713"/>
        <w:rPr>
          <w:rFonts w:ascii="Times New Roman" w:cs="Times New Roman" w:eastAsia="Times New Roman" w:hAnsi="Times New Roman"/>
          <w:sz w:val="18"/>
          <w:szCs w:val="18"/>
          <w:b w:val="1"/>
          <w:bCs w:val="1"/>
          <w:color w:val="545656"/>
        </w:rPr>
      </w:pPr>
      <w:r>
        <w:rPr>
          <w:rFonts w:ascii="Times New Roman" w:cs="Times New Roman" w:eastAsia="Times New Roman" w:hAnsi="Times New Roman"/>
          <w:sz w:val="18"/>
          <w:szCs w:val="18"/>
          <w:b w:val="1"/>
          <w:bCs w:val="1"/>
          <w:color w:val="545656"/>
        </w:rPr>
        <w:t>CULP, INC.</w:t>
      </w:r>
    </w:p>
    <w:p>
      <w:pPr>
        <w:spacing w:after="0" w:line="195" w:lineRule="auto"/>
        <w:framePr w:w="9740" w:h="168" w:wrap="auto" w:vAnchor="page" w:hAnchor="page" w:x="1220" w:y="1268"/>
        <w:rPr>
          <w:rFonts w:ascii="Times New Roman" w:cs="Times New Roman" w:eastAsia="Times New Roman" w:hAnsi="Times New Roman"/>
          <w:sz w:val="18"/>
          <w:szCs w:val="18"/>
          <w:b w:val="1"/>
          <w:bCs w:val="1"/>
          <w:color w:val="2D2D2D"/>
        </w:rPr>
      </w:pPr>
      <w:r>
        <w:rPr>
          <w:rFonts w:ascii="Times New Roman" w:cs="Times New Roman" w:eastAsia="Times New Roman" w:hAnsi="Times New Roman"/>
          <w:sz w:val="18"/>
          <w:szCs w:val="18"/>
          <w:b w:val="1"/>
          <w:bCs w:val="1"/>
          <w:color w:val="2D2D2D"/>
        </w:rPr>
        <w:t>I</w:t>
      </w:r>
      <w:r>
        <w:rPr>
          <w:rFonts w:ascii="Times New Roman" w:cs="Times New Roman" w:eastAsia="Times New Roman" w:hAnsi="Times New Roman"/>
          <w:sz w:val="18"/>
          <w:szCs w:val="18"/>
          <w:b w:val="1"/>
          <w:bCs w:val="1"/>
          <w:color w:val="545656"/>
        </w:rPr>
        <w:t>N WITNESS WHEREOF</w:t>
      </w:r>
      <w:r>
        <w:rPr>
          <w:rFonts w:ascii="Times New Roman" w:cs="Times New Roman" w:eastAsia="Times New Roman" w:hAnsi="Times New Roman"/>
          <w:sz w:val="18"/>
          <w:szCs w:val="18"/>
          <w:b w:val="1"/>
          <w:bCs w:val="1"/>
          <w:color w:val="757777"/>
        </w:rPr>
        <w:t>,</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th</w:t>
      </w:r>
      <w:r>
        <w:rPr>
          <w:rFonts w:ascii="Times New Roman" w:cs="Times New Roman" w:eastAsia="Times New Roman" w:hAnsi="Times New Roman"/>
          <w:sz w:val="18"/>
          <w:szCs w:val="18"/>
          <w:b w:val="1"/>
          <w:bCs w:val="1"/>
          <w:color w:val="646466"/>
        </w:rPr>
        <w:t>e</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partie</w:t>
      </w:r>
      <w:r>
        <w:rPr>
          <w:rFonts w:ascii="Times New Roman" w:cs="Times New Roman" w:eastAsia="Times New Roman" w:hAnsi="Times New Roman"/>
          <w:sz w:val="18"/>
          <w:szCs w:val="18"/>
          <w:b w:val="1"/>
          <w:bCs w:val="1"/>
          <w:color w:val="646466"/>
        </w:rPr>
        <w:t>s</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heret</w:t>
      </w:r>
      <w:r>
        <w:rPr>
          <w:rFonts w:ascii="Times New Roman" w:cs="Times New Roman" w:eastAsia="Times New Roman" w:hAnsi="Times New Roman"/>
          <w:sz w:val="18"/>
          <w:szCs w:val="18"/>
          <w:b w:val="1"/>
          <w:bCs w:val="1"/>
          <w:color w:val="646466"/>
        </w:rPr>
        <w:t>o</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ha</w:t>
      </w:r>
      <w:r>
        <w:rPr>
          <w:rFonts w:ascii="Times New Roman" w:cs="Times New Roman" w:eastAsia="Times New Roman" w:hAnsi="Times New Roman"/>
          <w:sz w:val="18"/>
          <w:szCs w:val="18"/>
          <w:b w:val="1"/>
          <w:bCs w:val="1"/>
          <w:color w:val="646466"/>
        </w:rPr>
        <w:t>ve cause</w:t>
      </w:r>
      <w:r>
        <w:rPr>
          <w:rFonts w:ascii="Times New Roman" w:cs="Times New Roman" w:eastAsia="Times New Roman" w:hAnsi="Times New Roman"/>
          <w:sz w:val="18"/>
          <w:szCs w:val="18"/>
          <w:b w:val="1"/>
          <w:bCs w:val="1"/>
          <w:color w:val="444646"/>
        </w:rPr>
        <w:t>d</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545656"/>
        </w:rPr>
        <w:t>this</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646466"/>
        </w:rPr>
        <w:t>Ag</w:t>
      </w:r>
      <w:r>
        <w:rPr>
          <w:rFonts w:ascii="Times New Roman" w:cs="Times New Roman" w:eastAsia="Times New Roman" w:hAnsi="Times New Roman"/>
          <w:sz w:val="18"/>
          <w:szCs w:val="18"/>
          <w:b w:val="1"/>
          <w:bCs w:val="1"/>
          <w:color w:val="444646"/>
        </w:rPr>
        <w:t>r</w:t>
      </w:r>
      <w:r>
        <w:rPr>
          <w:rFonts w:ascii="Times New Roman" w:cs="Times New Roman" w:eastAsia="Times New Roman" w:hAnsi="Times New Roman"/>
          <w:sz w:val="18"/>
          <w:szCs w:val="18"/>
          <w:b w:val="1"/>
          <w:bCs w:val="1"/>
          <w:color w:val="646466"/>
        </w:rPr>
        <w:t>eeme</w:t>
      </w:r>
      <w:r>
        <w:rPr>
          <w:rFonts w:ascii="Times New Roman" w:cs="Times New Roman" w:eastAsia="Times New Roman" w:hAnsi="Times New Roman"/>
          <w:sz w:val="18"/>
          <w:szCs w:val="18"/>
          <w:b w:val="1"/>
          <w:bCs w:val="1"/>
          <w:color w:val="2D2D2D"/>
        </w:rPr>
        <w:t>n</w:t>
      </w:r>
      <w:r>
        <w:rPr>
          <w:rFonts w:ascii="Times New Roman" w:cs="Times New Roman" w:eastAsia="Times New Roman" w:hAnsi="Times New Roman"/>
          <w:sz w:val="18"/>
          <w:szCs w:val="18"/>
          <w:b w:val="1"/>
          <w:bCs w:val="1"/>
          <w:color w:val="545656"/>
        </w:rPr>
        <w:t>t</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t</w:t>
      </w:r>
      <w:r>
        <w:rPr>
          <w:rFonts w:ascii="Times New Roman" w:cs="Times New Roman" w:eastAsia="Times New Roman" w:hAnsi="Times New Roman"/>
          <w:sz w:val="18"/>
          <w:szCs w:val="18"/>
          <w:b w:val="1"/>
          <w:bCs w:val="1"/>
          <w:color w:val="646466"/>
        </w:rPr>
        <w:t>o</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b</w:t>
      </w:r>
      <w:r>
        <w:rPr>
          <w:rFonts w:ascii="Times New Roman" w:cs="Times New Roman" w:eastAsia="Times New Roman" w:hAnsi="Times New Roman"/>
          <w:sz w:val="18"/>
          <w:szCs w:val="18"/>
          <w:b w:val="1"/>
          <w:bCs w:val="1"/>
          <w:color w:val="646466"/>
        </w:rPr>
        <w:t>e</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dul</w:t>
      </w:r>
      <w:r>
        <w:rPr>
          <w:rFonts w:ascii="Times New Roman" w:cs="Times New Roman" w:eastAsia="Times New Roman" w:hAnsi="Times New Roman"/>
          <w:sz w:val="18"/>
          <w:szCs w:val="18"/>
          <w:b w:val="1"/>
          <w:bCs w:val="1"/>
          <w:color w:val="646466"/>
        </w:rPr>
        <w:t>y</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545656"/>
        </w:rPr>
        <w:t>executed a</w:t>
      </w:r>
      <w:r>
        <w:rPr>
          <w:rFonts w:ascii="Times New Roman" w:cs="Times New Roman" w:eastAsia="Times New Roman" w:hAnsi="Times New Roman"/>
          <w:sz w:val="18"/>
          <w:szCs w:val="18"/>
          <w:b w:val="1"/>
          <w:bCs w:val="1"/>
          <w:color w:val="757777"/>
        </w:rPr>
        <w:t>s</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545656"/>
        </w:rPr>
        <w:t>of the</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444646"/>
        </w:rPr>
        <w:t>date</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545656"/>
        </w:rPr>
        <w:t>fir</w:t>
      </w:r>
      <w:r>
        <w:rPr>
          <w:rFonts w:ascii="Times New Roman" w:cs="Times New Roman" w:eastAsia="Times New Roman" w:hAnsi="Times New Roman"/>
          <w:sz w:val="18"/>
          <w:szCs w:val="18"/>
          <w:b w:val="1"/>
          <w:bCs w:val="1"/>
          <w:color w:val="757777"/>
        </w:rPr>
        <w:t>s</w:t>
      </w:r>
      <w:r>
        <w:rPr>
          <w:rFonts w:ascii="Times New Roman" w:cs="Times New Roman" w:eastAsia="Times New Roman" w:hAnsi="Times New Roman"/>
          <w:sz w:val="18"/>
          <w:szCs w:val="18"/>
          <w:b w:val="1"/>
          <w:bCs w:val="1"/>
          <w:color w:val="444646"/>
        </w:rPr>
        <w:t>t</w:t>
      </w:r>
      <w:r>
        <w:rPr>
          <w:rFonts w:ascii="Times New Roman" w:cs="Times New Roman" w:eastAsia="Times New Roman" w:hAnsi="Times New Roman"/>
          <w:sz w:val="18"/>
          <w:szCs w:val="18"/>
          <w:b w:val="1"/>
          <w:bCs w:val="1"/>
          <w:color w:val="2D2D2D"/>
        </w:rPr>
        <w:t xml:space="preserve"> </w:t>
      </w:r>
      <w:r>
        <w:rPr>
          <w:rFonts w:ascii="Times New Roman" w:cs="Times New Roman" w:eastAsia="Times New Roman" w:hAnsi="Times New Roman"/>
          <w:sz w:val="18"/>
          <w:szCs w:val="18"/>
          <w:b w:val="1"/>
          <w:bCs w:val="1"/>
          <w:color w:val="545656"/>
        </w:rPr>
        <w:t>written above</w:t>
      </w:r>
      <w:r>
        <w:rPr>
          <w:rFonts w:ascii="Times New Roman" w:cs="Times New Roman" w:eastAsia="Times New Roman" w:hAnsi="Times New Roman"/>
          <w:sz w:val="18"/>
          <w:szCs w:val="18"/>
          <w:b w:val="1"/>
          <w:bCs w:val="1"/>
          <w:color w:val="757777"/>
        </w:rPr>
        <w:t>.</w:t>
      </w:r>
    </w:p>
    <w:p>
      <w:pPr>
        <w:spacing w:after="0" w:line="195" w:lineRule="auto"/>
        <w:framePr w:w="1260" w:h="168" w:wrap="auto" w:vAnchor="page" w:hAnchor="page" w:x="10160" w:y="2280"/>
        <w:rPr>
          <w:rFonts w:ascii="Times New Roman" w:cs="Times New Roman" w:eastAsia="Times New Roman" w:hAnsi="Times New Roman"/>
          <w:sz w:val="18"/>
          <w:szCs w:val="18"/>
          <w:b w:val="1"/>
          <w:bCs w:val="1"/>
          <w:color w:val="2D2D2D"/>
        </w:rPr>
      </w:pPr>
      <w:r>
        <w:rPr>
          <w:rFonts w:ascii="Times New Roman" w:cs="Times New Roman" w:eastAsia="Times New Roman" w:hAnsi="Times New Roman"/>
          <w:sz w:val="18"/>
          <w:szCs w:val="18"/>
          <w:b w:val="1"/>
          <w:bCs w:val="1"/>
          <w:color w:val="2D2D2D"/>
        </w:rPr>
        <w:t>Name: Kenneth</w:t>
      </w:r>
    </w:p>
    <w:p>
      <w:pPr>
        <w:spacing w:after="0" w:line="195" w:lineRule="auto"/>
        <w:rPr>
          <w:rFonts w:ascii="Times New Roman" w:cs="Times New Roman" w:eastAsia="Times New Roman" w:hAnsi="Times New Roman"/>
          <w:sz w:val="18"/>
          <w:szCs w:val="18"/>
          <w:b w:val="1"/>
          <w:bCs w:val="1"/>
          <w:color w:val="2D2D2D"/>
        </w:rPr>
        <w:sectPr>
          <w:pgSz w:w="11900" w:h="16838" w:orient="portrait"/>
          <w:cols w:equalWidth="1" w:num="1" w:space="0"/>
          <w:pgMar w:left="1440" w:top="1440" w:right="1440" w:bottom="875" w:gutter="0" w:footer="0" w:header="0"/>
        </w:sectPr>
      </w:pPr>
      <w:r>
        <w:rPr>
          <w:rFonts w:ascii="Times New Roman" w:cs="Times New Roman" w:eastAsia="Times New Roman" w:hAnsi="Times New Roman"/>
          <w:sz w:val="18"/>
          <w:szCs w:val="18"/>
          <w:b w:val="1"/>
          <w:bCs w:val="1"/>
          <w:color w:val="2D2D2D"/>
        </w:rPr>
        <w:drawing>
          <wp:anchor simplePos="0" relativeHeight="251657728" behindDoc="1" locked="0" layoutInCell="0" allowOverlap="1">
            <wp:simplePos x="0" y="0"/>
            <wp:positionH relativeFrom="page">
              <wp:posOffset>195580</wp:posOffset>
            </wp:positionH>
            <wp:positionV relativeFrom="page">
              <wp:posOffset>7628890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bookmarkStart w:id="65" w:name="page66"/>
    <w:bookmarkEnd w:id="65"/>
    <w:p>
      <w:pPr>
        <w:spacing w:after="0" w:line="1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ectPr>
          <w:pgSz w:w="11900" w:h="16838" w:orient="portrait"/>
          <w:cols w:equalWidth="0" w:num="1">
            <w:col w:w="9019"/>
          </w:cols>
          <w:pgMar w:left="1440" w:top="1440" w:right="1440" w:bottom="1440" w:gutter="0" w:footer="0" w:header="0"/>
        </w:sectPr>
      </w:pP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9"/>
          <w:szCs w:val="19"/>
          <w:color w:val="181818"/>
        </w:rPr>
        <w:t>Matthew Olive</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181818"/>
        </w:rPr>
        <w:t>Name: Matthew Olive</w:t>
      </w:r>
    </w:p>
    <w:p>
      <w:pPr>
        <w:ind w:left="3380"/>
        <w:spacing w:after="0"/>
        <w:rPr>
          <w:sz w:val="20"/>
          <w:szCs w:val="20"/>
          <w:color w:val="auto"/>
        </w:rPr>
      </w:pPr>
      <w:r>
        <w:rPr>
          <w:rFonts w:ascii="Times New Roman" w:cs="Times New Roman" w:eastAsia="Times New Roman" w:hAnsi="Times New Roman"/>
          <w:sz w:val="19"/>
          <w:szCs w:val="19"/>
          <w:color w:val="181818"/>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1126490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24942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24942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February 1, 2026,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03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February 1, 2026,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03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2)"/>
      <w:numFmt w:val="lowerRoman"/>
      <w:start w:val="2"/>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7"/>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04"/>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decimal"/>
      <w:start w:val="5"/>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7"/>
    </w:lvl>
  </w:abstractNum>
  <w:abstractNum w:abstractNumId="28">
    <w:nsid w:val="6CEAF087"/>
    <w:multiLevelType w:val="hybridMultilevel"/>
    <w:lvl w:ilvl="0">
      <w:lvlJc w:val="left"/>
      <w:lvlText w:val="%1."/>
      <w:numFmt w:val="decimal"/>
      <w:start w:val="9"/>
    </w:lvl>
  </w:abstractNum>
  <w:abstractNum w:abstractNumId="29">
    <w:nsid w:val="22221A70"/>
    <w:multiLevelType w:val="hybridMultilevel"/>
    <w:lvl w:ilvl="0">
      <w:lvlJc w:val="left"/>
      <w:lvlText w:val="%1"/>
      <w:numFmt w:val="decimal"/>
      <w:start w:val="1"/>
    </w:lvl>
    <w:lvl w:ilvl="1">
      <w:lvlJc w:val="left"/>
      <w:lvlText w:val="%2."/>
      <w:numFmt w:val="decimal"/>
      <w:start w:val="11"/>
    </w:lvl>
  </w:abstractNum>
  <w:abstractNum w:abstractNumId="30">
    <w:nsid w:val="4516DDE9"/>
    <w:multiLevelType w:val="hybridMultilevel"/>
    <w:lvl w:ilvl="0">
      <w:lvlJc w:val="left"/>
      <w:lvlText w:val="%1."/>
      <w:numFmt w:val="decimal"/>
      <w:start w:val="12"/>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2026-03-13T11:29:05Z</dcterms:created>
  <dcterms:modified xsi:type="dcterms:W3CDTF">2026-03-13T11:29:05Z</dcterms:modified>
</cp:coreProperties>
</file>