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October 30, 2022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22"/>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40"/>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3080" w:type="dxa"/>
            <w:vAlign w:val="bottom"/>
          </w:tcPr>
          <w:p>
            <w:pPr>
              <w:spacing w:after="0"/>
              <w:rPr>
                <w:sz w:val="24"/>
                <w:szCs w:val="24"/>
                <w:color w:val="auto"/>
              </w:rPr>
            </w:pPr>
          </w:p>
        </w:tc>
      </w:tr>
      <w:tr>
        <w:trPr>
          <w:trHeight w:val="229"/>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29"/>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(336) 889-5161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3"/>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1"/>
                <w:szCs w:val="21"/>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206"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97"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163" w:lineRule="exact"/>
        <w:rPr>
          <w:sz w:val="24"/>
          <w:szCs w:val="24"/>
          <w:color w:val="auto"/>
        </w:rPr>
      </w:pPr>
    </w:p>
    <w:p>
      <w:pPr>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8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December 7, 2022: 12,293,762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960" w:type="dxa"/>
            <w:vAlign w:val="bottom"/>
            <w:gridSpan w:val="11"/>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gridSpan w:val="13"/>
          </w:tcPr>
          <w:p>
            <w:pPr>
              <w:ind w:left="320"/>
              <w:spacing w:after="0"/>
              <w:rPr>
                <w:sz w:val="20"/>
                <w:szCs w:val="20"/>
                <w:color w:val="auto"/>
              </w:rPr>
            </w:pPr>
            <w:r>
              <w:rPr>
                <w:rFonts w:ascii="Times New Roman" w:cs="Times New Roman" w:eastAsia="Times New Roman" w:hAnsi="Times New Roman"/>
                <w:sz w:val="20"/>
                <w:szCs w:val="20"/>
                <w:b w:val="1"/>
                <w:bCs w:val="1"/>
                <w:color w:val="auto"/>
              </w:rPr>
              <w:t>For the period ended October 30, 2022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52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w w:val="99"/>
              </w:rPr>
              <w:t>Consolidated Statements of Net (Loss) Income — Three Months and Six Months Ended October 30, 2022, and October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FF"/>
                <w:w w:val="91"/>
              </w:rPr>
              <w:t>31, 2021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 Income – Three Months and Six Months Ended October 30, 2022,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20" w:type="dxa"/>
            <w:vAlign w:val="bottom"/>
            <w:gridSpan w:val="19"/>
          </w:tcPr>
          <w:p>
            <w:pPr>
              <w:spacing w:after="0" w:line="209" w:lineRule="exact"/>
              <w:rPr>
                <w:sz w:val="20"/>
                <w:szCs w:val="20"/>
                <w:color w:val="auto"/>
              </w:rPr>
            </w:pPr>
            <w:r>
              <w:rPr>
                <w:rFonts w:ascii="Times New Roman" w:cs="Times New Roman" w:eastAsia="Times New Roman" w:hAnsi="Times New Roman"/>
                <w:sz w:val="20"/>
                <w:szCs w:val="20"/>
                <w:color w:val="0000FF"/>
              </w:rPr>
              <w:t>and October 31, 2021</w:t>
            </w: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Balance Sheets — October 30, 2022, October 31, 2021, and May 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Cash Flows — Six Months Ended October 30, 2022, and October 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30, 2022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I-44</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56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gridSpan w:val="9"/>
            <w:shd w:val="clear" w:color="auto" w:fill="0000FF"/>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52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NET (LOSS) INCOME</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THREE MONTHS ENDED OCTOBER 30, 2022, AND OCTOBER 31, 2021</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sales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(loss) profit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Restructuring expense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income from operations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income before income taxes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income</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income per share - basic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income per share - diluted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68"/>
              <w:spacing w:after="0" w:line="158"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88"/>
              <w:spacing w:after="0" w:line="158" w:lineRule="exact"/>
              <w:rPr>
                <w:sz w:val="20"/>
                <w:szCs w:val="20"/>
                <w:color w:val="auto"/>
              </w:rPr>
            </w:pPr>
            <w:r>
              <w:rPr>
                <w:rFonts w:ascii="Times New Roman" w:cs="Times New Roman" w:eastAsia="Times New Roman" w:hAnsi="Times New Roman"/>
                <w:sz w:val="14"/>
                <w:szCs w:val="14"/>
                <w:color w:val="auto"/>
              </w:rPr>
              <w:t>October 31,</w:t>
            </w:r>
          </w:p>
        </w:tc>
      </w:tr>
      <w:tr>
        <w:trPr>
          <w:trHeight w:val="187"/>
        </w:trPr>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2021</w:t>
            </w:r>
          </w:p>
        </w:tc>
      </w:tr>
      <w:tr>
        <w:trPr>
          <w:trHeight w:val="158"/>
        </w:trPr>
        <w:tc>
          <w:tcPr>
            <w:tcW w:w="26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58,381</w:t>
            </w:r>
          </w:p>
        </w:tc>
        <w:tc>
          <w:tcPr>
            <w:tcW w:w="42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74,561</w:t>
            </w:r>
          </w:p>
        </w:tc>
      </w:tr>
      <w:tr>
        <w:trPr>
          <w:trHeight w:val="187"/>
        </w:trPr>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(60,594 )</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(63,834 )</w:t>
            </w:r>
          </w:p>
        </w:tc>
      </w:tr>
      <w:tr>
        <w:trPr>
          <w:trHeight w:val="158"/>
        </w:trPr>
        <w:tc>
          <w:tcPr>
            <w:tcW w:w="260" w:type="dxa"/>
            <w:vAlign w:val="bottom"/>
          </w:tcPr>
          <w:p>
            <w:pPr>
              <w:spacing w:after="0"/>
              <w:rPr>
                <w:sz w:val="13"/>
                <w:szCs w:val="13"/>
                <w:color w:val="auto"/>
              </w:rPr>
            </w:pPr>
          </w:p>
        </w:tc>
        <w:tc>
          <w:tcPr>
            <w:tcW w:w="1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(2,213 )</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10,727</w:t>
            </w:r>
          </w:p>
        </w:tc>
      </w:tr>
      <w:tr>
        <w:trPr>
          <w:trHeight w:val="175"/>
        </w:trPr>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(9,103 )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(9,087 )</w:t>
            </w:r>
          </w:p>
        </w:tc>
      </w:tr>
      <w:tr>
        <w:trPr>
          <w:trHeight w:val="187"/>
        </w:trPr>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(615 )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60" w:type="dxa"/>
            <w:vAlign w:val="bottom"/>
          </w:tcPr>
          <w:p>
            <w:pPr>
              <w:spacing w:after="0"/>
              <w:rPr>
                <w:sz w:val="13"/>
                <w:szCs w:val="13"/>
                <w:color w:val="auto"/>
              </w:rPr>
            </w:pPr>
          </w:p>
        </w:tc>
        <w:tc>
          <w:tcPr>
            <w:tcW w:w="1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(11,931 )</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1,640</w:t>
            </w:r>
          </w:p>
        </w:tc>
      </w:tr>
      <w:tr>
        <w:trPr>
          <w:trHeight w:val="175"/>
        </w:trPr>
        <w:tc>
          <w:tcPr>
            <w:tcW w:w="260" w:type="dxa"/>
            <w:vAlign w:val="bottom"/>
          </w:tcPr>
          <w:p>
            <w:pPr>
              <w:spacing w:after="0"/>
              <w:rPr>
                <w:sz w:val="15"/>
                <w:szCs w:val="15"/>
                <w:color w:val="auto"/>
              </w:rPr>
            </w:pP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r>
      <w:tr>
        <w:trPr>
          <w:trHeight w:val="187"/>
        </w:trPr>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829</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(404 )</w:t>
            </w:r>
          </w:p>
        </w:tc>
      </w:tr>
      <w:tr>
        <w:trPr>
          <w:trHeight w:val="158"/>
        </w:trPr>
        <w:tc>
          <w:tcPr>
            <w:tcW w:w="260" w:type="dxa"/>
            <w:vAlign w:val="bottom"/>
          </w:tcPr>
          <w:p>
            <w:pPr>
              <w:spacing w:after="0"/>
              <w:rPr>
                <w:sz w:val="13"/>
                <w:szCs w:val="13"/>
                <w:color w:val="auto"/>
              </w:rPr>
            </w:pPr>
          </w:p>
        </w:tc>
        <w:tc>
          <w:tcPr>
            <w:tcW w:w="1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(11,023 )</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1,295</w:t>
            </w:r>
          </w:p>
        </w:tc>
      </w:tr>
      <w:tr>
        <w:trPr>
          <w:trHeight w:val="187"/>
        </w:trPr>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(1,150 )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r>
      <w:tr>
        <w:trPr>
          <w:trHeight w:val="169"/>
        </w:trPr>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(12,173 )</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20"/>
        </w:trPr>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(0.99 )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0.07</w:t>
            </w:r>
          </w:p>
        </w:tc>
      </w:tr>
      <w:tr>
        <w:trPr>
          <w:trHeight w:val="175"/>
        </w:trPr>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(0.99 )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0.07</w:t>
            </w:r>
          </w:p>
        </w:tc>
      </w:tr>
      <w:tr>
        <w:trPr>
          <w:trHeight w:val="176"/>
        </w:trPr>
        <w:tc>
          <w:tcPr>
            <w:tcW w:w="260" w:type="dxa"/>
            <w:vAlign w:val="bottom"/>
          </w:tcPr>
          <w:p>
            <w:pPr>
              <w:spacing w:after="0"/>
              <w:rPr>
                <w:sz w:val="15"/>
                <w:szCs w:val="15"/>
                <w:color w:val="auto"/>
              </w:rPr>
            </w:pP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12,280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12,223</w:t>
            </w:r>
          </w:p>
        </w:tc>
      </w:tr>
      <w:tr>
        <w:trPr>
          <w:trHeight w:val="190"/>
        </w:trPr>
        <w:tc>
          <w:tcPr>
            <w:tcW w:w="26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12,280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-1844675</wp:posOffset>
            </wp:positionV>
            <wp:extent cx="713232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-1613535</wp:posOffset>
            </wp:positionV>
            <wp:extent cx="713232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-1390650</wp:posOffset>
            </wp:positionV>
            <wp:extent cx="713232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-927735</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-695960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-335915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-113030</wp:posOffset>
            </wp:positionV>
            <wp:extent cx="71323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114"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30, 2022, AND OCTOBER 31,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8"/>
        </w:trPr>
        <w:tc>
          <w:tcPr>
            <w:tcW w:w="77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468"/>
              <w:spacing w:after="0" w:line="158"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388"/>
              <w:spacing w:after="0" w:line="158" w:lineRule="exact"/>
              <w:rPr>
                <w:sz w:val="20"/>
                <w:szCs w:val="20"/>
                <w:color w:val="auto"/>
              </w:rPr>
            </w:pPr>
            <w:r>
              <w:rPr>
                <w:rFonts w:ascii="Times New Roman" w:cs="Times New Roman" w:eastAsia="Times New Roman" w:hAnsi="Times New Roman"/>
                <w:sz w:val="14"/>
                <w:szCs w:val="14"/>
                <w:color w:val="auto"/>
              </w:rPr>
              <w:t>October 31,</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120,985</w:t>
            </w:r>
          </w:p>
        </w:tc>
        <w:tc>
          <w:tcPr>
            <w:tcW w:w="1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157,608</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(119,071 )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(134,382 )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1,914</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(17,968 )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(18,268 )</w:t>
            </w: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(615 )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2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(16,669 )</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4"/>
                <w:szCs w:val="14"/>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(640 )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(15,826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(2,046 )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(1,349 )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(17,872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2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(1.46 )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24"/>
                <w:szCs w:val="2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(1.46 )</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12,268</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12,259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-1276985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-582295</wp:posOffset>
            </wp:positionV>
            <wp:extent cx="1243330"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2489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OCTOBER 30 , 2022, AND OCTOBER 31,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October 31,</w:t>
            </w:r>
          </w:p>
        </w:tc>
      </w:tr>
      <w:tr>
        <w:trPr>
          <w:trHeight w:val="240"/>
        </w:trPr>
        <w:tc>
          <w:tcPr>
            <w:tcW w:w="7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Borders>
              <w:bottom w:val="single" w:sz="8" w:color="auto"/>
            </w:tcBorders>
          </w:tcPr>
          <w:p>
            <w:pPr>
              <w:spacing w:after="0"/>
              <w:rPr>
                <w:sz w:val="20"/>
                <w:szCs w:val="20"/>
                <w:color w:val="auto"/>
              </w:rPr>
            </w:pPr>
          </w:p>
        </w:tc>
      </w:tr>
      <w:tr>
        <w:trPr>
          <w:trHeight w:val="23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(12,173 )</w:t>
            </w: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FF0FC"/>
          </w:tcPr>
          <w:p>
            <w:pPr>
              <w:spacing w:after="0"/>
              <w:rPr>
                <w:sz w:val="19"/>
                <w:szCs w:val="19"/>
                <w:color w:val="auto"/>
              </w:rPr>
            </w:pPr>
          </w:p>
        </w:tc>
      </w:tr>
      <w:tr>
        <w:trPr>
          <w:trHeight w:val="22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loss on investments, net of tax</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(46 )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realized gain on sale of investments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(12,219 )</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auto"/>
            </w:tcBorders>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858"/>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6"/>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7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October 30,</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October 31,</w:t>
            </w:r>
          </w:p>
        </w:tc>
        <w:tc>
          <w:tcPr>
            <w:tcW w:w="100" w:type="dxa"/>
            <w:vAlign w:val="bottom"/>
          </w:tcPr>
          <w:p>
            <w:pPr>
              <w:spacing w:after="0"/>
              <w:rPr>
                <w:sz w:val="18"/>
                <w:szCs w:val="18"/>
                <w:color w:val="auto"/>
              </w:rPr>
            </w:pPr>
          </w:p>
        </w:tc>
      </w:tr>
      <w:tr>
        <w:trPr>
          <w:trHeight w:val="240"/>
        </w:trPr>
        <w:tc>
          <w:tcPr>
            <w:tcW w:w="7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20"/>
                <w:szCs w:val="20"/>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(17,872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shd w:val="clear" w:color="auto" w:fill="CFF0FC"/>
          </w:tcPr>
          <w:p>
            <w:pPr>
              <w:spacing w:after="0"/>
              <w:rPr>
                <w:sz w:val="19"/>
                <w:szCs w:val="19"/>
                <w:color w:val="auto"/>
              </w:rPr>
            </w:pPr>
          </w:p>
        </w:tc>
      </w:tr>
      <w:tr>
        <w:trPr>
          <w:trHeight w:val="44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(loss) gain on investments, net of tax</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4"/>
                <w:szCs w:val="24"/>
                <w:color w:val="auto"/>
              </w:rPr>
            </w:pPr>
          </w:p>
        </w:tc>
      </w:tr>
      <w:tr>
        <w:trPr>
          <w:trHeight w:val="231"/>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realized gain on investments</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2"/>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(17,925 )</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-1807845</wp:posOffset>
            </wp:positionV>
            <wp:extent cx="10287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685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OCTOBER 30, 2022, OCTOBER 31, 2021, AND MAY 1,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October 30,</w:t>
            </w:r>
          </w:p>
        </w:tc>
        <w:tc>
          <w:tcPr>
            <w:tcW w:w="12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October 31,</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May 1,</w:t>
            </w:r>
          </w:p>
        </w:tc>
        <w:tc>
          <w:tcPr>
            <w:tcW w:w="0" w:type="dxa"/>
            <w:vAlign w:val="bottom"/>
          </w:tcPr>
          <w:p>
            <w:pPr>
              <w:spacing w:after="0"/>
              <w:rPr>
                <w:sz w:val="1"/>
                <w:szCs w:val="1"/>
                <w:color w:val="auto"/>
              </w:rPr>
            </w:pPr>
          </w:p>
        </w:tc>
      </w:tr>
      <w:tr>
        <w:trPr>
          <w:trHeight w:val="242"/>
        </w:trPr>
        <w:tc>
          <w:tcPr>
            <w:tcW w:w="6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tcBorders>
              <w:bottom w:val="single" w:sz="8" w:color="auto"/>
            </w:tcBorders>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19,137</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16,956</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9,709</w:t>
            </w:r>
          </w:p>
        </w:tc>
        <w:tc>
          <w:tcPr>
            <w:tcW w:w="10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2,237</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22,443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32,316</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22,226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52,224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63,781</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3,462</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3,811</w:t>
            </w:r>
          </w:p>
        </w:tc>
        <w:tc>
          <w:tcPr>
            <w:tcW w:w="15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221"/>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100,013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128,750</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107,176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38,832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43,265</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41,702</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11,609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13,649</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2,440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2,816</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7,526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9,036</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8,353</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717</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3,004</w:t>
            </w:r>
          </w:p>
        </w:tc>
        <w:tc>
          <w:tcPr>
            <w:tcW w:w="15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161,630</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209,325</w:t>
            </w:r>
          </w:p>
        </w:tc>
        <w:tc>
          <w:tcPr>
            <w:tcW w:w="15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24,298</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40,525</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20,099</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2,878</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2,237</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1,527</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679</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7,594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11,019</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restructuring</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969</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646</w:t>
            </w:r>
          </w:p>
        </w:tc>
        <w:tc>
          <w:tcPr>
            <w:tcW w:w="15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21"/>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39,513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55,923</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32,556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4,194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7,914</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2,629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3,099</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4,918</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7,486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9,017</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9,343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59,522</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80,871</w:t>
            </w: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58,062</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15, and 16)</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12,293,762 at October 30, 2022; 12,209,710 at October 31, 2021,</w:t>
            </w:r>
          </w:p>
        </w:tc>
        <w:tc>
          <w:tcPr>
            <w:tcW w:w="18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615</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12,228,629 at May 1, 2022</w:t>
            </w:r>
          </w:p>
        </w:tc>
        <w:tc>
          <w:tcPr>
            <w:tcW w:w="180" w:type="dxa"/>
            <w:vAlign w:val="bottom"/>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43,671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42,719</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43,143</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57,843</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84,839</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75,715</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(21 )</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15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102,108</w:t>
            </w:r>
          </w:p>
        </w:tc>
        <w:tc>
          <w:tcPr>
            <w:tcW w:w="15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128,454</w:t>
            </w:r>
          </w:p>
        </w:tc>
        <w:tc>
          <w:tcPr>
            <w:tcW w:w="15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119,501</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161,630</w:t>
            </w:r>
          </w:p>
        </w:tc>
        <w:tc>
          <w:tcPr>
            <w:tcW w:w="15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209,325</w:t>
            </w:r>
          </w:p>
        </w:tc>
        <w:tc>
          <w:tcPr>
            <w:tcW w:w="15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30, 2022, AND OCTOBER 31,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7"/>
        </w:trPr>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174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October 31,</w:t>
            </w:r>
          </w:p>
        </w:tc>
      </w:tr>
      <w:tr>
        <w:trPr>
          <w:trHeight w:val="213"/>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2021</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(17,872 )</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3,101</w:t>
            </w: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income to net cash provided by</w:t>
            </w:r>
          </w:p>
        </w:tc>
        <w:tc>
          <w:tcPr>
            <w:tcW w:w="2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r>
      <w:tr>
        <w:trPr>
          <w:trHeight w:val="18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(used in) operating activities:</w:t>
            </w: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3,489</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3,471</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inventory charges</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6,439</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579</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214</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565</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709</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(269 )</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Realized gain from the sale of short-term investments available for sale</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Gain sale of equipment</w:t>
            </w:r>
          </w:p>
        </w:tc>
        <w:tc>
          <w:tcPr>
            <w:tcW w:w="22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(232 )</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Foreign currency exchange (gain) loss</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(1,168 )</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5"/>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(443 )</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5,441</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7,192</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(8,329 )</w:t>
            </w:r>
          </w:p>
        </w:tc>
      </w:tr>
      <w:tr>
        <w:trPr>
          <w:trHeight w:val="176"/>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(728 )</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58</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(987 )</w:t>
            </w:r>
          </w:p>
        </w:tc>
      </w:tr>
      <w:tr>
        <w:trPr>
          <w:trHeight w:val="176"/>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payable – trade</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6,027</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(2,269 )</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1,007</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r>
      <w:tr>
        <w:trPr>
          <w:trHeight w:val="176"/>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1,254</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(2,908 )</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Accrued restructuring</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33</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601</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(428 )</w:t>
            </w:r>
          </w:p>
        </w:tc>
      </w:tr>
      <w:tr>
        <w:trPr>
          <w:trHeight w:val="169"/>
        </w:trPr>
        <w:tc>
          <w:tcPr>
            <w:tcW w:w="77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6,167</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(1,051 )</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equipment</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465</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maturity of short-term investments (Held to Maturity)</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3,200</w:t>
            </w: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short-term and long-term investments (Held to Maturity)</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(8,876 )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short-term investments (Available for Sale)</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(4,371 )</w:t>
            </w: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short-term investments (Available for Sale)</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306</w:t>
            </w: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of long-term investments (rabbi trust)</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46</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long-term investments (rabbi trust)</w:t>
            </w:r>
          </w:p>
        </w:tc>
        <w:tc>
          <w:tcPr>
            <w:tcW w:w="2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(505 )</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(580 )</w:t>
            </w:r>
          </w:p>
        </w:tc>
      </w:tr>
      <w:tr>
        <w:trPr>
          <w:trHeight w:val="169"/>
        </w:trPr>
        <w:tc>
          <w:tcPr>
            <w:tcW w:w="77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(1,045 )</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(14,222 )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(2,699 )</w:t>
            </w: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repurchased</w:t>
            </w: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20" w:type="dxa"/>
            <w:vAlign w:val="bottom"/>
          </w:tcPr>
          <w:p>
            <w:pPr>
              <w:spacing w:after="0"/>
              <w:rPr>
                <w:sz w:val="15"/>
                <w:szCs w:val="15"/>
                <w:color w:val="auto"/>
              </w:rPr>
            </w:pPr>
          </w:p>
        </w:tc>
        <w:tc>
          <w:tcPr>
            <w:tcW w:w="15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(33 )</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2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(206 )</w:t>
            </w:r>
          </w:p>
        </w:tc>
        <w:tc>
          <w:tcPr>
            <w:tcW w:w="1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(239 )</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(4,501 )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(296 )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4,587</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(20,053 )</w:t>
            </w: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14,550</w:t>
            </w:r>
          </w:p>
        </w:tc>
        <w:tc>
          <w:tcPr>
            <w:tcW w:w="1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37,009</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19,137</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16,956</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SIX-MONTHS ENDED OCTOBER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8"/>
              </w:rPr>
              <w:t>Accumulated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40" w:type="dxa"/>
            <w:vAlign w:val="bottom"/>
          </w:tcPr>
          <w:p>
            <w:pPr>
              <w:spacing w:after="0"/>
              <w:rPr>
                <w:sz w:val="14"/>
                <w:szCs w:val="14"/>
                <w:color w:val="auto"/>
              </w:rPr>
            </w:pPr>
          </w:p>
        </w:tc>
        <w:tc>
          <w:tcPr>
            <w:tcW w:w="2000" w:type="dxa"/>
            <w:vAlign w:val="bottom"/>
            <w:gridSpan w:val="3"/>
            <w:vMerge w:val="restart"/>
          </w:tcPr>
          <w:p>
            <w:pPr>
              <w:jc w:val="right"/>
              <w:ind w:right="597"/>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9"/>
              </w:rPr>
              <w:t>Contributed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4"/>
              </w:rPr>
              <w:t>Other</w:t>
            </w:r>
          </w:p>
        </w:tc>
        <w:tc>
          <w:tcPr>
            <w:tcW w:w="220" w:type="dxa"/>
            <w:vAlign w:val="bottom"/>
          </w:tcPr>
          <w:p>
            <w:pPr>
              <w:spacing w:after="0"/>
              <w:rPr>
                <w:sz w:val="14"/>
                <w:szCs w:val="14"/>
                <w:color w:val="auto"/>
              </w:rPr>
            </w:pPr>
          </w:p>
        </w:tc>
        <w:tc>
          <w:tcPr>
            <w:tcW w:w="7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6"/>
              </w:rPr>
              <w:t>in Excess</w:t>
            </w:r>
          </w:p>
        </w:tc>
        <w:tc>
          <w:tcPr>
            <w:tcW w:w="9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Accumulated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Comprehensive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Amount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4"/>
              </w:rPr>
              <w:t>of Par Value</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7"/>
              </w:rPr>
              <w:t>Income</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5"/>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May 1, 2022 *</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12,228,629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43,143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75,715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119,501</w:t>
            </w:r>
          </w:p>
        </w:tc>
        <w:tc>
          <w:tcPr>
            <w:tcW w:w="0" w:type="dxa"/>
            <w:vAlign w:val="bottom"/>
          </w:tcPr>
          <w:p>
            <w:pPr>
              <w:spacing w:after="0"/>
              <w:rPr>
                <w:sz w:val="1"/>
                <w:szCs w:val="1"/>
                <w:color w:val="auto"/>
              </w:rPr>
            </w:pPr>
          </w:p>
        </w:tc>
      </w:tr>
      <w:tr>
        <w:trPr>
          <w:trHeight w:val="162"/>
        </w:trPr>
        <w:tc>
          <w:tcPr>
            <w:tcW w:w="5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(5,699 )</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(5,699 )</w:t>
            </w:r>
          </w:p>
        </w:tc>
        <w:tc>
          <w:tcPr>
            <w:tcW w:w="0" w:type="dxa"/>
            <w:vAlign w:val="bottom"/>
          </w:tcPr>
          <w:p>
            <w:pPr>
              <w:spacing w:after="0"/>
              <w:rPr>
                <w:sz w:val="1"/>
                <w:szCs w:val="1"/>
                <w:color w:val="auto"/>
              </w:rPr>
            </w:pPr>
          </w:p>
        </w:tc>
      </w:tr>
      <w:tr>
        <w:trPr>
          <w:trHeight w:val="162"/>
        </w:trPr>
        <w:tc>
          <w:tcPr>
            <w:tcW w:w="5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2"/>
        </w:trPr>
        <w:tc>
          <w:tcPr>
            <w:tcW w:w="5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(7 )</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30"/>
        </w:trPr>
        <w:tc>
          <w:tcPr>
            <w:tcW w:w="514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vesting of performance-based restricted</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stock units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913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1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32,199</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5140" w:type="dxa"/>
            <w:vAlign w:val="bottom"/>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(6,708 )</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(52 )</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62"/>
        </w:trPr>
        <w:tc>
          <w:tcPr>
            <w:tcW w:w="5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tc>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19,753</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July 31, 2022</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12,274,786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43,340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70,016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113,995</w:t>
            </w:r>
          </w:p>
        </w:tc>
        <w:tc>
          <w:tcPr>
            <w:tcW w:w="0" w:type="dxa"/>
            <w:vAlign w:val="bottom"/>
          </w:tcPr>
          <w:p>
            <w:pPr>
              <w:spacing w:after="0"/>
              <w:rPr>
                <w:sz w:val="1"/>
                <w:szCs w:val="1"/>
                <w:color w:val="auto"/>
              </w:rPr>
            </w:pPr>
          </w:p>
        </w:tc>
      </w:tr>
      <w:tr>
        <w:trPr>
          <w:trHeight w:val="162"/>
        </w:trPr>
        <w:tc>
          <w:tcPr>
            <w:tcW w:w="5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(12,173 )</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(12,173 )</w:t>
            </w:r>
          </w:p>
        </w:tc>
        <w:tc>
          <w:tcPr>
            <w:tcW w:w="0" w:type="dxa"/>
            <w:vAlign w:val="bottom"/>
          </w:tcPr>
          <w:p>
            <w:pPr>
              <w:spacing w:after="0"/>
              <w:rPr>
                <w:sz w:val="1"/>
                <w:szCs w:val="1"/>
                <w:color w:val="auto"/>
              </w:rPr>
            </w:pPr>
          </w:p>
        </w:tc>
      </w:tr>
      <w:tr>
        <w:trPr>
          <w:trHeight w:val="162"/>
        </w:trPr>
        <w:tc>
          <w:tcPr>
            <w:tcW w:w="5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313</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2"/>
        </w:trPr>
        <w:tc>
          <w:tcPr>
            <w:tcW w:w="5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(46 )</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130"/>
        </w:trPr>
        <w:tc>
          <w:tcPr>
            <w:tcW w:w="514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vesting of performance-based restricted</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stock units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669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1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(20 )</w:t>
            </w:r>
          </w:p>
        </w:tc>
        <w:tc>
          <w:tcPr>
            <w:tcW w:w="2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3"/>
        </w:trPr>
        <w:tc>
          <w:tcPr>
            <w:tcW w:w="5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tc>
        <w:tc>
          <w:tcPr>
            <w:tcW w:w="102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18,327</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October 30, 2022</w:t>
            </w:r>
          </w:p>
        </w:tc>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12,293,762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43,671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57,843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(21 )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102,108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SIX-MONTHS ENDED OCTOBER 31, 2021</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May 2, 2021 *</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320"/>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20"/>
        <w:spacing w:after="0"/>
        <w:rPr>
          <w:sz w:val="20"/>
          <w:szCs w:val="20"/>
          <w:color w:val="auto"/>
        </w:rPr>
      </w:pPr>
      <w:r>
        <w:rPr>
          <w:rFonts w:ascii="Times New Roman" w:cs="Times New Roman" w:eastAsia="Times New Roman" w:hAnsi="Times New Roman"/>
          <w:sz w:val="13"/>
          <w:szCs w:val="13"/>
          <w:color w:val="auto"/>
        </w:rPr>
        <w:t>stock units</w:t>
      </w:r>
    </w:p>
    <w:p>
      <w:pPr>
        <w:ind w:left="160"/>
        <w:spacing w:after="0" w:line="236" w:lineRule="auto"/>
        <w:rPr>
          <w:sz w:val="20"/>
          <w:szCs w:val="20"/>
          <w:color w:val="auto"/>
        </w:rPr>
      </w:pPr>
      <w:r>
        <w:rPr>
          <w:rFonts w:ascii="Times New Roman" w:cs="Times New Roman" w:eastAsia="Times New Roman" w:hAnsi="Times New Roman"/>
          <w:sz w:val="13"/>
          <w:szCs w:val="13"/>
          <w:color w:val="auto"/>
        </w:rPr>
        <w:t>Common stock surrendered in connection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with payroll withholding taxes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Dividends paid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August 1, 2021</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Fully vested common stock award</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Dividends paid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October 31, 2021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8"/>
              </w:rPr>
              <w:t>Accumulated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00" w:type="dxa"/>
            <w:vAlign w:val="bottom"/>
            <w:gridSpan w:val="3"/>
            <w:vMerge w:val="restart"/>
          </w:tcPr>
          <w:p>
            <w:pPr>
              <w:jc w:val="right"/>
              <w:ind w:right="597"/>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9"/>
              </w:rPr>
              <w:t>Contributed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4"/>
              </w:rPr>
              <w:t>Other</w:t>
            </w:r>
          </w:p>
        </w:tc>
        <w:tc>
          <w:tcPr>
            <w:tcW w:w="220" w:type="dxa"/>
            <w:vAlign w:val="bottom"/>
          </w:tcPr>
          <w:p>
            <w:pPr>
              <w:spacing w:after="0"/>
              <w:rPr>
                <w:sz w:val="14"/>
                <w:szCs w:val="14"/>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Comprehensive</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56"/>
        </w:trPr>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Amount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color w:val="auto"/>
                <w:w w:val="97"/>
              </w:rPr>
              <w:t>Income</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151"/>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12,312,822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43,807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84,437</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129,006</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2,250</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274</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64"/>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148</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43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10,863</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(3,025 )</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(50 )</w:t>
            </w:r>
          </w:p>
        </w:tc>
        <w:tc>
          <w:tcPr>
            <w:tcW w:w="2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4,312</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(48,686 )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(721 )</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(723 )</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(1,356 )</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(1,356 )</w:t>
            </w:r>
          </w:p>
        </w:tc>
        <w:tc>
          <w:tcPr>
            <w:tcW w:w="0" w:type="dxa"/>
            <w:vAlign w:val="bottom"/>
          </w:tcPr>
          <w:p>
            <w:pPr>
              <w:spacing w:after="0"/>
              <w:rPr>
                <w:sz w:val="1"/>
                <w:szCs w:val="1"/>
                <w:color w:val="auto"/>
              </w:rPr>
            </w:pPr>
          </w:p>
        </w:tc>
      </w:tr>
      <w:tr>
        <w:trPr>
          <w:trHeight w:val="15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12,276,286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43,310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85,331</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294</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129,549</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851</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851</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435</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(9 )</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62"/>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6,426</w:t>
            </w:r>
          </w:p>
        </w:tc>
        <w:tc>
          <w:tcPr>
            <w:tcW w:w="2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(73,002 )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(1,026 )</w:t>
            </w:r>
          </w:p>
        </w:tc>
        <w:tc>
          <w:tcPr>
            <w:tcW w:w="2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(1,029 )</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(1,343 )</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(1,343 )</w:t>
            </w:r>
          </w:p>
        </w:tc>
        <w:tc>
          <w:tcPr>
            <w:tcW w:w="0" w:type="dxa"/>
            <w:vAlign w:val="bottom"/>
          </w:tcPr>
          <w:p>
            <w:pPr>
              <w:spacing w:after="0"/>
              <w:rPr>
                <w:sz w:val="1"/>
                <w:szCs w:val="1"/>
                <w:color w:val="auto"/>
              </w:rPr>
            </w:pPr>
          </w:p>
        </w:tc>
      </w:tr>
      <w:tr>
        <w:trPr>
          <w:trHeight w:val="157"/>
        </w:trPr>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12,209,710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42,719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84,839</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285</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128,454</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-2047875</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-1842135</wp:posOffset>
            </wp:positionV>
            <wp:extent cx="71323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-1636395</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-1173480</wp:posOffset>
            </wp:positionV>
            <wp:extent cx="71323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-967740</wp:posOffset>
            </wp:positionV>
            <wp:extent cx="7132320" cy="111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-753745</wp:posOffset>
            </wp:positionV>
            <wp:extent cx="71323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-548005</wp:posOffset>
            </wp:positionV>
            <wp:extent cx="71323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-342265</wp:posOffset>
            </wp:positionV>
            <wp:extent cx="71323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-128270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240"/>
            <w:col w:w="6100"/>
          </w:cols>
          <w:pgMar w:left="320" w:top="114"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15, 2022, for the fiscal year ended May 1, 2022.</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amounts presented in the prior period have been reclassified to conform to the current period financial statement presentation. A non-cash charge totaling $579,000 for markdowns of inventory estimated based on our policy for aged inventory was reclassified from the line item "Inventories" to the line item "Non-cash inventory charges" in the Consolidated Statement of Cash Flows for the six-months ended October 31, 2021. This reclassification did not have an effect on previously reported net cash used in operating activities and decrease in cash and cash equivalents.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six-months ended October 30, 2022, and October 31, 2021, each represent 26-week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30, 2022, there were no changes in the nature of our significant accounting policies or the application of those policies from those reported in our annual report on Form 10-K for the year then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not any recently adopted accounting pronouncements during the first half of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Currently, there are no new recent accounting pronouncements that are expected to have a material effect on our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3"/>
          </w:tcPr>
          <w:p>
            <w:pPr>
              <w:jc w:val="right"/>
              <w:ind w:right="137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October 30, 2022</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29"/>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292</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220" w:type="dxa"/>
            <w:vAlign w:val="bottom"/>
          </w:tcPr>
          <w:p>
            <w:pPr>
              <w:spacing w:after="0"/>
              <w:rPr>
                <w:sz w:val="19"/>
                <w:szCs w:val="19"/>
                <w:color w:val="auto"/>
              </w:rPr>
            </w:pPr>
          </w:p>
        </w:tc>
        <w:tc>
          <w:tcPr>
            <w:tcW w:w="1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33"/>
        </w:trPr>
        <w:tc>
          <w:tcPr>
            <w:tcW w:w="7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22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(53 )</w:t>
            </w:r>
          </w:p>
        </w:tc>
        <w:tc>
          <w:tcPr>
            <w:tcW w:w="32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288</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534</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six-month periods ended October 30, 2022, and October 31, 2021,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$288,000 and $534,000 as of October 30, 2022, and October 31, 2021, respectively.</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June 25, 2022, a customer and its affiliates associated with our mattress fabrics segment announced that they filed voluntary petitions for reorganization under Chapter 11 of the U.S. Bankruptcy Code. Subject to court approval, our customer and its affiliates entered into an asset purchase agreement for the sale of substantially all of their assets. The proposed buyer under the asset purchase agreement has also provided a commitment for debtor-in-possession financing to allow our customer and its affiliates to conduct normal business operations pending the anticipated closing of the sale. A credit loss associated with accounts receivable outstanding as of May 1, 2022, for this customer and its affiliates was not recorded as we received payment in full regarding these invoices, and based on information available to us at this time, we do not believe there is a risk of material loss on these accounts. In addition, based on the information available to us at this time, we currently do not expect to record a material credit loss associated with accounts receivable for this customer and its affiliates for outstanding invoices after May 1, 2022 relating to products sold prior to the bankruptcy filing. During the second quarter of fiscal 2023, we received payments on a portion of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20"/>
          <w:szCs w:val="20"/>
          <w:color w:val="auto"/>
        </w:rPr>
        <w:t>outstanding invoices after May 1, 2022, and we currently expect to receive payments on the remaining outstanding invoices after May 1, 2022, during the third quarter of fiscal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in the Consolidated Balance Sheets as deferred revenue. Our terms are customary within the industries in which we operate and are not considered financing arrangements. There were no contract assets recognized as of October 30, 2022, October 31, 2021, and May 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gridSpan w:val="3"/>
          </w:tcPr>
          <w:p>
            <w:pPr>
              <w:jc w:val="right"/>
              <w:ind w:right="139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42"/>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October 30, 2022</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2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520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26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(1,747 )</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(1,445 )</w:t>
            </w:r>
          </w:p>
        </w:tc>
      </w:tr>
      <w:tr>
        <w:trPr>
          <w:trHeight w:val="233"/>
        </w:trPr>
        <w:tc>
          <w:tcPr>
            <w:tcW w:w="5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2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2,754</w:t>
            </w:r>
          </w:p>
        </w:tc>
        <w:tc>
          <w:tcPr>
            <w:tcW w:w="32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1,584</w:t>
            </w:r>
          </w:p>
        </w:tc>
      </w:tr>
      <w:tr>
        <w:trPr>
          <w:trHeight w:val="223"/>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1,527</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Mattress</w:t>
            </w:r>
          </w:p>
        </w:tc>
        <w:tc>
          <w:tcPr>
            <w:tcW w:w="6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Upholstery</w:t>
            </w: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4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Fabrics</w:t>
            </w:r>
          </w:p>
        </w:tc>
        <w:tc>
          <w:tcPr>
            <w:tcW w:w="6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Fabrics</w:t>
            </w:r>
          </w:p>
        </w:tc>
        <w:tc>
          <w:tcPr>
            <w:tcW w:w="6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92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26,230</w:t>
            </w:r>
          </w:p>
        </w:tc>
        <w:tc>
          <w:tcPr>
            <w:tcW w:w="14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29,883</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56,113</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2,268</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2,268</w:t>
            </w:r>
          </w:p>
        </w:tc>
      </w:tr>
      <w:tr>
        <w:trPr>
          <w:trHeight w:val="223"/>
        </w:trPr>
        <w:tc>
          <w:tcPr>
            <w:tcW w:w="4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92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26,230</w:t>
            </w:r>
          </w:p>
        </w:tc>
        <w:tc>
          <w:tcPr>
            <w:tcW w:w="140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32,151</w:t>
            </w:r>
          </w:p>
        </w:tc>
        <w:tc>
          <w:tcPr>
            <w:tcW w:w="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58,381</w:t>
            </w:r>
          </w:p>
        </w:tc>
      </w:tr>
    </w:tbl>
    <w:p>
      <w:pPr>
        <w:spacing w:after="0" w:line="200" w:lineRule="exact"/>
        <w:rPr>
          <w:sz w:val="20"/>
          <w:szCs w:val="20"/>
          <w:color w:val="auto"/>
        </w:rPr>
      </w:pPr>
    </w:p>
    <w:p>
      <w:pPr>
        <w:spacing w:after="0" w:line="3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30, 2022: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Mattress</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Upholstery</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Fabrics</w:t>
            </w:r>
          </w:p>
        </w:tc>
        <w:tc>
          <w:tcPr>
            <w:tcW w:w="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Fabrics</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92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117,008</w:t>
            </w:r>
          </w:p>
        </w:tc>
        <w:tc>
          <w:tcPr>
            <w:tcW w:w="10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tcPr>
          <w:p>
            <w:pPr>
              <w:spacing w:after="0"/>
              <w:rPr>
                <w:sz w:val="19"/>
                <w:szCs w:val="19"/>
                <w:color w:val="auto"/>
              </w:rPr>
            </w:pPr>
          </w:p>
        </w:tc>
      </w:tr>
      <w:tr>
        <w:trPr>
          <w:trHeight w:val="223"/>
        </w:trPr>
        <w:tc>
          <w:tcPr>
            <w:tcW w:w="4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92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31,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Mattress</w:t>
            </w:r>
          </w:p>
        </w:tc>
        <w:tc>
          <w:tcPr>
            <w:tcW w:w="6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Upholstery</w:t>
            </w: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4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Fabrics</w:t>
            </w:r>
          </w:p>
        </w:tc>
        <w:tc>
          <w:tcPr>
            <w:tcW w:w="6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Fabrics</w:t>
            </w:r>
          </w:p>
        </w:tc>
        <w:tc>
          <w:tcPr>
            <w:tcW w:w="6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92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40,883</w:t>
            </w:r>
          </w:p>
        </w:tc>
        <w:tc>
          <w:tcPr>
            <w:tcW w:w="14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31,415</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72,298</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2,263</w:t>
            </w:r>
          </w:p>
        </w:tc>
      </w:tr>
      <w:tr>
        <w:trPr>
          <w:trHeight w:val="223"/>
        </w:trPr>
        <w:tc>
          <w:tcPr>
            <w:tcW w:w="4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92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40,883</w:t>
            </w:r>
          </w:p>
        </w:tc>
        <w:tc>
          <w:tcPr>
            <w:tcW w:w="140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33,678</w:t>
            </w:r>
          </w:p>
        </w:tc>
        <w:tc>
          <w:tcPr>
            <w:tcW w:w="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74,561</w:t>
            </w:r>
          </w:p>
        </w:tc>
      </w:tr>
    </w:tbl>
    <w:p>
      <w:pPr>
        <w:spacing w:after="0" w:line="200" w:lineRule="exact"/>
        <w:rPr>
          <w:sz w:val="20"/>
          <w:szCs w:val="20"/>
          <w:color w:val="auto"/>
        </w:rPr>
      </w:pPr>
    </w:p>
    <w:p>
      <w:pPr>
        <w:sectPr>
          <w:pgSz w:w="11900" w:h="16838" w:orient="portrait"/>
          <w:cols w:equalWidth="0" w:num="1">
            <w:col w:w="11240"/>
          </w:cols>
          <w:pgMar w:left="320" w:top="118" w:right="339" w:bottom="5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550" w:gutter="0" w:footer="0" w:header="0"/>
          <w:type w:val="continuous"/>
        </w:sectPr>
      </w:pPr>
    </w:p>
    <w:bookmarkStart w:id="11" w:name="page12"/>
    <w:bookmarkEnd w:id="11"/>
    <w:p>
      <w:pPr>
        <w:ind w:right="720"/>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Mattress</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Upholstery</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Fabrics</w:t>
            </w:r>
          </w:p>
        </w:tc>
        <w:tc>
          <w:tcPr>
            <w:tcW w:w="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Fabrics</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92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153,646</w:t>
            </w:r>
          </w:p>
        </w:tc>
        <w:tc>
          <w:tcPr>
            <w:tcW w:w="100" w:type="dxa"/>
            <w:vAlign w:val="bottom"/>
            <w:shd w:val="clear" w:color="auto" w:fill="CFF0FC"/>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tcPr>
          <w:p>
            <w:pPr>
              <w:spacing w:after="0"/>
              <w:rPr>
                <w:sz w:val="19"/>
                <w:szCs w:val="19"/>
                <w:color w:val="auto"/>
              </w:rPr>
            </w:pPr>
          </w:p>
        </w:tc>
      </w:tr>
      <w:tr>
        <w:trPr>
          <w:trHeight w:val="223"/>
        </w:trPr>
        <w:tc>
          <w:tcPr>
            <w:tcW w:w="4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92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73,667</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157,608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30,</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October 31,</w:t>
            </w: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vMerge w:val="continue"/>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7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9,859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10,626</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7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3,724</w:t>
            </w:r>
          </w:p>
        </w:tc>
        <w:tc>
          <w:tcPr>
            <w:tcW w:w="30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4,480</w:t>
            </w:r>
          </w:p>
        </w:tc>
        <w:tc>
          <w:tcPr>
            <w:tcW w:w="4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33"/>
        </w:trPr>
        <w:tc>
          <w:tcPr>
            <w:tcW w:w="4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7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38,641</w:t>
            </w: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48,675</w:t>
            </w:r>
          </w:p>
        </w:tc>
        <w:tc>
          <w:tcPr>
            <w:tcW w:w="4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48,843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52,224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63,781</w:t>
            </w:r>
          </w:p>
        </w:tc>
        <w:tc>
          <w:tcPr>
            <w:tcW w:w="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66,557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Substantial and Unusual Losses Resulting from Subsequent Measurement of Inventory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of Fiscal 2023 and 2022</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second quarter of fiscal 2023, we incurred a non-cash inventory charge totaling $5.3 million. This charge represents a $2.9 million write down of inventory to its net realizable value associated with our mattress fabrics segment, $2.3 million related to markdowns of inventory estimated based on our policy for aged inventory in both our mattress and upholstery fabrics segments, and $98,000 for the loss on disposal and markdowns of inventory related to the exit of our cut and sew upholstery fabrics operation located in Shanghai, China (see Note 8 to the consolidated financial statements). Of the $5.3 million non-cash inventory charge for the second quarter of fiscal 2023, $3.8 million and $1.5 million pertained to our mattress fabrics and upholstery fabrics segments, respectively.</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second quarter of fiscal 2022, we incurred a non-cash inventory charge totaling $226,000 that related to markdowns of inventory estimated based on our policy for aged inventory for both mattress and upholstery fabrics segments.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to Date Through Second Quarter of Fiscal 2023 and 2022</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six-month period of fiscal 2023, we incurred a non-cash inventory charge totaling $6.4 million. This charge represents a $2.9 million write down of inventory to its net realizable value associated with our mattress fabrics segment, $3.4 million related to markdowns of inventory estimated based on our policy for aged inventory in both our mattress and upholstery fabrics segments, and $98,000 for the loss on disposal and markdowns of inventory related to the exit of our cut and sew upholstery fabrics operation located in Shanghai, China (see Note 8 to the consolidated financial statements). Of the $6.4 million non-cash inventory charge for the six-month period of fiscal 2023, $4.2 million and $2.2 million pertained to our mattress fabrics and upholstery fabrics segments, respectively.</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non-cash inventory charge of $579,000 for the six-month period of fiscal 2022 represents markdowns of inventory estimated based on our policy for aged inventory in both mattress and upholstery fabrics segments.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 - Net Realizable Value</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second quarter of fiscal 2023, our mattress fabrics segment experienced a 35.8% decline in net sales compared with the second quarter of fiscal 2022. This decline in net sales led to a significant decrease in gross margin to (8.7%), excluding the non-cash charge of $3.8 million disclosed above, during the second quarter of fiscal 2023, as compared with gross margin of 15.0% during the second quarter of fiscal 2022. The significant decline in net sales and profitability during the second quarter of fiscal 2023 stemmed from a greater than anticipated decline in consumer discretionary spending, which we believe was due to the following factors: (i) inflationary effects of commodities such as gas, food, and other necessities; (ii) a significant increase in interest rates; (iii) the pulling forward of demand for home goods products during the early years of the COVID-19 pandemic,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spacing w:after="0" w:line="243" w:lineRule="auto"/>
        <w:rPr>
          <w:sz w:val="20"/>
          <w:szCs w:val="20"/>
          <w:color w:val="auto"/>
        </w:rPr>
      </w:pPr>
      <w:r>
        <w:rPr>
          <w:rFonts w:ascii="Times New Roman" w:cs="Times New Roman" w:eastAsia="Times New Roman" w:hAnsi="Times New Roman"/>
          <w:sz w:val="20"/>
          <w:szCs w:val="20"/>
          <w:color w:val="auto"/>
        </w:rPr>
        <w:t>which demand has now shifted to travel, leisure, and other services; and (iv) excess inventory held by customers due to the decline in consumer demand. Based on this evidence, management conducted a thorough review of its mattress fabrics inventory, and as result, recorded a charge of $2.9 million within cost of sales to write down inventory to its net realizable value. This $2.9 million charge was based on management's best estimates of product sales prices, customer demand trends, and its plans to transition to new products. Based on the current unfavorable macroeconomic conditions, it is possible that the estimates used by management to determine the write down of inventory to its net realizable value could be materially different from the actual amounts or its results. These differences could result in higher than expected inventory provisions, which could adversely affect the company's results of operations and financial condition in the near term.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30,</w:t>
            </w: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October 31,</w:t>
            </w: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vMerge w:val="continue"/>
          </w:tcPr>
          <w:p>
            <w:pPr>
              <w:spacing w:after="0"/>
              <w:rPr>
                <w:sz w:val="19"/>
                <w:szCs w:val="19"/>
                <w:color w:val="auto"/>
              </w:rPr>
            </w:pPr>
          </w:p>
        </w:tc>
        <w:tc>
          <w:tcPr>
            <w:tcW w:w="3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3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3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1,486</w:t>
            </w:r>
          </w:p>
        </w:tc>
        <w:tc>
          <w:tcPr>
            <w:tcW w:w="3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1,787</w:t>
            </w:r>
          </w:p>
        </w:tc>
        <w:tc>
          <w:tcPr>
            <w:tcW w:w="4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33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3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489</w:t>
            </w:r>
          </w:p>
        </w:tc>
        <w:tc>
          <w:tcPr>
            <w:tcW w:w="4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2,440</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2,816</w:t>
            </w: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as of October 30, 2022, October 31, 2021, and May 1, 2022, pertained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October 30, 2022, no indicators of impairment existed, and therefore we did not record any asset impairment charges associated with our tradename through the second quarter of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tcPr>
          <w:p>
            <w:pPr>
              <w:spacing w:after="0"/>
              <w:rPr>
                <w:sz w:val="20"/>
                <w:szCs w:val="20"/>
                <w:color w:val="auto"/>
              </w:rPr>
            </w:pPr>
          </w:p>
        </w:tc>
        <w:tc>
          <w:tcPr>
            <w:tcW w:w="3800" w:type="dxa"/>
            <w:vAlign w:val="bottom"/>
            <w:tcBorders>
              <w:top w:val="single" w:sz="8" w:color="auto"/>
              <w:bottom w:val="single" w:sz="8" w:color="auto"/>
            </w:tcBorders>
            <w:gridSpan w:val="3"/>
          </w:tcPr>
          <w:p>
            <w:pPr>
              <w:jc w:val="right"/>
              <w:ind w:right="139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October 30, 2022</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3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1,636</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1,937</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(150 )</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23"/>
        </w:trPr>
        <w:tc>
          <w:tcPr>
            <w:tcW w:w="4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1,486</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1,787</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October 30, 2022, October 31, 2021, and May 1, 2022, respectively. Accumulated amortization for these customer relationships was $1.6 million, $1.3 million, and $1.5 million as of October 30, 2022, October 31, 2021, and May 1, 2022, respectively.</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follows: FY 2023 - $151,000; FY 2024 - $301,000; FY 2025 - $301,000; FY 2026 - $301,000; FY 2027 - $279,000; and thereafter - $153,000.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5.2 years as of October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tcPr>
          <w:p>
            <w:pPr>
              <w:spacing w:after="0"/>
              <w:rPr>
                <w:sz w:val="20"/>
                <w:szCs w:val="20"/>
                <w:color w:val="auto"/>
              </w:rPr>
            </w:pPr>
          </w:p>
        </w:tc>
        <w:tc>
          <w:tcPr>
            <w:tcW w:w="3800" w:type="dxa"/>
            <w:vAlign w:val="bottom"/>
            <w:tcBorders>
              <w:top w:val="single" w:sz="8" w:color="auto"/>
              <w:bottom w:val="single" w:sz="8" w:color="auto"/>
            </w:tcBorders>
            <w:gridSpan w:val="3"/>
          </w:tcPr>
          <w:p>
            <w:pPr>
              <w:jc w:val="right"/>
              <w:ind w:right="139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October 30, 2022</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2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452</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(38 )</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3"/>
        </w:trPr>
        <w:tc>
          <w:tcPr>
            <w:tcW w:w="4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414</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October 30, 2022, October 31, 2021, and May 1, 2022, respectively. Accumulated amortization for our non-compete agreement was $1.6 million, $1.5 million, and $1.6 million as of October 30, 2022, October 31, 2022, and May 1, 2022,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2023 - $37,000; FY 2024 - $76,000; FY 2025 - $76,000; FY 2026 - $76,000; FY 2027 - $76,000, and thereafter - $73,000.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5.5 years as of October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October 30, 2022, management reviewed the long-lived assets associated with our mattress fabrics segment, which consisted of property, plant, and equipment, right of use assets, and finite-lived intangible assets (collectively known as the "Asset Group"), for impairment, as events and changes in circumstances occurred that indicated the carrying amount of the Asset Group may not be recoverable. During the second quarter of fiscal 2023, our mattress fabrics segment experienced a 35.8% decline in net sales compared with the second quarter of fiscal 2022. This decline in net sales led to a significant decrease in gross margin to (23.1%) during the second quarter of fiscal 2023, as compared with gross margin of 15.0% during the second quarter of fiscal 2022. The significant decline in net sales and profitability during the second quarter of fiscal 2023 stemmed from a greater than anticipated decline in consumer discretionary spending, which we believe was due to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Asset Group, which is classified as held and used, by comparing the carrying amount of the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(i.e., the sum of undiscounted future cash flows) of the asset. The carrying amount of the Asset Group totaled $38.8 million, which relates to property, plant, and equipment of $35.9 million, right of use assets of $2.1 million, a non-compete agreement of $414,000, and customer relationships of $383,000. Based on the comparison of the carrying amount of the Asset Group to the sum of its future undiscounted cash flows from its use and eventual disposition, we determined no impairment existed as of October 30, 2022, as the carrying amount of the Asset Group totaling $38.8 million did not exceed the sum of its future undiscounted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30,</w:t>
            </w:r>
          </w:p>
        </w:tc>
        <w:tc>
          <w:tcPr>
            <w:tcW w:w="5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31,</w:t>
            </w:r>
          </w:p>
        </w:tc>
        <w:tc>
          <w:tcPr>
            <w:tcW w:w="5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256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4,489</w:t>
            </w: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5,986</w:t>
            </w:r>
          </w:p>
        </w:tc>
        <w:tc>
          <w:tcPr>
            <w:tcW w:w="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3,105</w:t>
            </w:r>
          </w:p>
        </w:tc>
        <w:tc>
          <w:tcPr>
            <w:tcW w:w="1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5,033</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3,584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FF0FC"/>
          </w:tcPr>
          <w:p>
            <w:pPr>
              <w:spacing w:after="0"/>
              <w:rPr>
                <w:sz w:val="19"/>
                <w:szCs w:val="19"/>
                <w:color w:val="auto"/>
              </w:rPr>
            </w:pPr>
          </w:p>
        </w:tc>
        <w:tc>
          <w:tcPr>
            <w:tcW w:w="2560" w:type="dxa"/>
            <w:vAlign w:val="bottom"/>
            <w:tcBorders>
              <w:bottom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7,594</w:t>
            </w:r>
          </w:p>
        </w:tc>
        <w:tc>
          <w:tcPr>
            <w:tcW w:w="142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11,019</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7,832</w:t>
            </w: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Exit and Disposal Activity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adjust our operating costs to better align with the declining consumer demand for cut and sewn products.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that were associated with the above exit and disposal activity: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8"/>
                <w:szCs w:val="18"/>
                <w:color w:val="auto"/>
              </w:rPr>
            </w:pPr>
          </w:p>
        </w:tc>
      </w:tr>
      <w:tr>
        <w:trPr>
          <w:trHeight w:val="24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1"/>
                <w:szCs w:val="21"/>
                <w:color w:val="auto"/>
              </w:rPr>
            </w:pPr>
          </w:p>
        </w:tc>
      </w:tr>
      <w:tr>
        <w:trPr>
          <w:trHeight w:val="23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8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284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r>
      <w:tr>
        <w:trPr>
          <w:trHeight w:val="233"/>
        </w:trPr>
        <w:tc>
          <w:tcPr>
            <w:tcW w:w="6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8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4" w:name="page15"/>
    <w:bookmarkEnd w:id="14"/>
    <w:p>
      <w:pPr>
        <w:ind w:left="280" w:right="20" w:hanging="272"/>
        <w:spacing w:after="0" w:line="282" w:lineRule="auto"/>
        <w:tabs>
          <w:tab w:leader="none" w:pos="2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$713,000, $615,000 and $98,000 were recorded to restructuring expense and cost of sales, respectively, in the Consolidated Statement of Net Loss for the six-month period ending October 30,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for the six-month period ending October 30,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300" w:type="dxa"/>
            <w:vAlign w:val="bottom"/>
          </w:tcPr>
          <w:p>
            <w:pPr>
              <w:jc w:val="center"/>
              <w:ind w:left="1239"/>
              <w:spacing w:after="0"/>
              <w:rPr>
                <w:sz w:val="20"/>
                <w:szCs w:val="20"/>
                <w:color w:val="auto"/>
              </w:rPr>
            </w:pPr>
            <w:r>
              <w:rPr>
                <w:rFonts w:ascii="Times New Roman" w:cs="Times New Roman" w:eastAsia="Times New Roman" w:hAnsi="Times New Roman"/>
                <w:sz w:val="16"/>
                <w:szCs w:val="16"/>
                <w:color w:val="auto"/>
              </w:rPr>
              <w:t>Employee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Lease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8"/>
              </w:rPr>
              <w:t>Other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160" w:type="dxa"/>
            <w:vAlign w:val="bottom"/>
          </w:tcPr>
          <w:p>
            <w:pPr>
              <w:spacing w:after="0"/>
              <w:rPr>
                <w:sz w:val="22"/>
                <w:szCs w:val="22"/>
                <w:color w:val="auto"/>
              </w:rPr>
            </w:pPr>
          </w:p>
        </w:tc>
        <w:tc>
          <w:tcPr>
            <w:tcW w:w="2300" w:type="dxa"/>
            <w:vAlign w:val="bottom"/>
          </w:tcPr>
          <w:p>
            <w:pPr>
              <w:jc w:val="center"/>
              <w:ind w:left="1259"/>
              <w:spacing w:after="0"/>
              <w:rPr>
                <w:sz w:val="20"/>
                <w:szCs w:val="20"/>
                <w:color w:val="auto"/>
              </w:rPr>
            </w:pPr>
            <w:r>
              <w:rPr>
                <w:rFonts w:ascii="Times New Roman" w:cs="Times New Roman" w:eastAsia="Times New Roman" w:hAnsi="Times New Roman"/>
                <w:sz w:val="16"/>
                <w:szCs w:val="16"/>
                <w:color w:val="auto"/>
              </w:rPr>
              <w:t>Termination</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8"/>
              </w:rPr>
              <w:t>Termination</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Associated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Pr>
          <w:p>
            <w:pPr>
              <w:jc w:val="center"/>
              <w:ind w:left="1239"/>
              <w:spacing w:after="0"/>
              <w:rPr>
                <w:sz w:val="20"/>
                <w:szCs w:val="20"/>
                <w:color w:val="auto"/>
              </w:rPr>
            </w:pPr>
            <w:r>
              <w:rPr>
                <w:rFonts w:ascii="Times New Roman" w:cs="Times New Roman" w:eastAsia="Times New Roman" w:hAnsi="Times New Roman"/>
                <w:sz w:val="16"/>
                <w:szCs w:val="16"/>
                <w:color w:val="auto"/>
              </w:rPr>
              <w:t>Benefits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Costs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Costs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3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300" w:type="dxa"/>
            <w:vAlign w:val="bottom"/>
            <w:tcBorders>
              <w:top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33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2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9"/>
                <w:szCs w:val="19"/>
                <w:color w:val="auto"/>
              </w:rPr>
            </w:pPr>
          </w:p>
        </w:tc>
      </w:tr>
      <w:tr>
        <w:trPr>
          <w:trHeight w:val="23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3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(468 )</w:t>
            </w:r>
          </w:p>
        </w:tc>
        <w:tc>
          <w:tcPr>
            <w:tcW w:w="1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4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(502 )</w:t>
            </w:r>
          </w:p>
        </w:tc>
      </w:tr>
      <w:tr>
        <w:trPr>
          <w:trHeight w:val="223"/>
        </w:trPr>
        <w:tc>
          <w:tcPr>
            <w:tcW w:w="3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300" w:type="dxa"/>
            <w:vAlign w:val="bottom"/>
            <w:tcBorders>
              <w:top w:val="single" w:sz="8" w:color="auto"/>
              <w:bottom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ind w:right="133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Existing Credit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May 1, 2022, we had a Credit Agreement (the “Existing Credit Agreement”) with Wells Fargo Bank, N.A. (“Wells Fargo”) that provided a revolving loan commitment of $30 million, was set to expire on August 15, 2022, and allowed us to issue letters of credit not to exceed $1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Amended Agreement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June 24, 2022, we entered into an Amended and Restated Credit Agreement (“the Amended Agreement”) with Wells Fargo. The Amended Agreement amends, restates, supersedes, and serves as a replacement for the Existing Credit Agreement. The Amended Agreement provides a revolving credit facility of up to $40 million, is secured by a lien on the company’s assets, and expires in June 2025. The proceeds of borrowings under the Amended Agreement are to be used for working capital and other general corporate purposes.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available borrowings under the Amended Agreement are based on a borrowing base calculation using certain accounts receivable and inventory of the company, subject to certain sub-limits as defined in the Amended Agreement, to be calculated on a monthly basis. As of October 30, 2022, our available borrowings based on the borrowing base calculation under the Amended Agreement was $26.8 million.</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Similar to the Existing Credit Agreement, the Amended Agreement contains a sub-facility that allows the company to issue letters of credit in an aggregate amount not to exceed $1 million.</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Borrowings under the Amended Agreement bear interest at a rate calculated using a margin (the “Applicable Margin”) over the Federal Reserve Bank of New York’s secured overnight funding rate (SOFR). The Applicable Margin is set initially at 1.35% and may vary under the terms of the Amended Agreement from 1.35% to 2.50%, depending on the ratio of the company’s consolidated debt to consolidated EBITDA, as defined in the Amended Agreement, determined on a quarterly basis. The Amended Agreement contains customary affirmative and negative covenants and requires compliance by the company with certain financial covenants, including minimum tangible net worth of $100 million plus 50% of annual net income, and a minimum ratio of consolidated EBITDA to consolidated net interest expense of 3.0 to 1.0 as defined in the Amended Agreement. The EBITDA to interest expense covenant does not apply under the Amended Agreement during the first three quarters of the company’s fiscal 2023, but during that period, the company must maintain “access to liquidity” of $15 million, which is defined as unencumbered liquid assets plus available and unused credit under the revolving credit facility as calculated using the borrowing base, as defined in the Amended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First Amendment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August 19, 2022, we entered into a First Amendment to the Amended Agreement (“the First Amendment”) with Wells Fargo. The terms of the First Amendment amend the time period in which the financial covenant for the minimum ratio of consolidated EBITDA to consolidated net interest expense applies, such that this EBITDA to interest expense covenant does not apply during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20"/>
          <w:szCs w:val="20"/>
          <w:color w:val="auto"/>
        </w:rPr>
        <w:t>any of the four quarters of the Company’s fiscal 2023. During that time period, we are still required to maintain minimum “access to liquidity” of $15 million as mentioned in the above Amended Agreement section.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Subsequent Event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executed a non-binding term sheet during the second quarter of fiscal 2023 with Wells Fargo for a new revolving credit facility (the "Credit Facility") of up to $40 million, secured by the company's assets. This proposed Credit Facility will replace our Amended Agreement and, based on information available at this time, is expected to provide greater borrowing availability and better flexibility with minimal financial covenants. The company's borrowing availability under the Credit Facility will be based on a calculation using certain of the company's accounts receivable and inventory, determined on a monthly basis. The completion of the Credit Facility is subject to the parties entering into applicable definitive agreements, which may contain additional or different terms from those described herein.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June 24, 2022, interest was charged under the Amended Agreement at a rate (applicable interest rate of 4.38% as of October 30, 2022) calculated using the Applicable Margin over SOFR based on the ratio of the company’s consolidated debt to consolidated EBITDA, as defined in the Amended Agreement. Under the Existing Credit Agreement interest was charged at a rate (applicable interest rate of 1.74% and 2.40% as of October 31, 2021, and May 1, 2022, respectively) as a variable spread over LIBOR based on a ratio of debt to EBITDA, as defined in the Existing Credit Agreement.</w:t>
      </w:r>
    </w:p>
    <w:p>
      <w:pPr>
        <w:spacing w:after="0" w:line="14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There were $275,000 of outstanding letters of credit provided by the Amended Agreement and Existing Credit Agreement as of October 30 2022, October 31, 2021, and May 1, 2022. As of October 30, 2022, we had $725,000 remaining for the issuance of additional letters of credit.</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either the Amended Agreement or e Existing Credit Agreement, as applicable, as of October 30, 2022, October 31, 2021, and May 1, 2022,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Agreements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an unsecured credit agreement denominated in RMB with a bank located in China that provides for a line of credit of up to 40 million RMB ($5.5 million USD as of October 30, 2022). Interest charged under this agreement is based on an interest rate determined by the Chinese government at the time of borrowing and was set to expire on November 15, 2022.</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November 24, 2022, we renewed this agreement, which renewal maintains our borrowing capacity of 40 million RMB and extends the expiration date to November 24, 2023.</w:t>
      </w:r>
    </w:p>
    <w:p>
      <w:pPr>
        <w:spacing w:after="0" w:line="119" w:lineRule="exact"/>
        <w:rPr>
          <w:sz w:val="20"/>
          <w:szCs w:val="20"/>
          <w:color w:val="auto"/>
        </w:rPr>
      </w:pPr>
    </w:p>
    <w:p>
      <w:pPr>
        <w:ind w:right="60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October 30, 2022, October 31, 2021, and May 1, 2022, respectively. </w:t>
      </w:r>
      <w:r>
        <w:rPr>
          <w:rFonts w:ascii="Times New Roman" w:cs="Times New Roman" w:eastAsia="Times New Roman" w:hAnsi="Times New Roman"/>
          <w:sz w:val="20"/>
          <w:szCs w:val="20"/>
          <w:u w:val="single" w:color="auto"/>
          <w:color w:val="auto"/>
        </w:rPr>
        <w:t>Denominated in United States Dollar (“USD”)</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an unsecured credit agreement denominated in USD with another bank located in China that provided for a line of credit of up to $2 million USD, which expired on August 30, 2022. Currently, the company does not plan to renew or replace this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October 30, 2022, we complied with our financial covenants.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paid during the first half of fiscal 2023 totaled $8,000. No interest payments were made during the first half of fiscal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Fair Value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20"/>
          <w:szCs w:val="20"/>
          <w:color w:val="auto"/>
        </w:rPr>
        <w:t>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89"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3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auto"/>
        </w:rPr>
        <w:t>Fair value measurements as of October 30, 2022,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rPr>
              <w:t>Quoted prices</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in active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Significant</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markets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4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inputs</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Level 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Level 3</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9,089</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9,089</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438</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77</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33"/>
        </w:trPr>
        <w:tc>
          <w:tcPr>
            <w:tcW w:w="4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159</w:t>
            </w: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439"/>
        </w:trPr>
        <w:tc>
          <w:tcPr>
            <w:tcW w:w="4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Fair value measurements as of October 31, 2021, using:</w:t>
            </w:r>
          </w:p>
        </w:tc>
        <w:tc>
          <w:tcPr>
            <w:tcW w:w="920" w:type="dxa"/>
            <w:vAlign w:val="bottom"/>
            <w:tcBorders>
              <w:bottom w:val="single" w:sz="8" w:color="auto"/>
            </w:tcBorders>
          </w:tcPr>
          <w:p>
            <w:pPr>
              <w:spacing w:after="0"/>
              <w:rPr>
                <w:sz w:val="24"/>
                <w:szCs w:val="24"/>
                <w:color w:val="auto"/>
              </w:rPr>
            </w:pPr>
          </w:p>
        </w:tc>
      </w:tr>
      <w:tr>
        <w:trPr>
          <w:trHeight w:val="210"/>
        </w:trPr>
        <w:tc>
          <w:tcPr>
            <w:tcW w:w="4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Quoted prices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in active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Significant</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markets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4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inputs</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Level 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Level 3</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8,351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8,351</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Bond Mutual Funds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4,384</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4,384</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Inflation Protected Bond Mutual Funds</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2,975</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2,975</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Securities Mutual Funds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1,118</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Cap Equity Mutual Funds</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694</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694</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449</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Securities Mutual Fund</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282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Event Driven Equity Mutual Fund</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203</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4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201</w:t>
            </w: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r>
      <w:tr>
        <w:trPr>
          <w:trHeight w:val="439"/>
        </w:trPr>
        <w:tc>
          <w:tcPr>
            <w:tcW w:w="4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Fair value measurements as of May 1, 2022, using:</w:t>
            </w:r>
          </w:p>
        </w:tc>
        <w:tc>
          <w:tcPr>
            <w:tcW w:w="920" w:type="dxa"/>
            <w:vAlign w:val="bottom"/>
            <w:tcBorders>
              <w:bottom w:val="single" w:sz="8" w:color="auto"/>
            </w:tcBorders>
          </w:tcPr>
          <w:p>
            <w:pPr>
              <w:spacing w:after="0"/>
              <w:rPr>
                <w:sz w:val="24"/>
                <w:szCs w:val="24"/>
                <w:color w:val="auto"/>
              </w:rPr>
            </w:pPr>
          </w:p>
        </w:tc>
      </w:tr>
      <w:tr>
        <w:trPr>
          <w:trHeight w:val="210"/>
        </w:trPr>
        <w:tc>
          <w:tcPr>
            <w:tcW w:w="4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Quoted prices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in active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Significant</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markets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4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inputs</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Level 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Level 3</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8,683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8,683</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435</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33"/>
        </w:trPr>
        <w:tc>
          <w:tcPr>
            <w:tcW w:w="4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158</w:t>
            </w: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Investments – Available for Sale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short-term investments classified as available-for-sale, and therefore we did not report short-term investments classified as available-for-sale in the accompanying Consolidated Balance Sheets as of October 30, 2022, and May 1, 2022. As of October 31, 2021, our short-term investments classified 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442" w:gutter="0" w:footer="0" w:header="0"/>
        </w:sectPr>
      </w:pPr>
    </w:p>
    <w:bookmarkStart w:id="17" w:name="page18"/>
    <w:bookmarkEnd w:id="17"/>
    <w:p>
      <w:pPr>
        <w:jc w:val="both"/>
        <w:spacing w:after="0" w:line="269" w:lineRule="auto"/>
        <w:rPr>
          <w:sz w:val="20"/>
          <w:szCs w:val="20"/>
          <w:color w:val="auto"/>
        </w:rPr>
      </w:pPr>
      <w:r>
        <w:rPr>
          <w:rFonts w:ascii="Times New Roman" w:cs="Times New Roman" w:eastAsia="Times New Roman" w:hAnsi="Times New Roman"/>
          <w:sz w:val="20"/>
          <w:szCs w:val="20"/>
          <w:color w:val="auto"/>
        </w:rPr>
        <w:t>available-for-sale (i) consisted of various types of bond and equity mutual funds, (ii) were recorded at their fair value totaling $9.7 million, (iii) had an unrealized gain of $116,000, (iv) approximated their cost basis, and (v) resided with our U.S.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and Long-Term Investments - Held-To-Maturity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fourth quarter of fiscal 2022, we sold all of our remaining investments classified as held-to-maturity, and therefore we did not report short-term or long-term investments classified as held-to-maturity in the accompanying Consolidated Balance Sheets as of October 30, 2022, and May 1, 2022. As of October 31, 2021, our investments classified as held-to-maturity consisted of investment grade U.S. corporate bonds, foreign bonds, and government bonds. These investments were classified as held-to-maturity as we had the positive intent and ability to hold these investments until maturity. Our held-to-maturity investments were recorded as either current or noncurrent in our Consolidated Balance Sheets, based on the maturity date in relation to the respective reporting period and were recorded at amortized cost.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October 31, 2021, our held-to-maturity investments had an amortized cost and fair value totaling $9.9 million and resided with our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held-to-maturity investments were classified as level 2 within the fair value hierarchy as they were traded over the counter within a broker network and not on an active market. The fair values of our held-to-maturity investments were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for the participants of our deferred compensation plan (the “Plan”), that enables participants to credit their contributions to various investment options under the Plan. The investments associated with the rabbi trust consist of a U.S. Government money market fund and various equity related mutual funds that are classified as available-for-sale.</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October 30, 2022, our investments associated with our rabbi trust totaled $9.8 million, of which $2.2 million and $7.6 million were classified as short-term and long-term, respectively. As of October 31, 2021, our investments associated with our rabbi trust totaled $9.0 million, all of which were classified as long-term. As of May 1, 2022, our investments associated with our rabbi trust totaled $9.4 million, all of which were classified as long-term. The investments associated with our rabbi trust had an accumulated unrealized loss of $21,000 as of October 30, 2022, an accumulated unrealized gain of $169,000, and $32,000, as of October 31, 2021, and May 1,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long-term investments associated with our rabbi trust approximates their cost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Income Per Share</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Basic net (loss) income per share is computed using the weighted-average number of shares outstanding during the period. Diluted net (loss) income per share uses the weighted-average number of shares outstanding during the period plus the dilutive effect of stock-based compensation calculated using the treasury stock method.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income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80" w:type="dxa"/>
            <w:vAlign w:val="bottom"/>
            <w:tcBorders>
              <w:top w:val="single" w:sz="8" w:color="auto"/>
            </w:tcBorders>
          </w:tcPr>
          <w:p>
            <w:pPr>
              <w:spacing w:after="0"/>
              <w:rPr>
                <w:sz w:val="19"/>
                <w:szCs w:val="19"/>
                <w:color w:val="auto"/>
              </w:rPr>
            </w:pPr>
          </w:p>
        </w:tc>
        <w:tc>
          <w:tcPr>
            <w:tcW w:w="5660" w:type="dxa"/>
            <w:vAlign w:val="bottom"/>
            <w:tcBorders>
              <w:top w:val="single" w:sz="8" w:color="auto"/>
            </w:tcBorders>
            <w:gridSpan w:val="2"/>
          </w:tcPr>
          <w:p>
            <w:pPr>
              <w:jc w:val="right"/>
              <w:ind w:right="129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2"/>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October 30, 2022</w:t>
            </w:r>
          </w:p>
        </w:tc>
        <w:tc>
          <w:tcPr>
            <w:tcW w:w="1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3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6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12,280</w:t>
            </w: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12,223</w:t>
            </w:r>
          </w:p>
        </w:tc>
      </w:tr>
      <w:tr>
        <w:trPr>
          <w:trHeight w:val="223"/>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r>
      <w:tr>
        <w:trPr>
          <w:trHeight w:val="223"/>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6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12,280</w:t>
            </w: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12,316</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second quarter of fiscal 2023, 42,127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second quarter of fiscal 2023, 35,077 shares of unvested common stock were not included in the computation of diluted net loss per share as we incurred a net loss during the reporting period.</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second quarter of fiscal 2022, 13,484 shares of unvested common stock were not included in the computation of diluted net income per share as their effect would be antidilutive due to the decrease in the price per share of our common stock during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20"/>
          <w:szCs w:val="20"/>
          <w:color w:val="auto"/>
        </w:rPr>
        <w:t>the reporting period compared with the price per share of our common stock as of the respective grant dates of the related stock-based compensation awards.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60" w:type="dxa"/>
            <w:vAlign w:val="bottom"/>
            <w:tcBorders>
              <w:top w:val="single" w:sz="8" w:color="auto"/>
            </w:tcBorders>
          </w:tcPr>
          <w:p>
            <w:pPr>
              <w:spacing w:after="0"/>
              <w:rPr>
                <w:sz w:val="19"/>
                <w:szCs w:val="19"/>
                <w:color w:val="auto"/>
              </w:rPr>
            </w:pPr>
          </w:p>
        </w:tc>
        <w:tc>
          <w:tcPr>
            <w:tcW w:w="5580" w:type="dxa"/>
            <w:vAlign w:val="bottom"/>
            <w:tcBorders>
              <w:top w:val="single" w:sz="8" w:color="auto"/>
            </w:tcBorders>
            <w:gridSpan w:val="3"/>
          </w:tcPr>
          <w:p>
            <w:pPr>
              <w:jc w:val="right"/>
              <w:ind w:right="131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9"/>
                <w:szCs w:val="19"/>
                <w:color w:val="auto"/>
              </w:rPr>
            </w:pPr>
          </w:p>
        </w:tc>
      </w:tr>
      <w:tr>
        <w:trPr>
          <w:trHeight w:val="242"/>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1"/>
                <w:szCs w:val="21"/>
                <w:color w:val="auto"/>
              </w:rPr>
            </w:pPr>
          </w:p>
        </w:tc>
        <w:tc>
          <w:tcPr>
            <w:tcW w:w="2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October 31, 2021</w:t>
            </w:r>
          </w:p>
        </w:tc>
        <w:tc>
          <w:tcPr>
            <w:tcW w:w="100" w:type="dxa"/>
            <w:vAlign w:val="bottom"/>
          </w:tcPr>
          <w:p>
            <w:pPr>
              <w:spacing w:after="0"/>
              <w:rPr>
                <w:sz w:val="21"/>
                <w:szCs w:val="21"/>
                <w:color w:val="auto"/>
              </w:rPr>
            </w:pPr>
          </w:p>
        </w:tc>
      </w:tr>
      <w:tr>
        <w:trPr>
          <w:trHeight w:val="22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12,259</w:t>
            </w:r>
          </w:p>
        </w:tc>
        <w:tc>
          <w:tcPr>
            <w:tcW w:w="1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12,268</w:t>
            </w:r>
          </w:p>
        </w:tc>
        <w:tc>
          <w:tcPr>
            <w:tcW w:w="100" w:type="dxa"/>
            <w:vAlign w:val="bottom"/>
            <w:shd w:val="clear" w:color="auto" w:fill="CFF0FC"/>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r>
      <w:tr>
        <w:trPr>
          <w:trHeight w:val="223"/>
        </w:trPr>
        <w:tc>
          <w:tcPr>
            <w:tcW w:w="55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12,259</w:t>
            </w:r>
          </w:p>
        </w:tc>
        <w:tc>
          <w:tcPr>
            <w:tcW w:w="12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half of fiscal 2023, 37,852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first half of fiscal 2023, 47,249 shares of unvested common stock were not included in the computation of diluted net loss per share as we incurred a net loss during the reporting period.</w:t>
      </w:r>
    </w:p>
    <w:p>
      <w:pPr>
        <w:spacing w:after="0" w:line="18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the first half of fiscal 2022, 1,561 shares of unvested common stock were not included in the computation of diluted net income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5"/>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October 30, 2022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58,381</w:t>
            </w: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74,561</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(6,057 )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(loss)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(2,115 )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(2,213 )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00" w:type="dxa"/>
            <w:vAlign w:val="bottom"/>
            <w:shd w:val="clear" w:color="auto" w:fill="CFF0FC"/>
          </w:tcPr>
          <w:p>
            <w:pPr>
              <w:spacing w:after="0"/>
              <w:rPr>
                <w:sz w:val="20"/>
                <w:szCs w:val="20"/>
                <w:color w:val="auto"/>
              </w:rPr>
            </w:pPr>
          </w:p>
        </w:tc>
      </w:tr>
      <w:tr>
        <w:trPr>
          <w:trHeight w:val="22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(9,002 )</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(2,527 )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(11,218 )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 (2)</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(404 )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(11,023 )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-3514090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-2896870</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-2596515</wp:posOffset>
            </wp:positionV>
            <wp:extent cx="6858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-1679575</wp:posOffset>
            </wp:positionV>
            <wp:extent cx="12515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158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-1070610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jc w:val="both"/>
        <w:ind w:left="260" w:hanging="252"/>
        <w:spacing w:after="0" w:line="266" w:lineRule="auto"/>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charge for the three-months ended October 30, 2022, represents $98,000 of losses on disposal and markdowns of inventory associated with the exit of our cut and sew upholstery fabrics operation located in Shanghai, China. This $98,000 restructuring related charge was recorded to cost of sales in the Consolidated Statements of Net Loss for the three-months ending October 30, 2022.</w:t>
      </w:r>
    </w:p>
    <w:p>
      <w:pPr>
        <w:spacing w:after="0" w:line="175"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for the three-months ended October 30, 2022, represents $468,000 for employee termination benefits, $80,000 that relates to a loss on disposal of equipment, $47,000 for lease termination costs, and $20,000 of other associated costs related to the exit of our cut and sew upholstery fabrics operation located in Shanghai, China.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October 30, 2022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157,608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(6,093 )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(11,922 )</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(4,837 )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(5,087 )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(15,956 )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 (2)</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(15,826 )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-3514090</wp:posOffset>
            </wp:positionV>
            <wp:extent cx="6858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-2896870</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-2596515</wp:posOffset>
            </wp:positionV>
            <wp:extent cx="6858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-1679575</wp:posOffset>
            </wp:positionV>
            <wp:extent cx="12515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158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-1070610</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00" w:h="16838" w:orient="portrait"/>
          <w:cols w:equalWidth="0" w:num="1">
            <w:col w:w="11240"/>
          </w:cols>
          <w:pgMar w:left="320" w:top="292" w:right="339" w:bottom="15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9"/>
          <w:szCs w:val="19"/>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68580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 w:name="page22"/>
    <w:bookmarkEnd w:id="21"/>
    <w:p>
      <w:pPr>
        <w:jc w:val="both"/>
        <w:ind w:left="260" w:hanging="252"/>
        <w:spacing w:after="0" w:line="266" w:lineRule="auto"/>
        <w:tabs>
          <w:tab w:leader="none" w:pos="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charge for the six-months ended October 30, 2022, represents $98,000 of losses on disposal and markdowns of inventory associated with the exit of our cut and sew upholstery fabrics operation located in Shanghai, China. This $98,000 restructuring related charge was recorded to cost of sales in the Consolidated Statements of Net Loss for the six-months ending October 30, 2022.</w:t>
      </w:r>
    </w:p>
    <w:p>
      <w:pPr>
        <w:spacing w:after="0" w:line="175"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for the six-months ended October 30, 2022, represents $468,000 for employee termination benefits, $80,000 that relates to a loss on disposal of equipment, $47,000 for lease termination costs, and $20,000 of other associated costs related to the exit of our cut and sew upholstery fabrics operation located in Shanghai,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30, 2022</w:t>
            </w: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October 31, 2021</w:t>
            </w:r>
          </w:p>
        </w:tc>
        <w:tc>
          <w:tcPr>
            <w:tcW w:w="1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May 1, 2022</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8,700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16,639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9,865</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30,300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34,498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39,028</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35,853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40,673</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38,731</w:t>
            </w:r>
          </w:p>
        </w:tc>
      </w:tr>
      <w:tr>
        <w:trPr>
          <w:trHeight w:val="22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2,087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3,838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3,469</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76,940</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95,648</w:t>
            </w: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91,093</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13,743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15,677</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12,361</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29,283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27,529</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2,150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1,680</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22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(4)</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5,898</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5,472</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8,124</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43,715</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52,112</w:t>
            </w: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50,044</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120,655</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147,760</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141,137</w:t>
            </w:r>
          </w:p>
        </w:tc>
      </w:tr>
      <w:tr>
        <w:trPr>
          <w:trHeight w:val="22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19,137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16,956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14,550</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9,709</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2,237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829</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 of use assets (6)</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3,984</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2,440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9,357</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8,353</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717</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3,004</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r>
      <w:tr>
        <w:trPr>
          <w:trHeight w:val="26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161,630</w:t>
            </w:r>
          </w:p>
        </w:tc>
        <w:tc>
          <w:tcPr>
            <w:tcW w:w="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209,325</w:t>
            </w:r>
          </w:p>
        </w:tc>
        <w:tc>
          <w:tcPr>
            <w:tcW w:w="3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177,563</w:t>
            </w:r>
          </w:p>
        </w:tc>
      </w:tr>
      <w:tr>
        <w:trPr>
          <w:trHeight w:val="419"/>
        </w:trPr>
        <w:tc>
          <w:tcPr>
            <w:tcW w:w="6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4"/>
        </w:trPr>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Six months ended</w:t>
            </w:r>
          </w:p>
        </w:tc>
        <w:tc>
          <w:tcPr>
            <w:tcW w:w="1340" w:type="dxa"/>
            <w:vAlign w:val="bottom"/>
          </w:tcPr>
          <w:p>
            <w:pPr>
              <w:spacing w:after="0"/>
              <w:rPr>
                <w:sz w:val="17"/>
                <w:szCs w:val="17"/>
                <w:color w:val="auto"/>
              </w:rPr>
            </w:pPr>
          </w:p>
        </w:tc>
      </w:tr>
      <w:tr>
        <w:trPr>
          <w:trHeight w:val="242"/>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October 30, 2022</w:t>
            </w: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color w:val="auto"/>
              </w:rPr>
              <w:t>October 31, 2021</w:t>
            </w:r>
          </w:p>
        </w:tc>
      </w:tr>
      <w:tr>
        <w:trPr>
          <w:trHeight w:val="23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(7):</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4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23"/>
        </w:trPr>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1,302</w:t>
            </w:r>
          </w:p>
        </w:tc>
      </w:tr>
      <w:tr>
        <w:trPr>
          <w:trHeight w:val="223"/>
        </w:trPr>
        <w:tc>
          <w:tcPr>
            <w:tcW w:w="62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5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5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r>
      <w:tr>
        <w:trPr>
          <w:trHeight w:val="223"/>
        </w:trPr>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r>
      <w:tr>
        <w:trPr>
          <w:trHeight w:val="263"/>
        </w:trPr>
        <w:tc>
          <w:tcPr>
            <w:tcW w:w="62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5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3,471</w:t>
            </w:r>
          </w:p>
        </w:tc>
      </w:tr>
    </w:tbl>
    <w:p>
      <w:pPr>
        <w:spacing w:after="0" w:line="153" w:lineRule="exact"/>
        <w:rPr>
          <w:sz w:val="20"/>
          <w:szCs w:val="20"/>
          <w:color w:val="auto"/>
        </w:rPr>
      </w:pPr>
    </w:p>
    <w:p>
      <w:pPr>
        <w:jc w:val="both"/>
        <w:ind w:left="380" w:hanging="372"/>
        <w:spacing w:after="0" w:line="246" w:lineRule="auto"/>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$35.9 million as of October 30, 2022, represents property, plant, and equipment of $23.8 million, $11.4 million, and $679,000 located in the U.S., Canada, and Haiti, respectively. The $40.7 million as of October 31, 2021, represents property, plant, and equipment of $27.3 million, $12.6 million, and $836,000 located in the U.S., Canada, and Haiti, respectively. The $38.7 million as of May 1, 2022, represents property, plant, and equipment of $25.6 million, $12.4 million, and $757,000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$2.1 million as of October 30, 2022, represents right of use assets of $1.8 million, $167,000, and $164,000 located in Haiti, Canada, and the U.S., respectively. The $3.8 million as of October 31, 2021, represents right of use assets of $2.2 million, $1.3 million, and $309,000 located in Haiti, the U.S., and Canada, respectively. The $3.5 million as of May 1, 2022, represents right of use assets of $2.0 million, $1.2 million, and $291,000 located in Haiti, the U.S., and Canada,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793" w:gutter="0" w:footer="0" w:header="0"/>
        </w:sectPr>
      </w:pPr>
    </w:p>
    <w:bookmarkStart w:id="22" w:name="page23"/>
    <w:bookmarkEnd w:id="22"/>
    <w:p>
      <w:pPr>
        <w:jc w:val="both"/>
        <w:ind w:left="380" w:hanging="372"/>
        <w:spacing w:after="0" w:line="249"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$2.2 million as of October 30, 2022, represents property, plant, and equipment of $1.0 million, $1.0 million, and $137,000 located in the U.S., Haiti, and China, respectively. The $1.7 million as of October 31, 2021, represents property, plant, and equipment of $1.1 million, $368,000, and $242,000 located in the U.S., China, and Haiti, respectively. The $2.0 million as of May 1, 2022, represents property, plant, and equipment of $1.0 million, $756,000, and $255,000 located in the U.S., Haiti,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$5.9 million as of October 30, 2022, represents right of use assets of $2.5 million, $2.0 million and $1.4 million located in Haiti, China, and the U.S., respectively. The $5.5 million as of October 31, 2021, represents right of use assets of $4.3 million and $1.2 million located in China and the U.S., respectively. The $8.1 million as of May 1, 2022, represents right of use assets of $3.7 million, $2.6 million, and $1.8 million located in China, Haiti, and the U.S.,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$829,000, $912,000, and $941,000 as of October 30, 2022, October 31, 2021, and May 1, 2022,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$3.6 million, $4.3 million, and $4.0 million as of October 30, 2022, October 31, 2021, and May 1, 2022, respectively, represent right of use assets located in the U.S.</w:t>
      </w:r>
    </w:p>
    <w:p>
      <w:pPr>
        <w:spacing w:after="0" w:line="132"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$2.0 million, or (12.9%) of loss before income taxes, for the six-month period ending October 30, 2022, compared with income tax expense of $1.3 million, or 30.3% of income before income taxes, for the six-month period ending October 31, 2021.</w:t>
      </w:r>
    </w:p>
    <w:p>
      <w:pPr>
        <w:spacing w:after="0" w:line="13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30, 2022, and October 31, 2021, were based upon the estimated effective income tax rate applicable for the full year after giving effect to any significant items related specifically to interim periods. When calculating the annual estimated effective income tax rates for the six-month periods ended October 30, 2022, and October 31, 2021,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30, 2022, and October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6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rPr>
              <w:t>October 30,</w:t>
            </w: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October 31,</w:t>
            </w:r>
          </w:p>
        </w:tc>
      </w:tr>
      <w:tr>
        <w:trPr>
          <w:trHeight w:val="236"/>
        </w:trPr>
        <w:tc>
          <w:tcPr>
            <w:tcW w:w="58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2022</w:t>
            </w:r>
          </w:p>
        </w:tc>
        <w:tc>
          <w:tcPr>
            <w:tcW w:w="17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2021</w:t>
            </w:r>
          </w:p>
        </w:tc>
        <w:tc>
          <w:tcPr>
            <w:tcW w:w="40" w:type="dxa"/>
            <w:vAlign w:val="bottom"/>
          </w:tcPr>
          <w:p>
            <w:pPr>
              <w:spacing w:after="0"/>
              <w:rPr>
                <w:sz w:val="20"/>
                <w:szCs w:val="20"/>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21.0 %</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6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(36.7 )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4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6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(3.3 )</w:t>
            </w: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6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3.2</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9"/>
                <w:szCs w:val="19"/>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 (losses)</w:t>
            </w:r>
          </w:p>
        </w:tc>
        <w:tc>
          <w:tcPr>
            <w:tcW w:w="36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4.7</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40" w:type="dxa"/>
            <w:vAlign w:val="bottom"/>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(0.6 )</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9"/>
                <w:szCs w:val="19"/>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6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20"/>
                <w:szCs w:val="20"/>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(1.2 )</w:t>
            </w:r>
          </w:p>
        </w:tc>
        <w:tc>
          <w:tcPr>
            <w:tcW w:w="1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36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(12.9 )</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30.3 %</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half of fiscal 2023 was much more negatively affected by the mix of earnings between our U.S. operations and our foreign subsidiaries, as compared to the first half of fiscal 2022. During the first half of 2023, we incurred a significant pre-tax loss from our U.S. operations, and therefore, a significant income tax benefit was not recognized due to a full valuation allowance being applied against our U.S. net deferred income tax assets. In addition, all of our taxable income in the first half of fiscal 2023 was earned by our foreign operations located in China and Canada, which have higher income tax rates than the U.S. In comparison, as of the end of the second quarter of fiscal 2022, our U.S. operations were projected to earn a level of pre-tax income that did not have a significant effect on our full valuation allowance or our consolidated effective income tax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As of October 30, 2022, we evaluated the realizability of our U.S. net deferred income tax assets to determine if a full valuation allowance was required. Based on our assessment, we determined we still have a recent history of significant cumulative U.S. taxable losses, in that we experienced U.S. taxable losses during each of the last three fiscal years from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30, 2022, October 31, 2021, and May 1, 2022,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00" w:type="dxa"/>
            <w:vAlign w:val="bottom"/>
            <w:tcBorders>
              <w:top w:val="single" w:sz="8" w:color="auto"/>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October 30, 2022</w:t>
            </w:r>
          </w:p>
        </w:tc>
        <w:tc>
          <w:tcPr>
            <w:tcW w:w="18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October 31, 2021</w:t>
            </w: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May 1, 2022</w:t>
            </w:r>
          </w:p>
        </w:tc>
      </w:tr>
      <w:tr>
        <w:trPr>
          <w:trHeight w:val="22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0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13,958</w:t>
            </w:r>
          </w:p>
        </w:tc>
        <w:tc>
          <w:tcPr>
            <w:tcW w:w="1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9,155</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w:t>
            </w: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0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2,330</w:t>
            </w:r>
          </w:p>
        </w:tc>
        <w:tc>
          <w:tcPr>
            <w:tcW w:w="1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2,330</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63"/>
        </w:trPr>
        <w:tc>
          <w:tcPr>
            <w:tcW w:w="5020" w:type="dxa"/>
            <w:vAlign w:val="bottom"/>
            <w:tcBorders>
              <w:bottom w:val="single" w:sz="8" w:color="auto"/>
            </w:tcBorders>
            <w:shd w:val="clear" w:color="auto" w:fill="CFF0FC"/>
          </w:tcPr>
          <w:p>
            <w:pPr>
              <w:spacing w:after="0"/>
              <w:rPr>
                <w:sz w:val="22"/>
                <w:szCs w:val="22"/>
                <w:color w:val="auto"/>
              </w:rPr>
            </w:pPr>
          </w:p>
        </w:tc>
        <w:tc>
          <w:tcPr>
            <w:tcW w:w="20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16,288</w:t>
            </w:r>
          </w:p>
        </w:tc>
        <w:tc>
          <w:tcPr>
            <w:tcW w:w="18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11,485</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11,857</w:t>
            </w:r>
          </w:p>
        </w:tc>
      </w:tr>
    </w:tbl>
    <w:p>
      <w:pPr>
        <w:spacing w:after="0" w:line="200" w:lineRule="exact"/>
        <w:rPr>
          <w:sz w:val="20"/>
          <w:szCs w:val="20"/>
          <w:color w:val="auto"/>
        </w:rPr>
      </w:pPr>
    </w:p>
    <w:p>
      <w:pPr>
        <w:sectPr>
          <w:pgSz w:w="11900" w:h="16838" w:orient="portrait"/>
          <w:cols w:equalWidth="0" w:num="1">
            <w:col w:w="11280"/>
          </w:cols>
          <w:pgMar w:left="320" w:top="114" w:right="299" w:bottom="1440" w:gutter="0" w:footer="0" w:header="0"/>
        </w:sect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October 30, 2022,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October 30, 2022, October 31, 2021, and May 1, 2022, we recorded a deferred income tax liability of $4.0 million, $3.4 million, and $3.5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or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30, 2022, and May 1, 2022, we had a $1.1 million total gross unrecognized income tax benefit, of which the entire amount was classified as income taxes payable – long-term in the accompanying Consolidated Balance Sheets. As of October 31, 2021, we had a $1.4 million total gross unrecognized income tax benefit, of which $1.1 million and $380,000 were recorded to income taxes payable – long-term and noncurrent deferred income taxes, respectively, in the accompanying Consolidated Balance Sheets.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30, 2022, and May 1, 2022, we had a $1.1 million total gross unrecognized income tax benefit, of which the entire $1.1 million would favorably affect the income tax rate in future periods. As of October 31, 2021, we had a $1.4 million total gross unrecognized income tax benefit, of which $1.1 million would favorably affect the income tax rate in future periods.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$1.1 million as of October 30, 2022, relates to income tax positions for which significant change is currently not expected within the next year. This amount primarily relates to double taxation under applicable income tax treaties with foreign tax jurisdictions.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Six Months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Six Months</w:t>
            </w:r>
          </w:p>
        </w:tc>
        <w:tc>
          <w:tcPr>
            <w:tcW w:w="100" w:type="dxa"/>
            <w:vAlign w:val="bottom"/>
          </w:tcPr>
          <w:p>
            <w:pPr>
              <w:spacing w:after="0"/>
              <w:rPr>
                <w:sz w:val="18"/>
                <w:szCs w:val="18"/>
                <w:color w:val="auto"/>
              </w:rPr>
            </w:pPr>
          </w:p>
        </w:tc>
      </w:tr>
      <w:tr>
        <w:trPr>
          <w:trHeight w:val="257"/>
        </w:trPr>
        <w:tc>
          <w:tcPr>
            <w:tcW w:w="6340" w:type="dxa"/>
            <w:vAlign w:val="bottom"/>
          </w:tcPr>
          <w:p>
            <w:pPr>
              <w:spacing w:after="0"/>
              <w:rPr>
                <w:sz w:val="22"/>
                <w:szCs w:val="22"/>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Ended</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Ended</w:t>
            </w:r>
          </w:p>
        </w:tc>
        <w:tc>
          <w:tcPr>
            <w:tcW w:w="100" w:type="dxa"/>
            <w:vAlign w:val="bottom"/>
          </w:tcPr>
          <w:p>
            <w:pPr>
              <w:spacing w:after="0"/>
              <w:rPr>
                <w:sz w:val="22"/>
                <w:szCs w:val="22"/>
                <w:color w:val="auto"/>
              </w:rPr>
            </w:pPr>
          </w:p>
        </w:tc>
      </w:tr>
      <w:tr>
        <w:trPr>
          <w:trHeight w:val="256"/>
        </w:trPr>
        <w:tc>
          <w:tcPr>
            <w:tcW w:w="6340" w:type="dxa"/>
            <w:vAlign w:val="bottom"/>
          </w:tcPr>
          <w:p>
            <w:pPr>
              <w:spacing w:after="0"/>
              <w:rPr>
                <w:sz w:val="22"/>
                <w:szCs w:val="22"/>
                <w:color w:val="auto"/>
              </w:rPr>
            </w:pPr>
          </w:p>
        </w:tc>
        <w:tc>
          <w:tcPr>
            <w:tcW w:w="16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October 30,</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October 31,</w:t>
            </w:r>
          </w:p>
        </w:tc>
        <w:tc>
          <w:tcPr>
            <w:tcW w:w="100" w:type="dxa"/>
            <w:vAlign w:val="bottom"/>
          </w:tcPr>
          <w:p>
            <w:pPr>
              <w:spacing w:after="0"/>
              <w:rPr>
                <w:sz w:val="22"/>
                <w:szCs w:val="22"/>
                <w:color w:val="auto"/>
              </w:rPr>
            </w:pP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2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21"/>
                <w:szCs w:val="21"/>
                <w:color w:val="auto"/>
              </w:rPr>
            </w:pPr>
          </w:p>
        </w:tc>
      </w:tr>
      <w:tr>
        <w:trPr>
          <w:trHeight w:val="22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9"/>
                <w:szCs w:val="19"/>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9"/>
                <w:szCs w:val="19"/>
                <w:color w:val="auto"/>
              </w:rPr>
            </w:pPr>
          </w:p>
        </w:tc>
      </w:tr>
      <w:tr>
        <w:trPr>
          <w:trHeight w:val="212"/>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1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1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FF0FC"/>
          </w:tcPr>
          <w:p>
            <w:pPr>
              <w:spacing w:after="0"/>
              <w:rPr>
                <w:sz w:val="19"/>
                <w:szCs w:val="19"/>
                <w:color w:val="auto"/>
              </w:rPr>
            </w:pP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9"/>
                <w:szCs w:val="19"/>
                <w:color w:val="auto"/>
              </w:rPr>
            </w:pPr>
          </w:p>
        </w:tc>
      </w:tr>
      <w:tr>
        <w:trPr>
          <w:trHeight w:val="260"/>
        </w:trPr>
        <w:tc>
          <w:tcPr>
            <w:tcW w:w="63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As of October 30, 2022, there were 242,188 shares available for future equity-based grants under the 2015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10, 2022 and July 22,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00" w:type="dxa"/>
            <w:vAlign w:val="bottom"/>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July 22,</w:t>
            </w:r>
          </w:p>
        </w:tc>
      </w:tr>
      <w:tr>
        <w:trPr>
          <w:trHeight w:val="250"/>
        </w:trPr>
        <w:tc>
          <w:tcPr>
            <w:tcW w:w="49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60" w:type="dxa"/>
            <w:vAlign w:val="bottom"/>
          </w:tcPr>
          <w:p>
            <w:pPr>
              <w:spacing w:after="0"/>
              <w:rPr>
                <w:sz w:val="21"/>
                <w:szCs w:val="2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22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5.06</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60" w:type="dxa"/>
            <w:vAlign w:val="bottom"/>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2220" w:type="dxa"/>
            <w:vAlign w:val="bottom"/>
          </w:tcPr>
          <w:p>
            <w:pPr>
              <w:spacing w:after="0"/>
              <w:rPr>
                <w:sz w:val="20"/>
                <w:szCs w:val="20"/>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48.2 %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 (1)</w:t>
            </w:r>
          </w:p>
        </w:tc>
        <w:tc>
          <w:tcPr>
            <w:tcW w:w="2220" w:type="dxa"/>
            <w:vAlign w:val="bottom"/>
            <w:shd w:val="clear" w:color="auto" w:fill="CFF0FC"/>
          </w:tcPr>
          <w:p>
            <w:pPr>
              <w:spacing w:after="0"/>
              <w:rPr>
                <w:sz w:val="21"/>
                <w:szCs w:val="21"/>
                <w:color w:val="auto"/>
              </w:rPr>
            </w:pPr>
          </w:p>
        </w:tc>
        <w:tc>
          <w:tcPr>
            <w:tcW w:w="230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41.6% - 105.1%</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 - 101.5%</w:t>
            </w:r>
          </w:p>
        </w:tc>
        <w:tc>
          <w:tcPr>
            <w:tcW w:w="60" w:type="dxa"/>
            <w:vAlign w:val="bottom"/>
          </w:tcPr>
          <w:p>
            <w:pPr>
              <w:spacing w:after="0"/>
              <w:rPr>
                <w:sz w:val="21"/>
                <w:szCs w:val="21"/>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spacing w:after="0"/>
              <w:rPr>
                <w:sz w:val="20"/>
                <w:szCs w:val="20"/>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3.13 %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tcPr>
          <w:p>
            <w:pPr>
              <w:spacing w:after="0"/>
              <w:rPr>
                <w:sz w:val="20"/>
                <w:szCs w:val="20"/>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0.00 %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5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 (1)</w:t>
            </w:r>
          </w:p>
        </w:tc>
        <w:tc>
          <w:tcPr>
            <w:tcW w:w="2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0.05 - 0.23</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0.03 - 0.35</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3" w:lineRule="exact"/>
        <w:rPr>
          <w:sz w:val="20"/>
          <w:szCs w:val="20"/>
          <w:color w:val="auto"/>
        </w:rPr>
      </w:pPr>
    </w:p>
    <w:p>
      <w:pPr>
        <w:jc w:val="both"/>
        <w:ind w:left="380" w:right="60" w:hanging="372"/>
        <w:spacing w:after="0" w:line="249" w:lineRule="auto"/>
        <w:tabs>
          <w:tab w:leader="none" w:pos="3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August 10, 2022 and July 22, 2021, grant dates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79"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220"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October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w w:val="96"/>
              </w:rPr>
              <w:t>(3)</w:t>
            </w:r>
          </w:p>
        </w:tc>
        <w:tc>
          <w:tcPr>
            <w:tcW w:w="20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6"/>
              </w:rPr>
              <w:t>(4)</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29"/>
        </w:trPr>
        <w:tc>
          <w:tcPr>
            <w:tcW w:w="2420" w:type="dxa"/>
            <w:vAlign w:val="bottom"/>
          </w:tcPr>
          <w:p>
            <w:pPr>
              <w:spacing w:after="0"/>
              <w:rPr>
                <w:sz w:val="19"/>
                <w:szCs w:val="19"/>
                <w:color w:val="auto"/>
              </w:rPr>
            </w:pPr>
          </w:p>
        </w:tc>
        <w:tc>
          <w:tcPr>
            <w:tcW w:w="32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Performance-Based</w:t>
            </w:r>
          </w:p>
        </w:tc>
        <w:tc>
          <w:tcPr>
            <w:tcW w:w="2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Restricted Stock</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420" w:type="dxa"/>
            <w:vAlign w:val="bottom"/>
          </w:tcPr>
          <w:p>
            <w:pPr>
              <w:spacing w:after="0"/>
              <w:rPr>
                <w:sz w:val="19"/>
                <w:szCs w:val="19"/>
                <w:color w:val="auto"/>
              </w:rPr>
            </w:pPr>
          </w:p>
        </w:tc>
        <w:tc>
          <w:tcPr>
            <w:tcW w:w="32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Restricted Stock</w:t>
            </w:r>
          </w:p>
        </w:tc>
        <w:tc>
          <w:tcPr>
            <w:tcW w:w="20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Units Expected</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22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rPr>
              <w:t>Units Awarded</w:t>
            </w:r>
          </w:p>
        </w:tc>
        <w:tc>
          <w:tcPr>
            <w:tcW w:w="2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6"/>
              </w:rPr>
              <w:t>to Vest</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Price Per Share</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0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322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4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(5</w:t>
            </w:r>
          </w:p>
        </w:tc>
        <w:tc>
          <w:tcPr>
            <w:tcW w:w="1480" w:type="dxa"/>
            <w:vAlign w:val="bottom"/>
            <w:shd w:val="clear" w:color="auto" w:fill="CFF0FC"/>
          </w:tcPr>
          <w:p>
            <w:pPr>
              <w:spacing w:after="0"/>
              <w:rPr>
                <w:sz w:val="17"/>
                <w:szCs w:val="17"/>
                <w:color w:val="auto"/>
              </w:rPr>
            </w:pPr>
          </w:p>
        </w:tc>
      </w:tr>
      <w:tr>
        <w:trPr>
          <w:trHeight w:val="230"/>
        </w:trPr>
        <w:tc>
          <w:tcPr>
            <w:tcW w:w="2420" w:type="dxa"/>
            <w:vAlign w:val="bottom"/>
            <w:shd w:val="clear" w:color="auto" w:fill="CFF0FC"/>
          </w:tcPr>
          <w:p>
            <w:pPr>
              <w:spacing w:after="0"/>
              <w:rPr>
                <w:sz w:val="19"/>
                <w:szCs w:val="19"/>
                <w:color w:val="auto"/>
              </w:rPr>
            </w:pPr>
          </w:p>
        </w:tc>
        <w:tc>
          <w:tcPr>
            <w:tcW w:w="322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178,714</w:t>
            </w:r>
          </w:p>
        </w:tc>
        <w:tc>
          <w:tcPr>
            <w:tcW w:w="20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44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3 years</w:t>
            </w: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22, 2021 (1)</w:t>
            </w:r>
          </w:p>
        </w:tc>
        <w:tc>
          <w:tcPr>
            <w:tcW w:w="3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(6</w:t>
            </w:r>
          </w:p>
        </w:tc>
        <w:tc>
          <w:tcPr>
            <w:tcW w:w="1480" w:type="dxa"/>
            <w:vAlign w:val="bottom"/>
          </w:tcPr>
          <w:p>
            <w:pPr>
              <w:spacing w:after="0"/>
              <w:rPr>
                <w:sz w:val="17"/>
                <w:szCs w:val="17"/>
                <w:color w:val="auto"/>
              </w:rPr>
            </w:pPr>
          </w:p>
        </w:tc>
      </w:tr>
      <w:tr>
        <w:trPr>
          <w:trHeight w:val="220"/>
        </w:trPr>
        <w:tc>
          <w:tcPr>
            <w:tcW w:w="2420" w:type="dxa"/>
            <w:vAlign w:val="bottom"/>
          </w:tcPr>
          <w:p>
            <w:pPr>
              <w:spacing w:after="0"/>
              <w:rPr>
                <w:sz w:val="19"/>
                <w:szCs w:val="19"/>
                <w:color w:val="auto"/>
              </w:rPr>
            </w:pPr>
          </w:p>
        </w:tc>
        <w:tc>
          <w:tcPr>
            <w:tcW w:w="3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122,476</w:t>
            </w:r>
          </w:p>
        </w:tc>
        <w:tc>
          <w:tcPr>
            <w:tcW w:w="204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4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3 years</w:t>
            </w:r>
          </w:p>
        </w:tc>
      </w:tr>
      <w:tr>
        <w:trPr>
          <w:trHeight w:val="21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32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(7</w:t>
            </w:r>
          </w:p>
        </w:tc>
        <w:tc>
          <w:tcPr>
            <w:tcW w:w="1480" w:type="dxa"/>
            <w:vAlign w:val="bottom"/>
            <w:shd w:val="clear" w:color="auto" w:fill="CFF0FC"/>
          </w:tcPr>
          <w:p>
            <w:pPr>
              <w:spacing w:after="0"/>
              <w:rPr>
                <w:sz w:val="18"/>
                <w:szCs w:val="18"/>
                <w:color w:val="auto"/>
              </w:rPr>
            </w:pPr>
          </w:p>
        </w:tc>
      </w:tr>
      <w:tr>
        <w:trPr>
          <w:trHeight w:val="263"/>
        </w:trPr>
        <w:tc>
          <w:tcPr>
            <w:tcW w:w="2420" w:type="dxa"/>
            <w:vAlign w:val="bottom"/>
            <w:tcBorders>
              <w:bottom w:val="single" w:sz="8" w:color="auto"/>
            </w:tcBorders>
            <w:shd w:val="clear" w:color="auto" w:fill="CFF0FC"/>
          </w:tcPr>
          <w:p>
            <w:pPr>
              <w:spacing w:after="0"/>
              <w:rPr>
                <w:sz w:val="22"/>
                <w:szCs w:val="22"/>
                <w:color w:val="auto"/>
              </w:rPr>
            </w:pPr>
          </w:p>
        </w:tc>
        <w:tc>
          <w:tcPr>
            <w:tcW w:w="322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20,500</w:t>
            </w:r>
          </w:p>
        </w:tc>
        <w:tc>
          <w:tcPr>
            <w:tcW w:w="2040" w:type="dxa"/>
            <w:vAlign w:val="bottom"/>
            <w:tcBorders>
              <w:bottom w:val="single" w:sz="8" w:color="auto"/>
            </w:tcBorders>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440" w:type="dxa"/>
            <w:vAlign w:val="bottom"/>
            <w:tcBorders>
              <w:bottom w:val="single" w:sz="8" w:color="auto"/>
            </w:tcBorders>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9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75" w:lineRule="exact"/>
        <w:rPr>
          <w:rFonts w:ascii="Times New Roman" w:cs="Times New Roman" w:eastAsia="Times New Roman" w:hAnsi="Times New Roman"/>
          <w:sz w:val="20"/>
          <w:szCs w:val="20"/>
          <w:color w:val="auto"/>
        </w:rPr>
      </w:pPr>
    </w:p>
    <w:p>
      <w:pPr>
        <w:ind w:left="380" w:right="60" w:hanging="372"/>
        <w:spacing w:after="0" w:line="269" w:lineRule="auto"/>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80" w:right="60" w:hanging="372"/>
        <w:spacing w:after="0" w:line="254" w:lineRule="auto"/>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October 30, 2022.</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2" w:right="279" w:bottom="915" w:gutter="0" w:footer="0" w:header="0"/>
        </w:sectPr>
      </w:pPr>
    </w:p>
    <w:bookmarkStart w:id="26" w:name="page27"/>
    <w:bookmarkEnd w:id="26"/>
    <w:p>
      <w:pPr>
        <w:jc w:val="both"/>
        <w:ind w:left="380" w:hanging="372"/>
        <w:spacing w:after="0" w:line="249" w:lineRule="auto"/>
        <w:tabs>
          <w:tab w:leader="none" w:pos="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3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performance-based restricted stock units that vested during the six-month periods ending October 30, 2022, and October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left="2179"/>
              <w:spacing w:after="0"/>
              <w:rPr>
                <w:sz w:val="20"/>
                <w:szCs w:val="20"/>
                <w:color w:val="auto"/>
              </w:rPr>
            </w:pPr>
            <w:r>
              <w:rPr>
                <w:rFonts w:ascii="Times New Roman" w:cs="Times New Roman" w:eastAsia="Times New Roman" w:hAnsi="Times New Roman"/>
                <w:sz w:val="16"/>
                <w:szCs w:val="16"/>
                <w:color w:val="auto"/>
              </w:rPr>
              <w:t>Performance-Based</w:t>
            </w:r>
          </w:p>
        </w:tc>
        <w:tc>
          <w:tcPr>
            <w:tcW w:w="6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6"/>
              </w:rPr>
              <w:t>(4)</w:t>
            </w:r>
          </w:p>
        </w:tc>
      </w:tr>
      <w:tr>
        <w:trPr>
          <w:trHeight w:val="229"/>
        </w:trPr>
        <w:tc>
          <w:tcPr>
            <w:tcW w:w="3320" w:type="dxa"/>
            <w:vAlign w:val="bottom"/>
          </w:tcPr>
          <w:p>
            <w:pPr>
              <w:spacing w:after="0"/>
              <w:rPr>
                <w:sz w:val="19"/>
                <w:szCs w:val="19"/>
                <w:color w:val="auto"/>
              </w:rPr>
            </w:pPr>
          </w:p>
        </w:tc>
        <w:tc>
          <w:tcPr>
            <w:tcW w:w="3660" w:type="dxa"/>
            <w:vAlign w:val="bottom"/>
          </w:tcPr>
          <w:p>
            <w:pPr>
              <w:jc w:val="center"/>
              <w:ind w:left="2159"/>
              <w:spacing w:after="0"/>
              <w:rPr>
                <w:sz w:val="20"/>
                <w:szCs w:val="20"/>
                <w:color w:val="auto"/>
              </w:rPr>
            </w:pPr>
            <w:r>
              <w:rPr>
                <w:rFonts w:ascii="Times New Roman" w:cs="Times New Roman" w:eastAsia="Times New Roman" w:hAnsi="Times New Roman"/>
                <w:sz w:val="16"/>
                <w:szCs w:val="16"/>
                <w:color w:val="auto"/>
              </w:rPr>
              <w:t>Restricted Stock</w:t>
            </w:r>
          </w:p>
        </w:tc>
        <w:tc>
          <w:tcPr>
            <w:tcW w:w="600" w:type="dxa"/>
            <w:vAlign w:val="bottom"/>
          </w:tcPr>
          <w:p>
            <w:pPr>
              <w:spacing w:after="0"/>
              <w:rPr>
                <w:sz w:val="19"/>
                <w:szCs w:val="19"/>
                <w:color w:val="auto"/>
              </w:rPr>
            </w:pP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Price</w:t>
            </w:r>
          </w:p>
        </w:tc>
      </w:tr>
      <w:tr>
        <w:trPr>
          <w:trHeight w:val="24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660" w:type="dxa"/>
            <w:vAlign w:val="bottom"/>
            <w:tcBorders>
              <w:bottom w:val="single" w:sz="8" w:color="auto"/>
            </w:tcBorders>
          </w:tcPr>
          <w:p>
            <w:pPr>
              <w:jc w:val="center"/>
              <w:ind w:left="2159"/>
              <w:spacing w:after="0"/>
              <w:rPr>
                <w:sz w:val="20"/>
                <w:szCs w:val="20"/>
                <w:color w:val="auto"/>
              </w:rPr>
            </w:pPr>
            <w:r>
              <w:rPr>
                <w:rFonts w:ascii="Times New Roman" w:cs="Times New Roman" w:eastAsia="Times New Roman" w:hAnsi="Times New Roman"/>
                <w:sz w:val="16"/>
                <w:szCs w:val="16"/>
                <w:color w:val="auto"/>
                <w:w w:val="98"/>
              </w:rPr>
              <w:t>Units Vested</w:t>
            </w:r>
          </w:p>
        </w:tc>
        <w:tc>
          <w:tcPr>
            <w:tcW w:w="6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Fair Value</w:t>
            </w:r>
          </w:p>
        </w:tc>
        <w:tc>
          <w:tcPr>
            <w:tcW w:w="5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Per Share</w:t>
            </w:r>
          </w:p>
        </w:tc>
      </w:tr>
      <w:tr>
        <w:trPr>
          <w:trHeight w:val="23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36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545</w:t>
            </w:r>
          </w:p>
        </w:tc>
        <w:tc>
          <w:tcPr>
            <w:tcW w:w="152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366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437</w:t>
            </w:r>
          </w:p>
        </w:tc>
        <w:tc>
          <w:tcPr>
            <w:tcW w:w="15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39"/>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2022 (1)</w:t>
            </w:r>
          </w:p>
        </w:tc>
        <w:tc>
          <w:tcPr>
            <w:tcW w:w="36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5,051</w:t>
            </w:r>
          </w:p>
        </w:tc>
        <w:tc>
          <w:tcPr>
            <w:tcW w:w="152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2022 (2)</w:t>
            </w:r>
          </w:p>
        </w:tc>
        <w:tc>
          <w:tcPr>
            <w:tcW w:w="3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5,812</w:t>
            </w:r>
          </w:p>
        </w:tc>
        <w:tc>
          <w:tcPr>
            <w:tcW w:w="152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senior executives.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key employees.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recorded compensation expense of $2,000 and $109,000 within selling, general, and administrative expenses for the six-month periods ending October 30, 2022, and October 31, 2021,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and key members of management that were unvested as of October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rPr>
              <w:t>Time-Based</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229"/>
        </w:trPr>
        <w:tc>
          <w:tcPr>
            <w:tcW w:w="3520" w:type="dxa"/>
            <w:vAlign w:val="bottom"/>
          </w:tcPr>
          <w:p>
            <w:pPr>
              <w:spacing w:after="0"/>
              <w:rPr>
                <w:sz w:val="19"/>
                <w:szCs w:val="19"/>
                <w:color w:val="auto"/>
              </w:rPr>
            </w:pPr>
          </w:p>
        </w:tc>
        <w:tc>
          <w:tcPr>
            <w:tcW w:w="366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660" w:type="dxa"/>
            <w:vAlign w:val="bottom"/>
            <w:tcBorders>
              <w:bottom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w w:val="98"/>
              </w:rPr>
              <w:t>Units Awarded</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3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w:t>
            </w:r>
          </w:p>
        </w:tc>
        <w:tc>
          <w:tcPr>
            <w:tcW w:w="3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37,671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to 3 years</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82,016</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3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w:t>
            </w:r>
          </w:p>
        </w:tc>
        <w:tc>
          <w:tcPr>
            <w:tcW w:w="3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37,591</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6, 2020</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129,095</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3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2, 2018</w:t>
            </w:r>
          </w:p>
        </w:tc>
        <w:tc>
          <w:tcPr>
            <w:tcW w:w="3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Borders>
              <w:bottom w:val="single" w:sz="8" w:color="CFF0FC"/>
            </w:tcBorders>
            <w:shd w:val="clear" w:color="auto" w:fill="CFF0FC"/>
          </w:tcPr>
          <w:p>
            <w:pPr>
              <w:spacing w:after="0"/>
              <w:rPr>
                <w:sz w:val="23"/>
                <w:szCs w:val="23"/>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Price per share represents closing price of common stock on the date the respective award was granted.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related to our time-based restricted stock units that vested during the six-month periods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30,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8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jc w:val="center"/>
              <w:ind w:left="2179"/>
              <w:spacing w:after="0"/>
              <w:rPr>
                <w:sz w:val="20"/>
                <w:szCs w:val="20"/>
                <w:color w:val="auto"/>
              </w:rPr>
            </w:pPr>
            <w:r>
              <w:rPr>
                <w:rFonts w:ascii="Times New Roman" w:cs="Times New Roman" w:eastAsia="Times New Roman" w:hAnsi="Times New Roman"/>
                <w:sz w:val="16"/>
                <w:szCs w:val="16"/>
                <w:color w:val="auto"/>
                <w:w w:val="99"/>
              </w:rPr>
              <w:t>Time-Based</w:t>
            </w:r>
          </w:p>
        </w:tc>
        <w:tc>
          <w:tcPr>
            <w:tcW w:w="6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6"/>
              </w:rPr>
              <w:t>(4)</w:t>
            </w:r>
          </w:p>
        </w:tc>
      </w:tr>
      <w:tr>
        <w:trPr>
          <w:trHeight w:val="229"/>
        </w:trPr>
        <w:tc>
          <w:tcPr>
            <w:tcW w:w="3280" w:type="dxa"/>
            <w:vAlign w:val="bottom"/>
          </w:tcPr>
          <w:p>
            <w:pPr>
              <w:spacing w:after="0"/>
              <w:rPr>
                <w:sz w:val="19"/>
                <w:szCs w:val="19"/>
                <w:color w:val="auto"/>
              </w:rPr>
            </w:pPr>
          </w:p>
        </w:tc>
        <w:tc>
          <w:tcPr>
            <w:tcW w:w="3400" w:type="dxa"/>
            <w:vAlign w:val="bottom"/>
          </w:tcPr>
          <w:p>
            <w:pPr>
              <w:jc w:val="center"/>
              <w:ind w:left="2179"/>
              <w:spacing w:after="0"/>
              <w:rPr>
                <w:sz w:val="20"/>
                <w:szCs w:val="20"/>
                <w:color w:val="auto"/>
              </w:rPr>
            </w:pPr>
            <w:r>
              <w:rPr>
                <w:rFonts w:ascii="Times New Roman" w:cs="Times New Roman" w:eastAsia="Times New Roman" w:hAnsi="Times New Roman"/>
                <w:sz w:val="16"/>
                <w:szCs w:val="16"/>
                <w:color w:val="auto"/>
              </w:rPr>
              <w:t>Restricted Stock</w:t>
            </w:r>
          </w:p>
        </w:tc>
        <w:tc>
          <w:tcPr>
            <w:tcW w:w="640" w:type="dxa"/>
            <w:vAlign w:val="bottom"/>
          </w:tcPr>
          <w:p>
            <w:pPr>
              <w:spacing w:after="0"/>
              <w:rPr>
                <w:sz w:val="19"/>
                <w:szCs w:val="19"/>
                <w:color w:val="auto"/>
              </w:rPr>
            </w:pP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Price</w:t>
            </w:r>
          </w:p>
        </w:tc>
      </w:tr>
      <w:tr>
        <w:trPr>
          <w:trHeight w:val="24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400" w:type="dxa"/>
            <w:vAlign w:val="bottom"/>
            <w:tcBorders>
              <w:bottom w:val="single" w:sz="8" w:color="auto"/>
            </w:tcBorders>
          </w:tcPr>
          <w:p>
            <w:pPr>
              <w:jc w:val="center"/>
              <w:ind w:left="2179"/>
              <w:spacing w:after="0"/>
              <w:rPr>
                <w:sz w:val="20"/>
                <w:szCs w:val="20"/>
                <w:color w:val="auto"/>
              </w:rPr>
            </w:pPr>
            <w:r>
              <w:rPr>
                <w:rFonts w:ascii="Times New Roman" w:cs="Times New Roman" w:eastAsia="Times New Roman" w:hAnsi="Times New Roman"/>
                <w:sz w:val="16"/>
                <w:szCs w:val="16"/>
                <w:color w:val="auto"/>
                <w:w w:val="98"/>
              </w:rPr>
              <w:t>Units Vested</w:t>
            </w:r>
          </w:p>
        </w:tc>
        <w:tc>
          <w:tcPr>
            <w:tcW w:w="6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Fair Value</w:t>
            </w:r>
          </w:p>
        </w:tc>
        <w:tc>
          <w:tcPr>
            <w:tcW w:w="5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Per Share</w:t>
            </w:r>
          </w:p>
        </w:tc>
      </w:tr>
      <w:tr>
        <w:trPr>
          <w:trHeight w:val="23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34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19,786</w:t>
            </w:r>
          </w:p>
        </w:tc>
        <w:tc>
          <w:tcPr>
            <w:tcW w:w="152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5.10</w:t>
            </w:r>
          </w:p>
        </w:tc>
      </w:tr>
      <w:tr>
        <w:trPr>
          <w:trHeight w:val="22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3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13,013</w:t>
            </w:r>
          </w:p>
        </w:tc>
        <w:tc>
          <w:tcPr>
            <w:tcW w:w="152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Time-based restricted stock units vested by senior executives.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969" w:gutter="0" w:footer="0" w:header="0"/>
        </w:sectPr>
      </w:pPr>
    </w:p>
    <w:bookmarkStart w:id="27" w:name="page28"/>
    <w:bookmarkEnd w:id="27"/>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vested by key employees.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per share is derived from the closing price of our common stock on the date the respective time-based restricted stock units vested.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$396,000 and $446,000 within selling, general, and administrative expenses associated with our time-based restricted stock unit awards for the six-month periods ending October 30, 2022, and October 31, 2021, respectively.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30, 2022, the remaining unrecognized compensation expense related to our time-based restricted stock units was $1.3 million, which is expected to be recognized over a weighted average vesting period of 1.9 years. As of October 30, 2022, the time-based restricted stock units that are expected to vest had a fair value totaling $1.5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Awards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18,326 and 19,753 shares of common stock to our outside directors on October 3, 2022 and July 1, 2022, respectively. These shares of common stock vested immediately and were measured at their fair value on the date of grant. The fair value of these awards was $4.57 and $4.24 per share on October 3, 2022 and July 1, 2022, respectively, which represents the closing price of our common stock on the date of grant.</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6,426 and 4,312 shares of common stock to our outside directors on October 1, 2021 and July 1, 2021, respectively. These shares of common stock vested immediately and were measured at their fair value on the date of grant. The fair value of these awards was $13.03 and $16.24 per share on October 1, 2021 and July 1, 2021, respectively, which represents the closing price of our common stock on the date of grant.</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$167,000 and $154,000 of compensation expense within selling, general, and administrative expenses for common stock awards to our outside directors for the six-month periods ending October 30, 2022, and October 31, 2021,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nine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October 30, 2022, October 31, 2021, and May 1,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October 30,</w:t>
            </w:r>
          </w:p>
        </w:tc>
        <w:tc>
          <w:tcPr>
            <w:tcW w:w="400" w:type="dxa"/>
            <w:vAlign w:val="bottom"/>
          </w:tcPr>
          <w:p>
            <w:pPr>
              <w:spacing w:after="0"/>
              <w:rPr>
                <w:sz w:val="17"/>
                <w:szCs w:val="17"/>
                <w:color w:val="auto"/>
              </w:rPr>
            </w:pP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w w:val="97"/>
              </w:rPr>
              <w:t>October 31,</w:t>
            </w:r>
          </w:p>
        </w:tc>
        <w:tc>
          <w:tcPr>
            <w:tcW w:w="360" w:type="dxa"/>
            <w:vAlign w:val="bottom"/>
          </w:tcPr>
          <w:p>
            <w:pPr>
              <w:spacing w:after="0"/>
              <w:rPr>
                <w:sz w:val="17"/>
                <w:szCs w:val="17"/>
                <w:color w:val="auto"/>
              </w:rPr>
            </w:pP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11,609</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13,649</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15,577</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2,655</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3,219</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4,194</w:t>
            </w:r>
          </w:p>
        </w:tc>
        <w:tc>
          <w:tcPr>
            <w:tcW w:w="4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0" w:type="dxa"/>
            <w:vAlign w:val="bottom"/>
          </w:tcPr>
          <w:p>
            <w:pPr>
              <w:spacing w:after="0"/>
              <w:rPr>
                <w:sz w:val="1"/>
                <w:szCs w:val="1"/>
                <w:color w:val="auto"/>
              </w:rPr>
            </w:pPr>
          </w:p>
        </w:tc>
      </w:tr>
      <w:tr>
        <w:trPr>
          <w:trHeight w:val="452"/>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rPr>
              <w:t>Six Months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w w:val="99"/>
              </w:rPr>
              <w:t>Six Months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8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auto"/>
              </w:rPr>
              <w:t>Ended</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279"/>
              <w:spacing w:after="0"/>
              <w:rPr>
                <w:sz w:val="20"/>
                <w:szCs w:val="20"/>
                <w:color w:val="auto"/>
              </w:rPr>
            </w:pPr>
            <w:r>
              <w:rPr>
                <w:rFonts w:ascii="Times New Roman" w:cs="Times New Roman" w:eastAsia="Times New Roman" w:hAnsi="Times New Roman"/>
                <w:sz w:val="16"/>
                <w:szCs w:val="16"/>
                <w:color w:val="auto"/>
              </w:rPr>
              <w:t>October 30, 2022</w:t>
            </w: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October 31, 2021</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5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October 30, 2022, and October 31, 2021, was $959,000 and $905,000, respectively. Operating lease expense for the six-month periods ended October 30, 2022, and October 31, 2021, was $2.0 million and $1.8 million, respectively. Short-term lease and variable lease expenses were immaterial for the three-month and six-month periods ended October 30, 2022, and October 31,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2023,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3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1,377</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2,575</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1,578</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1,028</w:t>
            </w:r>
          </w:p>
        </w:tc>
      </w:tr>
      <w:tr>
        <w:trPr>
          <w:trHeight w:val="229"/>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7,190</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6,849</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top w:val="single" w:sz="8" w:color="auto"/>
              <w:bottom w:val="single" w:sz="8" w:color="auto"/>
            </w:tcBorders>
          </w:tcPr>
          <w:p>
            <w:pPr>
              <w:spacing w:after="0"/>
              <w:rPr>
                <w:sz w:val="20"/>
                <w:szCs w:val="20"/>
                <w:color w:val="auto"/>
              </w:rPr>
            </w:pPr>
          </w:p>
        </w:tc>
        <w:tc>
          <w:tcPr>
            <w:tcW w:w="5500" w:type="dxa"/>
            <w:vAlign w:val="bottom"/>
            <w:tcBorders>
              <w:top w:val="single" w:sz="8" w:color="auto"/>
              <w:bottom w:val="single" w:sz="8" w:color="auto"/>
            </w:tcBorders>
          </w:tcPr>
          <w:p>
            <w:pPr>
              <w:ind w:left="3700"/>
              <w:spacing w:after="0"/>
              <w:rPr>
                <w:sz w:val="20"/>
                <w:szCs w:val="20"/>
                <w:color w:val="auto"/>
              </w:rPr>
            </w:pPr>
            <w:r>
              <w:rPr>
                <w:rFonts w:ascii="Times New Roman" w:cs="Times New Roman" w:eastAsia="Times New Roman" w:hAnsi="Times New Roman"/>
                <w:sz w:val="16"/>
                <w:szCs w:val="16"/>
                <w:color w:val="auto"/>
              </w:rPr>
              <w:t>October 30, 2022</w:t>
            </w:r>
          </w:p>
        </w:tc>
        <w:tc>
          <w:tcPr>
            <w:tcW w:w="40" w:type="dxa"/>
            <w:vAlign w:val="bottom"/>
          </w:tcPr>
          <w:p>
            <w:pPr>
              <w:spacing w:after="0"/>
              <w:rPr>
                <w:sz w:val="20"/>
                <w:szCs w:val="20"/>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5500" w:type="dxa"/>
            <w:vAlign w:val="bottom"/>
            <w:shd w:val="clear" w:color="auto" w:fill="CFF0FC"/>
          </w:tcPr>
          <w:p>
            <w:pPr>
              <w:ind w:left="4800"/>
              <w:spacing w:after="0"/>
              <w:rPr>
                <w:sz w:val="20"/>
                <w:szCs w:val="20"/>
                <w:color w:val="auto"/>
              </w:rPr>
            </w:pPr>
            <w:r>
              <w:rPr>
                <w:rFonts w:ascii="Times New Roman" w:cs="Times New Roman" w:eastAsia="Times New Roman" w:hAnsi="Times New Roman"/>
                <w:sz w:val="16"/>
                <w:szCs w:val="16"/>
                <w:color w:val="auto"/>
              </w:rPr>
              <w:t>4.0 years</w:t>
            </w:r>
          </w:p>
        </w:tc>
        <w:tc>
          <w:tcPr>
            <w:tcW w:w="40" w:type="dxa"/>
            <w:vAlign w:val="bottom"/>
          </w:tcPr>
          <w:p>
            <w:pPr>
              <w:spacing w:after="0"/>
              <w:rPr>
                <w:sz w:val="19"/>
                <w:szCs w:val="19"/>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23"/>
        </w:trPr>
        <w:tc>
          <w:tcPr>
            <w:tcW w:w="5740" w:type="dxa"/>
            <w:vAlign w:val="bottom"/>
            <w:shd w:val="clear" w:color="auto" w:fill="000000"/>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w:t>
      </w:r>
    </w:p>
    <w:p>
      <w:pPr>
        <w:spacing w:after="0" w:line="17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See section titled "Impairment" located at Note 6 to the notes to the consolidated financial statements for further details of our assessment and conclusions reached regarding impairment of long-lived assets associated with our mattress fabrics segment that included property, plant, and equipment, right of use assets, and finite-lived intangible assets (i.e., customer relationships and non-compete agreement) that are classified as held and used.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As of October 30, 2022, October 31, 2021, and May 1, 2022, we had total amounts due regarding capital expenditures totaling $200,000, $176,000, and $473,000, respectively, which pertained to outstanding vendor invoices, none of which were financed.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we had open purchase commitments to acquire equipment for our mattress fabrics segment totaling $444,000.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Statutory Reserves</w:t>
      </w:r>
    </w:p>
    <w:p>
      <w:pPr>
        <w:spacing w:after="0" w:line="179"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October 30, 2022,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October 30, 2022, the company’s statutory surplus reserve was $4.0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58"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88"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18.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half of fiscal 2023, we did not repurchase any shares of our common stock. During the first half of fiscal 2022, we repurchased 121,688 shares of our common stock at a cost of $1.8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we had $3.2 million available for additional repurchases of our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Dividend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first half of fiscal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half of fiscal 2022, dividend payments totaled $2.7 million, which represented a quarterly dividend payment of $0.11 per share.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or meet our guidance, or that these beliefs will prove correct.</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six months ended October 30, 2022, and October 31, 2021, both represent 26-week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We currently have mattress fabric operations located in Stokesdale, NC, High Point, NC, Quebec, Canada, and Ouanaminthe, Haiti. During the second quarter of fiscal 2023, we took action to begin implementing a rationalization of our U.S.-based mattress fabrics cut and sew platform, which will include a closure of our two High Point, NC, facilities associated with this business during the third quarter of fiscal 2023.</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leased facility in Ouanaminthe, Haiti, dedicated to the production of cut and sewn upholstery kits. Additionally, Read Window Products, LLC (“Read”), a wholly-owned subsidiary with operations located in Knoxville, TN,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5"/>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October 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October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58,381</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74,561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(2,213 )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(120.6)%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14.4 %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(1820)bp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(11,931 )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(20.4 )%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(2260)bp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(11,023 )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(12,173 )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432"/>
        </w:trPr>
        <w:tc>
          <w:tcPr>
            <w:tcW w:w="490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40" w:type="dxa"/>
            <w:vAlign w:val="bottom"/>
            <w:gridSpan w:val="5"/>
          </w:tcPr>
          <w:p>
            <w:pPr>
              <w:jc w:val="right"/>
              <w:ind w:right="7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October 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October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157,608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(23.2)%</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(91.8)%</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14.7 %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(1310)bp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(16,669 )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(13.8 )%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(1690)bp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(15,826 )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(17,872 )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net sales for the second quarter of fiscal 2023 decreased by 21.7% compared with the same period a year ago, with mattress fabrics sales decreasing 35.8% and upholstery fabrics sales decreasing 4.5%. Our net sales for the first half of fiscal 2023 decreased by 23.2% compared with the same period a year ago, with mattress fabrics sales decreasing 33.8% and upholstery fabrics sales decreasing 11.2%.</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net sales in our mattress fabrics segment for both the second quarter and the first half of fiscal 2023 reflects an ongoing slowdown in consumer demand in the domestic mattress industry. The impact of this industry softness has been exacerbated by mattress manufacturers and retailers continuing to work through an excess of inventory, delaying the timing of shipments and new product rollouts. The decrease in net sales during both periods was partially offset by certain pricing and surcharge actions in effect that were not in effect during the same periods a year ago. These pricing actions increased net sales for the division by approximately 0.7% during the second quarter and by approximately 1.4% during the first half of fiscal 2023.</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net sales for our upholstery fabrics segment for both the second quarter and the first half of fiscal 2023 reflects reduced demand for our residential upholstery fabrics products, driven by a slowdown in new retail business in the residential home furnishings industry. The decrease in net sales during both periods was partially offset by higher sales in our hospitality/contract fabric business, as compared to the prior-year periods, as well as certain pricing and surcharge actions in effect that were not in effect during the same periods a year ago. These pricing actions increased net sales for the division by approximately 3.0% during the second quarter and by approximately 3.6% during the first half of fiscal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Before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second quarter of fiscal 2023 was $(11.0) million, compared with income before income taxes of $1.3 million for the prior-year period, while our loss before income taxes for the first six months of fiscal 2023 was $(15.8) million, compared with income before income taxes of $4.5 million for the prior-year period.</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Operating performance for the second quarter of fiscal 2023, as compared to the prior-year period, was primarily affected by lower sales; impairment charges due to the write down of inventory to its net realizable value and inventory closeout sales for our mattress fabrics segment; markdowns of inventory due to our aged inventory policy for both our mattress fabrics and upholstery fabrics segment; and restructuring and related charges associated with our upholstery fabrics segment. Operating performance for the first half of fiscal 2023 was also materially pressured by the same factors, as well as continued inflationary pressures; labor challenges within both our mattress fabrics business and our Read business that resulted in increased employee training costs and operating inefficiencies, including quality issues within our mattress fabrics segment; and additional costs and operating inefficiencies associated with our new upholstery fabrics cut and sew facility in Haiti. These pressures were partially offset by slightly lower total SG&amp;A expense for the six-month period, due primarily to lower incentive compensation expense during the first quarter of fiscal 2023, as well as a more favorable foreign exchange rate associated with our upholstery fabric operations in China.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$2.0 million, or (12.9%) of loss before income taxes, for the six-month period ended October 30, 2022, compared with income tax expense of $1.3 million, or 30.3% of income before income taxes, for the six-month period ended October 31, 2021.</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half of fiscal 2023 was much more negatively affected by the mix of earnings between our U.S. operations and foreign subsidiaries, as compared to the first half of fiscal 2022. During the first half of fiscal 2023, we incurred a significant pre-tax loss from our U.S. operations, and therefore, a significant income tax benefit was not recognized due to a full valuation allowance being applied against our U.S. net deferred income tax assets. In addition, all of our taxable income in the first half of fiscal 2023 was earned by our foreign operations located in China and Canada, which have higher income tax rates than the U.S. In comparison, as of the end of the second quarter of fiscal 2022, our U.S. operations were projected to earn a level of pre-tax income that did not have a significant effect on our full valuation allowance or our consolidated effective income tax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13 of the consolidated financial statements for further details regarding our provision for income taxes.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30, 2022, our cash and cash equivalents (collectively, “cash”) totaled $19.1 million, an increase of $4.5 million, compared with $14.6 million as of May 1, 2022. This increase was primarily due to (i) $6.2 million in net cash provided by operating activities, partially offset by (ii) capital expenditures totaling $1.1 million</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net cash provided by operating activities was $6.2 million during the first half of fiscal 2023, an increase of $7.5 million compared with net cash used in operating activities of $(1.3) million during the first half of fiscal 2022. This trend primarily reflects (i) a reduction of inventory related to the significant decline in net sales, improved alignment of inventory purchases with current customer demand trends, and promotional programs to reduce aged raw materials and finished goods inventory; (ii) an increase in accounts payable that primarily related to our upholstery fabrics operations located in China, as the mandated COVID-19 related shutdowns were lifted during the first quarter of fiscal 2023; and (iii) annual incentive payments made during the first quarter of fiscal 2022 that did not recur during the first quarter of fiscal 2023, partially offset by (iv) a decrease in net cash earnings during the first half of fiscal 2023 as compared with the first half of fiscal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there were no outstanding borrowings under our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Program</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the first half of fiscal 2023.</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first half of fiscal 2022, dividend payments totaled $2.7 million, which represented a quarterly cash dividend payment of $0.11 per share.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 requirements, financial condition, excess availability under our lines of credit, market and economic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 Repurchases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half of fiscal 2023, we did not purchase any shares of our common stock. As a result, as of October 30, 2022, $3.2 million is available for additional repurchases of our common stock. Despite the current share repurchase authorization, the company does not expect to repurchase any shares through at least the third quarter of fiscal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half of fiscal 2022, we repurchased 121,688 shares of common stock at a cost of $1.8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October 30,</w:t>
            </w:r>
          </w:p>
        </w:tc>
        <w:tc>
          <w:tcPr>
            <w:tcW w:w="20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October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(35.8)%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(6,057 )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(198.6)%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2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(23.1 )%</w:t>
            </w: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15.0 %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(3810)bp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(9,002 )</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(386.8)%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(34.3 )%</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7.7 %</w:t>
            </w: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(4200)bp</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October 30,</w:t>
            </w:r>
          </w:p>
        </w:tc>
        <w:tc>
          <w:tcPr>
            <w:tcW w:w="200" w:type="dxa"/>
            <w:vAlign w:val="bottom"/>
          </w:tcPr>
          <w:p>
            <w:pPr>
              <w:spacing w:after="0"/>
              <w:rPr>
                <w:sz w:val="19"/>
                <w:szCs w:val="19"/>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October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(33.8)%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(6,093 )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(147.1)%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(11.0 )%</w:t>
            </w: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15.4 %</w:t>
            </w: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(2640)bp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(11,922 )</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(276.6)%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(21.4 )%</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8.0 %</w:t>
            </w: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(2940)bp</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Mattress fabrics sales decreased 35.8% in the second quarter of fiscal 2023 compared to the prior-year period. Mattress fabrics sales decreased 33.8% in the first half of fiscal 2023 compared to the first half of fiscal 2022.</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decrease in mattress fabrics net sales for the second quarter and for the first six months of fiscal 2023 reflects an ongoing slowdown in consumer demand in the domestic mattress industry. We believe this slowdown is primarily due to inflationary pressures affecting consumer spending, as well as a shift in demand from home goods to travel, leisure, and entertainment following a pulling forward of demand for home goods during the early years of the COVID-19 pandemic. The impact of this industry softness has been exacerbated by mattress manufacturers and retailers continuing to work through an excess of inventory, delaying the timing of shipments and new product rollouts. The decrease in net sales during both periods was partially offset by certain pricing and surcharge actions in effect that were not in effect during the same periods a year ago. These pricing actions increased net sales for the division by approximately 0.7% during the second quarter and by approximately 1.4% during the first half of fiscal 2023.</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Despite the headwinds, we remained focused on inventory reductions and cash generation during the quarter. We continued to execute our product-driven strategy, with an emphasis on innovation, design creativity, and personalized customer service. Additionally, the strength and flexibility of our global manufacturing and sourcing operations in the U.S., Canada, Haiti, Asia, and Turkey continued to enable us to support the evolving needs of our mattress fabrics and cover customers during the period. We believe our market position remains solid, with strong new placements, although the timing for new product rollouts continues to be affected by customers working through their existing excess inventory.</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Looking ahead, we expect the current macroeconomic environment will continue to affect consumer spending trends for some time, resulting in ongoing industry softness that may reduce demand for our mattress fabrics and cover products and continue to delay the timing of new product rollouts. We expect these conditions are likely to pressure results through at least the fourth quarter of fiscal 2023. Additionally, the ongoing impacts of the COVID-19 pandemic, as well as Russia’s invasion of Ukraine, including its effect on petrochemical pricing and consumer spending, remain unknown and depend on factors beyond our knowledge or control. At this time, we cannot reasonably estimate the ongoing impact of the COVID-19 pandemic or the evolving impact of the Russia-Ukraine war on our mattress fabrics segment; however, either of these situations could cause disruption that could adversely affect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mattress fabrics profitability during the second quarter of fiscal 2023, as compared to the prior-year period, was primarily due to operating inefficiencies from lower sales volume; $2.9 million in impairment charges due to the write down of inventory to its net realizable value, $2.1 million in losses on the closeout sale of raw material and finished goods inventory, and $869,000 in markdowns of inventory due to our policy for aged inventory; and inefficiencies due to quality issues. The timing of the inventory impacts was mostly driven by our customers' focus on new product offerings to introduce at the retail level, as well as inflationary pressures, changes in consumer spending, and ongoing macro conditions.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Mattress fabrics profitability for the first half of fiscal 2023 was pressured by the same factors that affected the second quarter, as well as labor challenges, including inefficiencies due to hiring and training new employees; higher raw material costs; and an additional $499,000 in markdowns of inventory due to our policy for aged inventory during the first quarter, offset slightly by lower SG&amp;A due primarily to lower incentive compensation expense during the first quarter.</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implemented two targeted price increases on select product lines during the second quarter to help offset the continued rise in raw material costs. Based on demand trends for sewn mattress covers, we also began to implement a restructuring and rationalization of our U.S.-based cut and sewn cover platform during the quarter, initiating a move of our R&amp;D and prototyping capabilities from our High Point, North Carolina, location to our facility in Stokesdale, North Carolina. The result of this move is the discontinuation of our higher-cost on-shore production capabilities, with planned closures of our two leased facilities in High Point, North Carolina, during the third quarter of fiscal 2023. We believe this move will allow us to generate cost savings by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utilizing our lower-cost mattress cover production and sourcing capabilities in Haiti and Asia, where we can scale operations to align with demand and continue to support the needs of our customers.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expect the ongoing industry softness affecting sales volumes, as well as continued inflationary pressures, will affect profitability through at least the fourth quarter of fiscal 2023, although we believe these headwinds will be mitigated to some extent by our ongoing efforts to control internal costs and improve efficiencies. We will consider further adjustments to right-size and restructure our operations as necessary to align with current demand levels, as well as additional reasonable pricing actions as necessary to further mitigate and manage inflation.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138430</wp:posOffset>
            </wp:positionV>
            <wp:extent cx="186880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68805"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31, 2021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20"/>
                <w:szCs w:val="20"/>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10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39,028</w:t>
            </w:r>
          </w:p>
        </w:tc>
        <w:tc>
          <w:tcPr>
            <w:tcW w:w="10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40,673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38,731</w:t>
            </w:r>
          </w:p>
        </w:tc>
        <w:tc>
          <w:tcPr>
            <w:tcW w:w="100" w:type="dxa"/>
            <w:vAlign w:val="bottom"/>
            <w:shd w:val="clear" w:color="auto" w:fill="CFF0FC"/>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76,940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95,648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91,093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14"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12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of October 30, 2022, accounts receivable decreased by $7.9 million, or 47.7%, compared with October 31, 2021. This trend reflects the significant decrease in net sales during second quarter of fiscal 2023 compared with the second quarter of fiscal 2022, as described in the </w:t>
      </w:r>
      <w:r>
        <w:rPr>
          <w:rFonts w:ascii="Times New Roman" w:cs="Times New Roman" w:eastAsia="Times New Roman" w:hAnsi="Times New Roman"/>
          <w:sz w:val="20"/>
          <w:szCs w:val="20"/>
          <w:i w:val="1"/>
          <w:i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section above. In addition, we experienced faster cash collections with a significant customer during the second quarter of fiscal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with the second quarter of fiscal 2022, which led to a decline in days’ sales outstanding to 30 days for the second quarter of fiscal 2023, as compared with 37 days for the second quarter of fiscal 2022.</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30, 2022, accounts receivable decreased by $1.2 million, or 11.8%, compared with May 1, 2022. This trend reflects a decrease in net sales during the second quarter of fiscal 2023 compared with the fourth quarter of fiscal 2022. Net sales during the second quarter of fiscal 2023 was $26.2 million, a decrease of $3.6 million, or 11.9%, compared with net sales of $29.8 million during the fourth quarter of fiscal 2022. Days’ sales outstanding was 30 days for both the second quarter of fiscal 2023 and the fourth quarter of fiscal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of October 30, 2022, inventory decreased by $4.2 million, or 12.2%, compared with October 31, 2021. This trend reflects (i) the significant decrease in net sales during the second quarter of fiscal 2023 compared with the second quarter of fiscal 2022, as described in the </w:t>
      </w: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section above; (ii) a $3.8 million non-cash charge recorded during the second quarter of fiscal 2023, which includes $2.9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a write down of inventory to its net realizable value and $869,000 related to markdowns of inventory estimated based on our policy for aged inventory; and (iii) promotional programs to reduce aged raw materials and finished goods inventory; partially offset by (iv) higher raw material, labor, and overhead costs stemming from inflationary pressures.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30, 2022, inventory decreased by $8.7 million, or 22.4%, compared with May 1, 2022. This trend reflects a (i) the decrease in net sales during the second quarter of fiscal 2023 compared with the fourth quarter of fiscal 2022, as described above; (ii) a $4.2 million non-cash charge recorded in the first half of fiscal 2023, which includes $2.9 million related to a write down of inventory to its net realizable value and $1.3 million related to markdowns of inventory estimated based on our policy for aged inventory; and (iii) promotional programs to reduce aged raw materials and finished goods inventory; partially offset by (iv) higher raw material, labor, and overhead costs stemming from inflationary pressures.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3.9 for the second quarter of fiscal 2023, compared with 4.2 for the second quarter of fiscal 2022 and 2.9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$35.9 million as of October 30, 2022, represents property, plant, and equipment of $23.8 million, $11.4 million, and $679,000 located in the U.S., Canada, and Haiti, respectively. The $40.7 million as of October 31, 2021, represents property, plant, and equipment of $27.3 million, $12.6 million, and $836,000 located in the U.S., Canada, and Haiti, respectively. The $38.7 million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6" w:name="page37"/>
    <w:bookmarkEnd w:id="36"/>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as of May 1, 2022, represents property, plant, and equipment of $25.6 million, $12.4 million, and $757,000 located in the U.S., Canada, and Haiti, respectively.</w:t>
      </w:r>
    </w:p>
    <w:p>
      <w:pPr>
        <w:spacing w:after="0" w:line="120"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As of October 30, 2022, property, plant, and equipment has steadily decreased compared with October 31, 2021, as we have reduced our capital spending as a result of current and expected macroeconomic conditions.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$2.1 million as of October 30, 2022, represents right of use assets of $1.8 million, $167,000, and $164,000 located in Haiti, Canada, and the U.S., respectively. The $3.8 million as of October 31, 2021, represents right of use assets of $2.2 million, $1.3 million, and $309,000 located in Haiti, the U.S., and Canada, respectively. The $3.5 million as of May 1, 2022, represents right of use assets of $2.0 million, $1.2 million, and $291,000 located in Haiti, the U.S., and Canada, respectively.</w:t>
      </w:r>
    </w:p>
    <w:p>
      <w:pPr>
        <w:spacing w:after="0" w:line="139"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As of October 31, 2022, right of use assets have steadily decreased compared with October 31, 2021, due to rent expense recognized over the terms of the respective lease agreements, as well as the reduction in the terms for two lease agreements associated with the closure of our mattress cover operation located in High Point, NC, which are now set to expire during the third quarter of fiscal 2023. The reduction in the right of use assets associated with the expiration of these two leases agreements associated with our mattress cover operation was offset by a corresponding decrease to the related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80" w:type="dxa"/>
            <w:vAlign w:val="bottom"/>
            <w:gridSpan w:val="2"/>
          </w:tcPr>
          <w:p>
            <w:pPr>
              <w:jc w:val="center"/>
              <w:ind w:left="2479"/>
              <w:spacing w:after="0"/>
              <w:rPr>
                <w:sz w:val="20"/>
                <w:szCs w:val="20"/>
                <w:color w:val="auto"/>
              </w:rPr>
            </w:pPr>
            <w:r>
              <w:rPr>
                <w:rFonts w:ascii="Times New Roman" w:cs="Times New Roman" w:eastAsia="Times New Roman" w:hAnsi="Times New Roman"/>
                <w:sz w:val="16"/>
                <w:szCs w:val="16"/>
                <w:color w:val="auto"/>
              </w:rPr>
              <w:t>October 30,</w:t>
            </w:r>
          </w:p>
        </w:tc>
        <w:tc>
          <w:tcPr>
            <w:tcW w:w="120" w:type="dxa"/>
            <w:vAlign w:val="bottom"/>
          </w:tcPr>
          <w:p>
            <w:pPr>
              <w:spacing w:after="0"/>
              <w:rPr>
                <w:sz w:val="19"/>
                <w:szCs w:val="19"/>
                <w:color w:val="auto"/>
              </w:rPr>
            </w:pPr>
          </w:p>
        </w:tc>
        <w:tc>
          <w:tcPr>
            <w:tcW w:w="1420" w:type="dxa"/>
            <w:vAlign w:val="bottom"/>
            <w:gridSpan w:val="2"/>
          </w:tcPr>
          <w:p>
            <w:pPr>
              <w:jc w:val="center"/>
              <w:ind w:left="459"/>
              <w:spacing w:after="0"/>
              <w:rPr>
                <w:sz w:val="20"/>
                <w:szCs w:val="20"/>
                <w:color w:val="auto"/>
              </w:rPr>
            </w:pPr>
            <w:r>
              <w:rPr>
                <w:rFonts w:ascii="Times New Roman" w:cs="Times New Roman" w:eastAsia="Times New Roman" w:hAnsi="Times New Roman"/>
                <w:sz w:val="16"/>
                <w:szCs w:val="16"/>
                <w:color w:val="auto"/>
              </w:rPr>
              <w:t>October 31,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7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  $</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31,306</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93%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8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96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33,678</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432"/>
        </w:trPr>
        <w:tc>
          <w:tcPr>
            <w:tcW w:w="40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Six Months Ended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80" w:type="dxa"/>
            <w:vAlign w:val="bottom"/>
            <w:gridSpan w:val="2"/>
          </w:tcPr>
          <w:p>
            <w:pPr>
              <w:jc w:val="center"/>
              <w:ind w:left="2479"/>
              <w:spacing w:after="0"/>
              <w:rPr>
                <w:sz w:val="20"/>
                <w:szCs w:val="20"/>
                <w:color w:val="auto"/>
              </w:rPr>
            </w:pPr>
            <w:r>
              <w:rPr>
                <w:rFonts w:ascii="Times New Roman" w:cs="Times New Roman" w:eastAsia="Times New Roman" w:hAnsi="Times New Roman"/>
                <w:sz w:val="16"/>
                <w:szCs w:val="16"/>
                <w:color w:val="auto"/>
              </w:rPr>
              <w:t>October 30,</w:t>
            </w:r>
          </w:p>
        </w:tc>
        <w:tc>
          <w:tcPr>
            <w:tcW w:w="120" w:type="dxa"/>
            <w:vAlign w:val="bottom"/>
          </w:tcPr>
          <w:p>
            <w:pPr>
              <w:spacing w:after="0"/>
              <w:rPr>
                <w:sz w:val="19"/>
                <w:szCs w:val="19"/>
                <w:color w:val="auto"/>
              </w:rPr>
            </w:pPr>
          </w:p>
        </w:tc>
        <w:tc>
          <w:tcPr>
            <w:tcW w:w="1420" w:type="dxa"/>
            <w:vAlign w:val="bottom"/>
            <w:gridSpan w:val="2"/>
          </w:tcPr>
          <w:p>
            <w:pPr>
              <w:jc w:val="center"/>
              <w:ind w:left="459"/>
              <w:spacing w:after="0"/>
              <w:rPr>
                <w:sz w:val="20"/>
                <w:szCs w:val="20"/>
                <w:color w:val="auto"/>
              </w:rPr>
            </w:pPr>
            <w:r>
              <w:rPr>
                <w:rFonts w:ascii="Times New Roman" w:cs="Times New Roman" w:eastAsia="Times New Roman" w:hAnsi="Times New Roman"/>
                <w:sz w:val="16"/>
                <w:szCs w:val="16"/>
                <w:color w:val="auto"/>
              </w:rPr>
              <w:t>October 31,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7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  $</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69,528</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94%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8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96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73,667</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Upholstery fabrics sales decreased 4.5% in the second quarter of fiscal 2023 compared to the prior-year period, which was adversely affected by COVID-related shutdowns in Vietnam during the quarter. Upholstery fabrics sales decreased by 11.2% for the first half of fiscal 2023, as compared to the first half of fiscal 2022.</w:t>
      </w:r>
    </w:p>
    <w:p>
      <w:pPr>
        <w:spacing w:after="0" w:line="174"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The decrease in upholstery fabrics net sales for the second quarter and for the first half of fiscal 2023 reflects reduced demand for our residential upholstery fabrics products compared to the prior-year periods, driven by a slowdown in new retail business in the residential home furnishings industry. The decrease in net sales was partially offset by higher sales in both our hospitality/contract fabric business and our Read business, as compared to the prior-year periods, as well as pricing and surcharge actions in effect that were not in effect during the same periods a year ago. These actions increased net sales for the division by approximately 3.0% during the quarter and by approximately 3.6% during the first half of fiscal 2023.</w:t>
      </w:r>
    </w:p>
    <w:p>
      <w:pPr>
        <w:spacing w:after="0" w:line="144"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Looking ahead, we expect the slowdown in new retail business for the residential home furnishings industry may affect demand for our residential business for some period of time. Despite this challenge, we believe our business is well positioned for the long-term with our product-driven strategy and innovative product offerings, as well as our flexible Asian platform and our long-term supplier relationships.</w:t>
      </w:r>
    </w:p>
    <w:p>
      <w:pPr>
        <w:spacing w:after="0" w:line="147"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Notably, the ongoing economic and health effects of the COVID-19 pandemic, as well as the impact of Russia’s invasion of Ukraine, including its effect on petrochemical pricing and consumer spending, remain unknown and depend on factors beyond our control. At this time, we cannot reasonably estimate the impact on our upholstery fabrics segment, but we note that if conditions worsen in either of these situations, including additional COVID-19-related shutdowns of our China operations, the impact on our operations, and/or on our suppliers, customers, consumers, and the global economy, could adversely affect our financial performance.</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4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0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October 30,</w:t>
            </w:r>
          </w:p>
        </w:tc>
        <w:tc>
          <w:tcPr>
            <w:tcW w:w="174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October 31,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vMerge w:val="continue"/>
          </w:tcPr>
          <w:p>
            <w:pPr>
              <w:spacing w:after="0"/>
              <w:rPr>
                <w:sz w:val="19"/>
                <w:szCs w:val="19"/>
                <w:color w:val="auto"/>
              </w:rPr>
            </w:pPr>
          </w:p>
        </w:tc>
        <w:tc>
          <w:tcPr>
            <w:tcW w:w="3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(13.9)%</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12.3 %</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13.6 %</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(130)bp</w:t>
            </w:r>
          </w:p>
        </w:tc>
        <w:tc>
          <w:tcPr>
            <w:tcW w:w="0" w:type="dxa"/>
            <w:vAlign w:val="bottom"/>
          </w:tcPr>
          <w:p>
            <w:pPr>
              <w:spacing w:after="0"/>
              <w:rPr>
                <w:sz w:val="1"/>
                <w:szCs w:val="1"/>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5"/>
              </w:rPr>
              <w:t>3.6%</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(74.5)%</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0.8 %</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3.1 %</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(230)bp</w:t>
            </w:r>
          </w:p>
        </w:tc>
        <w:tc>
          <w:tcPr>
            <w:tcW w:w="0" w:type="dxa"/>
            <w:vAlign w:val="bottom"/>
          </w:tcPr>
          <w:p>
            <w:pPr>
              <w:spacing w:after="0"/>
              <w:rPr>
                <w:sz w:val="1"/>
                <w:szCs w:val="1"/>
                <w:color w:val="auto"/>
              </w:rPr>
            </w:pPr>
          </w:p>
        </w:tc>
      </w:tr>
      <w:tr>
        <w:trPr>
          <w:trHeight w:val="23"/>
        </w:trPr>
        <w:tc>
          <w:tcPr>
            <w:tcW w:w="494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4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Six Months Ended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2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October 30,</w:t>
            </w:r>
          </w:p>
        </w:tc>
        <w:tc>
          <w:tcPr>
            <w:tcW w:w="172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October 31,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vMerge w:val="continue"/>
          </w:tcPr>
          <w:p>
            <w:pPr>
              <w:spacing w:after="0"/>
              <w:rPr>
                <w:sz w:val="19"/>
                <w:szCs w:val="19"/>
                <w:color w:val="auto"/>
              </w:rPr>
            </w:pPr>
          </w:p>
        </w:tc>
        <w:tc>
          <w:tcPr>
            <w:tcW w:w="3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(21.2)%</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12.4 %</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14.0 %</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(160)bp</w:t>
            </w:r>
          </w:p>
        </w:tc>
        <w:tc>
          <w:tcPr>
            <w:tcW w:w="0" w:type="dxa"/>
            <w:vAlign w:val="bottom"/>
          </w:tcPr>
          <w:p>
            <w:pPr>
              <w:spacing w:after="0"/>
              <w:rPr>
                <w:sz w:val="1"/>
                <w:szCs w:val="1"/>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5"/>
              </w:rPr>
              <w:t>4.5%</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(75.6)%</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4.5 %</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(330)bp</w:t>
            </w:r>
          </w:p>
        </w:tc>
        <w:tc>
          <w:tcPr>
            <w:tcW w:w="0" w:type="dxa"/>
            <w:vAlign w:val="bottom"/>
          </w:tcPr>
          <w:p>
            <w:pPr>
              <w:spacing w:after="0"/>
              <w:rPr>
                <w:sz w:val="1"/>
                <w:szCs w:val="1"/>
                <w:color w:val="auto"/>
              </w:rPr>
            </w:pPr>
          </w:p>
        </w:tc>
      </w:tr>
      <w:tr>
        <w:trPr>
          <w:trHeight w:val="23"/>
        </w:trPr>
        <w:tc>
          <w:tcPr>
            <w:tcW w:w="494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upholstery fabrics profitability for the second quarter of fiscal 2023, as compared to the prior-year period, primarily reflects lower residential sales and $1.4 million in inventory markdowns due to our policy for aged inventory, as well as operating inefficiencies in our cut and sew operation in Haiti due primarily to reduced customer demand during the latter part of the quarter. These pressures were partially offset by a significantly more favorable foreign exchange rate associated with our operations in China, as well as an improved contribution from our Read business.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Upholstery fabrics profitability for the first half of fiscal 2023 was affected by the same factors that affected the second quarter, as well as labor challenges and inflationary pressures affecting the Read business during the first quarter and an additional $689,000 in markdowns of inventory due to our policy for aged inventory during the first quarter.</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market dynamics for cut and sewn products and the strength of our Asian supply chain, we took action during the second quarter to restructure and adjust our model for this platform with the closure of our cut and sew facility located in Shanghai, China. We believe this move will allow us to reduce our operating costs while maintaining our ability to support our customers, grow our cut and sew business, and maintain our competitive advantages through our lower-cost manufacturing and sourcing operations in Asia and Haiti.</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Looking ahead, we expect ongoing industry softness affecting sales volumes in our residential business, as well as continued operating inefficiencies at our Haiti cut and sew facility due to reduced demand driven by macro-economic conditions, will continue to pressure our profitability. We will continue our ongoing cost reduction efforts and will consider further adjustments to right-size and restructure our operations as necessary to align with current demand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Exit and Disposal Activity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adjust our operating costs to align with declining consumer demand for cut and sewn products.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that were associated with the above exit and disposal activity: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8"/>
                <w:szCs w:val="18"/>
                <w:color w:val="auto"/>
              </w:rPr>
            </w:pPr>
          </w:p>
        </w:tc>
      </w:tr>
      <w:tr>
        <w:trPr>
          <w:trHeight w:val="24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1"/>
                <w:szCs w:val="21"/>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8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284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r>
      <w:tr>
        <w:trPr>
          <w:trHeight w:val="233"/>
        </w:trPr>
        <w:tc>
          <w:tcPr>
            <w:tcW w:w="6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8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38" w:name="page39"/>
    <w:bookmarkEnd w:id="38"/>
    <w:p>
      <w:pPr>
        <w:ind w:left="280" w:hanging="272"/>
        <w:spacing w:after="0" w:line="282" w:lineRule="auto"/>
        <w:tabs>
          <w:tab w:leader="none" w:pos="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$713,000, $615,000 and $98,000 were recorded to restructuring expense and cost of sales, respectively, in the Consolidated Statement of Net Loss for the six-month period ending October 30,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138430</wp:posOffset>
            </wp:positionV>
            <wp:extent cx="194564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4564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0"/>
                <w:szCs w:val="20"/>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31, 2021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20"/>
                <w:szCs w:val="20"/>
                <w:color w:val="auto"/>
              </w:rPr>
            </w:pPr>
          </w:p>
        </w:tc>
      </w:tr>
      <w:tr>
        <w:trPr>
          <w:trHeight w:val="22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12,361</w:t>
            </w:r>
          </w:p>
        </w:tc>
        <w:tc>
          <w:tcPr>
            <w:tcW w:w="100" w:type="dxa"/>
            <w:vAlign w:val="bottom"/>
            <w:shd w:val="clear" w:color="auto" w:fill="CFF0FC"/>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27,529</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9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FF0FC"/>
          </w:tcPr>
          <w:p>
            <w:pPr>
              <w:spacing w:after="0"/>
              <w:rPr>
                <w:sz w:val="20"/>
                <w:szCs w:val="20"/>
                <w:color w:val="auto"/>
              </w:rPr>
            </w:pPr>
          </w:p>
        </w:tc>
      </w:tr>
      <w:tr>
        <w:trPr>
          <w:trHeight w:val="22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100" w:type="dxa"/>
            <w:vAlign w:val="bottom"/>
          </w:tcPr>
          <w:p>
            <w:pPr>
              <w:spacing w:after="0"/>
              <w:rPr>
                <w:sz w:val="19"/>
                <w:szCs w:val="19"/>
                <w:color w:val="auto"/>
              </w:rPr>
            </w:pPr>
          </w:p>
        </w:tc>
      </w:tr>
      <w:tr>
        <w:trPr>
          <w:trHeight w:val="223"/>
        </w:trPr>
        <w:tc>
          <w:tcPr>
            <w:tcW w:w="4400" w:type="dxa"/>
            <w:vAlign w:val="bottom"/>
            <w:tcBorders>
              <w:bottom w:val="single" w:sz="8" w:color="auto"/>
            </w:tcBorders>
            <w:shd w:val="clear" w:color="auto" w:fill="CFF0FC"/>
          </w:tcPr>
          <w:p>
            <w:pPr>
              <w:spacing w:after="0"/>
              <w:rPr>
                <w:sz w:val="19"/>
                <w:szCs w:val="19"/>
                <w:color w:val="auto"/>
              </w:rPr>
            </w:pPr>
          </w:p>
        </w:tc>
        <w:tc>
          <w:tcPr>
            <w:tcW w:w="29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43,715</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52,112</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12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of October 30, 2022, accounts receivable decreased by $1.9 million, or 12.3%, compared with October 31, 2021. This trend reflects the decrease in net sales during the second quarter of fiscal 2023 compared with the second quarter of fiscal 2022,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In addition, we experienced faster cash collections with a significant customer during the second quarter of fiscal 2023 compared with the second quarter of fiscal 2022, which led to a decline in days’ sales outstanding to 35 days for the second quarter of fiscal 2023, as compared with 41 days for the second quarter of fiscal 2022.</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 of October 30, 2022, accounts receivable increased by $1.4 million, or 11.2%, compared with May 1, 2022. This trend reflects the increase in net sales related to our upholstery fabrics operations located in China, as the mandated COVID-19 related shutdowns during the fourth quarter of fiscal 2022 were lifted during the first quarter of fiscal 2023. Net sales for the upholstery fabrics segment were $32.2 million during the second quarter of fiscal 2023, an increase of $5.0 million, or 18.4%, compared with net sales of $27.2 million during the fourth quarter of fiscal 2022. The increase in accounts receivable attributable to this increase in net sales was offset by faster cash collections with a significant customer during the second quarter of fiscal 2023, as compared with the fourth quarter of fiscal 2022. This led to a decline in days’ sales outstanding to 35 days for the second quarter of fiscal 2023, as compared with 40 days for the fourth quarter of fiscal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As of October 30, 2022, inventory decreased by $7.4 million, or 25.1%, compared with October 31, 2021. This trend reflects (i) the decrease in net sales during the second quarter of fiscal 2023 compared with the second quarter of fiscal 2022,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(ii) a $1.5 million non-cash charge recorded during the second quarter of fiscal 2023, which includes $1.4 million of markdowns of inventory estimated based on our policy for aged inventory and $98,000 that was associated with the loss on disposal and markdowns of inventory related to the exit from our cut and sew upholstery fabrics operation located in Shanghai, China; and (iii) promotional programs to reduce aged raw materials and finished goods inventory; partially offset by (iv) higher raw material, labor, and overhead costs stemming from inflationary pressures.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October 30, 2022, inventory decreased by $5.6 million, or 20.4%, compared with May 1, 2022. This trend reflects (i) the reduction in inventory, despite the increase in net sales, during the second quarter of fiscal 2023 compared with the fourth quarter of fiscal 2022, due to improved alignment of inventory purchases with current customer demand trends; (ii) a $2.2 million non-cash charge recorded during the first half of fiscal 2023, which includes $2.1 million of markdowns of inventory estimated based on our policy for aged inventory and $98,000 that was associated with the loss on disposal and markdowns of inventory related to the exit from our cut and sew upholstery fabrics operation located in Shanghai, China, and (iii) promotional programs to reduce aged raw materials and finished goods inventory; partially offset by (iv) higher raw material, labor, and overhead costs stemming from inflationary pressures.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3.8 for the second quarter of fiscal 2023, compared with 4.3 for the second quarter of fiscal 2022 and 3.0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$2.2 million as of October 30, 2022, represents property, plant, and equipment of $1.0 million, $1.0 million, and $137,000 located in the U.S., Haiti, and China, respectively. The $1.7 million as of October 31, 2021, represents property, plant, and equipment of $1.1 million, $368,000, and $242,000 located in the U.S., China, and Haiti, respectively. The $2.0 million as of May 1, 2022, represents property, plant, and equipment of $1.0 million, $756,000, and $255,000 located in the U.S., Haiti, and China,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As of October 30, 2022, property, plant, and equipment increased compared with October 31, 2021, due to the start-up and subsequent increase in production at our new upholstery cut and sew operation located in Haiti that commenced during the third quarter of fiscal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$5.9 million as of October 30, 2022, represents right of use assets of $2.5 million, $2.0 million, and $1.4 million located in Haiti, China, and the U.S., respectively. The $5.5 million as of October 31, 2021, represents right of use assets of $4.3 million and $1.2 million located in China and the U.S., respectively. The $8.1 million as of May 1, 2022, represents right of use assets of $3.7 million, $2.6 million, and $1.8 million located in China, Haiti, and the U.S., respectively.</w:t>
      </w:r>
    </w:p>
    <w:p>
      <w:pPr>
        <w:spacing w:after="0" w:line="139"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9"/>
          <w:szCs w:val="19"/>
          <w:color w:val="auto"/>
        </w:rPr>
        <w:t>As of October 30, 2022, our right of use assets increased by $426,000, or 7.8%, compared with October 31, 2021. This increase represents our agreement to lease a 90,000 square foot facility located in Haiti that commenced during the third quarter of fiscal 2022, partially offset by</w:t>
      </w:r>
    </w:p>
    <w:p>
      <w:pPr>
        <w:jc w:val="both"/>
        <w:ind w:right="100" w:firstLine="8"/>
        <w:spacing w:after="0" w:line="242" w:lineRule="auto"/>
        <w:tabs>
          <w:tab w:leader="none" w:pos="24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related to a six-month forgiveness of rent payments associated with COVID relief permitted by the Chinese government for all building lease agreements located in Shanghai, China, and (ii) the termination of a building lease agreement in connection with the exit from our cut and sew upholstery fabrics operation located in Shanghai, China.</w:t>
      </w:r>
    </w:p>
    <w:p>
      <w:pPr>
        <w:spacing w:after="0" w:line="16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As of October 30, 2022, our right of use assets decreased by $2.2 million, or 27.4%, compared with May 1, 2022. This decrease mostly represents (i) a six-month forgiveness of rent payments associated with COVID relief permitted by the Chinese government for all building lease agreements located in Shanghai, China, and (ii) the termination of a building lease agreement in connection with the exit from our cut and sew upholstery fabrics operation located in Shanghai,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40" w:type="dxa"/>
            <w:vAlign w:val="bottom"/>
          </w:tcPr>
          <w:p>
            <w:pPr>
              <w:spacing w:after="0"/>
              <w:rPr>
                <w:sz w:val="21"/>
                <w:szCs w:val="21"/>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31, 2021</w:t>
            </w:r>
          </w:p>
        </w:tc>
        <w:tc>
          <w:tcPr>
            <w:tcW w:w="192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 Change</w:t>
            </w:r>
          </w:p>
        </w:tc>
      </w:tr>
      <w:tr>
        <w:trPr>
          <w:trHeight w:val="210"/>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2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(404 )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(305.2 )%</w:t>
            </w:r>
          </w:p>
        </w:tc>
      </w:tr>
      <w:tr>
        <w:trPr>
          <w:trHeight w:val="23"/>
        </w:trPr>
        <w:tc>
          <w:tcPr>
            <w:tcW w:w="378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17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Six Months Ended</w:t>
            </w: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20" w:type="dxa"/>
            <w:vAlign w:val="bottom"/>
            <w:gridSpan w:val="2"/>
          </w:tcPr>
          <w:p>
            <w:pPr>
              <w:ind w:left="2460"/>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1"/>
                <w:szCs w:val="21"/>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October 31, 2021</w:t>
            </w:r>
          </w:p>
        </w:tc>
        <w:tc>
          <w:tcPr>
            <w:tcW w:w="204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 Change</w:t>
            </w:r>
          </w:p>
        </w:tc>
      </w:tr>
      <w:tr>
        <w:trPr>
          <w:trHeight w:val="210"/>
        </w:trPr>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840" w:type="dxa"/>
            <w:vAlign w:val="bottom"/>
            <w:tcBorders>
              <w:top w:val="single" w:sz="8" w:color="auto"/>
            </w:tcBorders>
          </w:tcPr>
          <w:p>
            <w:pPr>
              <w:ind w:left="24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(27.3 )%</w:t>
            </w: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(640 )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(216.7 )%</w:t>
            </w:r>
          </w:p>
        </w:tc>
      </w:tr>
      <w:tr>
        <w:trPr>
          <w:trHeight w:val="23"/>
        </w:trPr>
        <w:tc>
          <w:tcPr>
            <w:tcW w:w="4040" w:type="dxa"/>
            <w:vAlign w:val="bottom"/>
            <w:shd w:val="clear" w:color="auto" w:fill="000000"/>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16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20"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Selling, general, and administrative expenses during the second quarter and the first half of fiscal 2023 are comparable with the prior-year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7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The increase in interest income during the second quarter of fiscal 2023, as compared with the second quarter of fiscal 2022, is mostly due to the significant increase in market interest rates during fiscal 2023.</w:t>
      </w:r>
    </w:p>
    <w:p>
      <w:pPr>
        <w:spacing w:after="0" w:line="132"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decrease in interest income for the first half of fiscal 2023, as compared with the first half of fiscal 2022, is mostly due to the liquidation of all of our remaining short-term investments classified as available-for-sale and corporate bond investments classified as held-to-maturity during the fourth quarter of fiscal 2022, partially offset by the significant increase in market interest rates during fiscal 2023.</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9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34"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The change from other income during the second quarter and the first half of fiscal 2023, as compared to other expense during the second quarter and first half of fiscal 2022, is due mostly to more favorable foreign exchange rates applied against our balance sheet accounts denominated in Chinese Renminbi to determine the corresponding U.S. dollar financial reporting amounts. During the second quarter of fiscal 2023, we reported a foreign exchange gain associated with our China operations of $1.0 million, compared with a foreign exchange loss of $(151,000) during the second quarter of fiscal 2022. During the first half of fiscal 2023, we reported a foreign exchange gain of $1.2 million, compared with a foreign exchange loss of $(160,000) during the first half of fiscal 2022.</w:t>
      </w:r>
    </w:p>
    <w:p>
      <w:pPr>
        <w:spacing w:after="0" w:line="144"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The significant $1.2 million foreign exchange rate gain reported during the first half of fiscal 2023, which is mostly non-cash, was mostly offset by $1.1 million of income tax expense that increased our income tax payments. This $1.1 million of income tax expense was associated with taxable foreign exchange rate gains on more favorable foreign exchange rates applied against balance sheet accounts denominated in U.S. dollars to determine the Chinese Renminbi local currency amounts. The foreign exchange rate gains associated with our U.S. dollar denominated balance sheet accounts related to our operations located in China is taxable income, as we incur income tax expense and pay income taxes in China's local currency.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$2.0 million, or (12.9%) of loss before income taxes, for the six-month period ending October 30, 2022, compared with income tax expense of $1.3 million, or 30.3% of income before income taxes, for the six-month period ending October 31, 2021.</w:t>
      </w:r>
    </w:p>
    <w:p>
      <w:pPr>
        <w:spacing w:after="0" w:line="14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30, 2022, and October 31, 2021, were based upon the estimated effective income tax rate applicable for the full year after giving effect to any significant items related specifically to interim periods. When calculating the annual estimated effective income tax rate for the six-month periods ended October 30, 2022, and October 31, 2021, we were subject to loss limitation rules. These loss limitation rules require any taxable loss associated with our U.S. or foreign operations to be excluded from the annual estimated effective income tax rate calculation if it was determined that no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30, 2022, and October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6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October 30,</w:t>
            </w: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October 31,</w:t>
            </w:r>
          </w:p>
        </w:tc>
      </w:tr>
      <w:tr>
        <w:trPr>
          <w:trHeight w:val="243"/>
        </w:trPr>
        <w:tc>
          <w:tcPr>
            <w:tcW w:w="58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3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4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3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 (losses)</w:t>
            </w:r>
          </w:p>
        </w:tc>
        <w:tc>
          <w:tcPr>
            <w:tcW w:w="3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40" w:type="dxa"/>
            <w:vAlign w:val="bottom"/>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66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82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 during the first half of fiscal 2023 was much more negatively affected by the mix of earnings between our U.S. operations and foreign subsidiaries, as compared to the first half of fiscal 2022. During the first half of fiscal 2023, we incurred a significant pre-tax loss from our U.S. operations, and therefore, a significant income tax benefit was not recognized due to a full valuation allowance being applied against our U.S. net deferred income tax assets. In addition, all of our taxable income in the first half of fiscal 2023 was earned by our foreign operations located in China and Canada, which have higher income tax rates than the U.S. In comparison, as of the end of the second quarter of fiscal 2022, our U.S. operations were projected to earn a level of pre-tax income that did not have a significant effect on our full valuation allowance or our consolidated effective income tax rate.</w:t>
      </w:r>
    </w:p>
    <w:p>
      <w:pPr>
        <w:sectPr>
          <w:pgSz w:w="11900" w:h="16838" w:orient="portrait"/>
          <w:cols w:equalWidth="0" w:num="1">
            <w:col w:w="11280"/>
          </w:cols>
          <w:pgMar w:left="320" w:top="288"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88" w:right="2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30, 2022, we evaluated the realizability of our U.S. net deferred income tax assets to determine if a full valuation allowance was required. Based on our assessment, we determined that we still have a recent history of significant cumulative U.S. taxable losses, in that we experienced U.S. taxable losses during each of the last three fiscal years from 2020 through 2022, and we are currently expecting significant U.S. pre-tax losses to continue during fiscal 2023.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30, 2022, October 31, 2021, and May 1, 2022,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102870</wp:posOffset>
            </wp:positionV>
            <wp:extent cx="21767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76780" cy="1885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October 31, 2021</w:t>
            </w:r>
          </w:p>
        </w:tc>
        <w:tc>
          <w:tcPr>
            <w:tcW w:w="1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20"/>
                <w:szCs w:val="20"/>
                <w:color w:val="auto"/>
              </w:rPr>
            </w:pPr>
          </w:p>
        </w:tc>
      </w:tr>
      <w:tr>
        <w:trPr>
          <w:trHeight w:val="22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0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13,958</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9,155</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shd w:val="clear" w:color="auto" w:fill="CFF0FC"/>
          </w:tcPr>
          <w:p>
            <w:pPr>
              <w:spacing w:after="0"/>
              <w:rPr>
                <w:sz w:val="19"/>
                <w:szCs w:val="19"/>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r>
      <w:tr>
        <w:trPr>
          <w:trHeight w:val="263"/>
        </w:trPr>
        <w:tc>
          <w:tcPr>
            <w:tcW w:w="5000" w:type="dxa"/>
            <w:vAlign w:val="bottom"/>
            <w:tcBorders>
              <w:top w:val="single" w:sz="8" w:color="auto"/>
              <w:bottom w:val="single" w:sz="8" w:color="auto"/>
            </w:tcBorders>
            <w:shd w:val="clear" w:color="auto" w:fill="CFF0FC"/>
          </w:tcPr>
          <w:p>
            <w:pPr>
              <w:spacing w:after="0"/>
              <w:rPr>
                <w:sz w:val="22"/>
                <w:szCs w:val="22"/>
                <w:color w:val="auto"/>
              </w:rPr>
            </w:pPr>
          </w:p>
        </w:tc>
        <w:tc>
          <w:tcPr>
            <w:tcW w:w="20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20" w:type="dxa"/>
            <w:vAlign w:val="bottom"/>
            <w:tcBorders>
              <w:bottom w:val="single" w:sz="8" w:color="CFF0FC"/>
            </w:tcBorders>
            <w:shd w:val="clear" w:color="auto" w:fill="CFF0FC"/>
          </w:tcPr>
          <w:p>
            <w:pPr>
              <w:spacing w:after="0"/>
              <w:rPr>
                <w:sz w:val="22"/>
                <w:szCs w:val="22"/>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1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13 of the consolidated financial statements for disclosures regarding our assessments of our recorded deferred income tax liability balances associated with undistributed earnings from our foreign subsidiaries as of October 30, 2022, October 31, 2021, and May 1, 2022,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13 of the consolidated financial statements for disclosures regarding our assessments of our uncertain income tax positions as of October 30, 2022, October 31, 2021, and May 1,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Six Months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Six Months</w:t>
            </w:r>
          </w:p>
        </w:tc>
        <w:tc>
          <w:tcPr>
            <w:tcW w:w="100" w:type="dxa"/>
            <w:vAlign w:val="bottom"/>
          </w:tcPr>
          <w:p>
            <w:pPr>
              <w:spacing w:after="0"/>
              <w:rPr>
                <w:sz w:val="18"/>
                <w:szCs w:val="18"/>
                <w:color w:val="auto"/>
              </w:rPr>
            </w:pPr>
          </w:p>
        </w:tc>
      </w:tr>
      <w:tr>
        <w:trPr>
          <w:trHeight w:val="256"/>
        </w:trPr>
        <w:tc>
          <w:tcPr>
            <w:tcW w:w="6340" w:type="dxa"/>
            <w:vAlign w:val="bottom"/>
          </w:tcPr>
          <w:p>
            <w:pPr>
              <w:spacing w:after="0"/>
              <w:rPr>
                <w:sz w:val="22"/>
                <w:szCs w:val="22"/>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Ended</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Ended</w:t>
            </w:r>
          </w:p>
        </w:tc>
        <w:tc>
          <w:tcPr>
            <w:tcW w:w="100" w:type="dxa"/>
            <w:vAlign w:val="bottom"/>
          </w:tcPr>
          <w:p>
            <w:pPr>
              <w:spacing w:after="0"/>
              <w:rPr>
                <w:sz w:val="22"/>
                <w:szCs w:val="22"/>
                <w:color w:val="auto"/>
              </w:rPr>
            </w:pPr>
          </w:p>
        </w:tc>
      </w:tr>
      <w:tr>
        <w:trPr>
          <w:trHeight w:val="257"/>
        </w:trPr>
        <w:tc>
          <w:tcPr>
            <w:tcW w:w="6340" w:type="dxa"/>
            <w:vAlign w:val="bottom"/>
          </w:tcPr>
          <w:p>
            <w:pPr>
              <w:spacing w:after="0"/>
              <w:rPr>
                <w:sz w:val="22"/>
                <w:szCs w:val="22"/>
                <w:color w:val="auto"/>
              </w:rPr>
            </w:pPr>
          </w:p>
        </w:tc>
        <w:tc>
          <w:tcPr>
            <w:tcW w:w="16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October 30,</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October 31,</w:t>
            </w:r>
          </w:p>
        </w:tc>
        <w:tc>
          <w:tcPr>
            <w:tcW w:w="100" w:type="dxa"/>
            <w:vAlign w:val="bottom"/>
          </w:tcPr>
          <w:p>
            <w:pPr>
              <w:spacing w:after="0"/>
              <w:rPr>
                <w:sz w:val="22"/>
                <w:szCs w:val="22"/>
                <w:color w:val="auto"/>
              </w:rPr>
            </w:pP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2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9"/>
              </w:rPr>
              <w:t>2022</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21"/>
                <w:szCs w:val="21"/>
                <w:color w:val="auto"/>
              </w:rPr>
            </w:pPr>
          </w:p>
        </w:tc>
      </w:tr>
      <w:tr>
        <w:trPr>
          <w:trHeight w:val="22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9"/>
                <w:szCs w:val="19"/>
                <w:color w:val="auto"/>
              </w:rPr>
            </w:pP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9"/>
                <w:szCs w:val="19"/>
                <w:color w:val="auto"/>
              </w:rPr>
            </w:pPr>
          </w:p>
        </w:tc>
      </w:tr>
      <w:tr>
        <w:trPr>
          <w:trHeight w:val="212"/>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 Withholding Taxes Associated With</w:t>
            </w:r>
          </w:p>
        </w:tc>
        <w:tc>
          <w:tcPr>
            <w:tcW w:w="1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and Profits Distributed to the U.S.</w:t>
            </w:r>
          </w:p>
        </w:tc>
        <w:tc>
          <w:tcPr>
            <w:tcW w:w="1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FF0FC"/>
          </w:tcPr>
          <w:p>
            <w:pPr>
              <w:spacing w:after="0"/>
              <w:rPr>
                <w:sz w:val="19"/>
                <w:szCs w:val="19"/>
                <w:color w:val="auto"/>
              </w:rPr>
            </w:pP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9"/>
                <w:szCs w:val="19"/>
                <w:color w:val="auto"/>
              </w:rPr>
            </w:pPr>
          </w:p>
        </w:tc>
      </w:tr>
      <w:tr>
        <w:trPr>
          <w:trHeight w:val="260"/>
        </w:trPr>
        <w:tc>
          <w:tcPr>
            <w:tcW w:w="63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currently projecting annual cash income tax payments of approximately $3.2 million for fiscal 2023, compared with $3.1 million for fiscal 2022. These estimated payments are management’s current projections only and can be affected over the year by actual earnings from our foreign subsidiaries located in China and Canada versus annual projections, changes in the foreign exchange rates associated with our China operations in relation to the U.S. dollar, and the timing of when significant capital projects will be placed into service, which determines the deductibility of accelerated depreciation.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currently expect to pay minimal income taxes in the U.S. on a cash basis during fiscal 2023 due to the immediate expensing of U.S. capital expenditures and our existing U.S. federal net operating loss carryforwards that totaled $23.7 million as of May 1, 2022, which are projected to increase as a result of the significant U.S. loss carryforward we expect to generate during fiscal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30, 2022, we will be required to pay annual U.S. federal transition tax payments, in accordance with the 2017 Tax Cuts and Jobs Act (“TCJA”), as follows: FY 2024 - $499,000; FY 2025 - $665,000; and FY 2026 - $831,000.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our sources of liquidity include cash, cash flow from operations, and amounts available under our revolving credit lines. As of October 30, 2022, we believe our cash of $19.1 million, cash flow from operations, and the current availability under our revolving credit lines totaling $32.3 million (Refer to Note 9 of the consolidated financial statements for further details) will be sufficient to fund our foreseeable business needs, commitments, and contractual obligations.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30, 2022, our cash and cash equivalents (collectively, “cash”) totaled $19.1 million, an increase of $4.5 million compared with $14.6 million as of May 1, 2022. This increase was primarily due to $6.2 million in net cash provided by operating activities, partially offset by capital expenditures totaling $1.1 million.</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net cash provided by operating activities was $6.2 million during the first half of fiscal 2023, an increase of $7.5 million compared with net cash used in operating activities of $(1.3) million during the first half of fiscal 2023. This change primarily reflects (i) a reduction of inventory related to the significant decline in net sales, improved alignment of inventory purchases with current customer demand trends, and promotional programs to reduce aged raw materials and finished goods inventory; (ii) an increase in accounts payable that primarily related to our upholstery fabrics operations located in China, as the mandated COVID-19 related shutdowns were lifted during the first quarter of fiscal 2023; and (iii) annual incentive payments made during the first quarter of fiscal 2022 that did not recur during the first quarter of fiscal 2023, partially offset by (iv) a decrease in net cash earnings during the first half of fiscal 2023 compared with the first half of fiscal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there were no outstanding borrowings under our lines of credit.</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2 – MANAGEMENT’S DISCUSSION AND ANALYSIS OF FINANCIAL CONDITION for further detail.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cash balance may be adversely affected by factors beyond our control, such as (i) customer demand trends, (ii) supply chain disruptions,</w:t>
      </w:r>
    </w:p>
    <w:p>
      <w:pPr>
        <w:spacing w:after="0" w:line="33" w:lineRule="exact"/>
        <w:rPr>
          <w:sz w:val="20"/>
          <w:szCs w:val="20"/>
          <w:color w:val="auto"/>
        </w:rPr>
      </w:pPr>
    </w:p>
    <w:p>
      <w:pPr>
        <w:jc w:val="both"/>
        <w:ind w:firstLine="8"/>
        <w:spacing w:after="0" w:line="242" w:lineRule="auto"/>
        <w:tabs>
          <w:tab w:leader="none" w:pos="36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rising interest rates and inflation, (iv) world events (including the Russia-Ukraine war), and (v) the continuing uncertainty associated with COVID-19. These factors could cause delays in receipt of payment on accounts receivable and could increase cash disbursements due to rising prices.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October 31, 2021</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May 1, 2022</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25,906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8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9"/>
                <w:szCs w:val="19"/>
                <w:color w:val="auto"/>
              </w:rPr>
            </w:pPr>
          </w:p>
        </w:tc>
      </w:tr>
      <w:tr>
        <w:trPr>
          <w:trHeight w:val="233"/>
        </w:trPr>
        <w:tc>
          <w:tcPr>
            <w:tcW w:w="4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8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-162560</wp:posOffset>
            </wp:positionV>
            <wp:extent cx="76835" cy="325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325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total balance as of October 31, 2021, includes short-term investments classified as available-for-sale and short-term and long-term investments classified as held-to-maturity that were liquidated in their entirety during the fourth quarter of fiscal 2022, and therefore, the total balances as of October 30, 2022, and May 1, 2022, solely represent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half of fiscal 2023, we did not purchase any shares of our common stock. As a result, as of October 30, 2022, $3.2 million is available for additional repurchases of our common stock. Despite the current share repurchase authorization, the company does not expect to repurchase any shares through at least the third quarter of fiscal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half of fiscal 2022, we repurchased 121,688 shares of common stock at a cost of $1.8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did not make any dividend payments during the first half of fiscal 2023.</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first half of fiscal 2022, dividend payments totaled $2.7 million, which represented a quarterly cash dividend payment of $0.11 per share.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We will continue to reassess our dividend policy each quarter. Future dividend payments will depend on our earnings, capital requirements, financial condition, excess availability under our lines of credit, market and economic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(accounts receivable and inventories, less accounts payable-trade, accounts payable-capital expenditures, and deferred revenue) was $48.6 million as of October 30, 2022, compared with $54.7 million as of October 31, 2021, and $67.7 million as of May 1, 2022. Operating working capital turnover was 4.4 during the second quarter of fiscal 2023, compared with 6.5 during the second quarter of fiscal 2022 and 5.2 during the fourth quarter of fiscal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Accounts receivable was $22.4 million as of October 30, 2022, a decrease of $9.9 million, or 30.6%, compared with $32.3 million as of October 31, 2021. This change reflects the significant decrease in net sales during the second quarter of fiscal 2023 as compared with the second quarter of fiscal 2022. Net sales were $58.4 million during the second quarter of fiscal 2023, a decrease of $16.2 million, or 21.7%, compared with net sales of $74.6 million during the second quarter of fiscal 2022. In addition, we experienced faster cash collections with significant customers associated with our mattress and upholstery fabrics segments during the second quarter of fiscal 2023, as compared with the second quarter of fiscal 2022, which led to a decline in days’ sales outstanding to 33 days for the second quarter of fiscal 2023, compared with 39 days during the second quarter of fiscal 2022.</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was $22.4 million as of October 30, 2022, which is comparable with the $22.2 million in accounts receivable as of May 1, 2022. This reflects an increase in net sales during the second quarter of fiscal 2023 as compared with the fourth quarter of fiscal 2022. Net sales were $58.4 million during the second quarter of fiscal 2023, an increase of $1.5 million, or 2.5%, compared with net sales of $56.9 million during the fourth quarter of fiscal 2022. The increase in accounts receivable due to this increase in net sales was offset by a decrease in days’ sales outstanding, which was 33 days for the second quarter of fiscal 2023 compared with 35 days for the fourth quarter of fiscal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Inventory was $52.2 million as of October 30, 2022, a decrease of $11.6 million, or 18.1%, compared with $63.8 million as of October 31, 2021. This decrease reflects (i) the 21.7% decrease in net sales during the second quarter of fiscal 2023, as compared with the second quarter of fiscal 2022; (ii) a $5.2 million non-cash charge recorded during the second quarter of fiscal 2023, which includes $2.9 million related to a write down of inventory to its net realizable value and $2.3 million related to the markdowns of inventory estimated based on our policy for aged inventory; (iii) $98,000 for the loss on disposal and markdowns of inventory related to the exit from our cut and sew upholstery fabrics operation located in Shanghai, China; and (iv) promotional programs to reduce aged raw materials and finished goods inventory, partially offset by (v) higher raw material, labor, and overhead costs stemming from inflationary pressures.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Inventory was $52.2 million as of October 30, 2022, decreased by $14.3 million, or 21.5%, compared with $66.6 million as of May 1, 2022. This decrease reflects (i) improved alignment of inventory purchases with current customer demand trends in our upholstery fabrics segment;</w:t>
      </w:r>
    </w:p>
    <w:p>
      <w:pPr>
        <w:jc w:val="both"/>
        <w:ind w:firstLine="8"/>
        <w:spacing w:after="0" w:line="252" w:lineRule="auto"/>
        <w:tabs>
          <w:tab w:leader="none" w:pos="31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$6.3 million non-cash charge recorded during the first half of fiscal 2023, which includes $2.9 million related to a write down of inventory to its net realizable value and $3.4 million related to the markdowns of inventory estimated based on our policy for aged inventory;</w:t>
      </w:r>
    </w:p>
    <w:p>
      <w:pPr>
        <w:ind w:left="360" w:hanging="352"/>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$98,000 for the loss on disposal and markdowns of inventory related to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20"/>
          <w:szCs w:val="20"/>
          <w:color w:val="auto"/>
        </w:rPr>
        <w:t>exit from our cut and sew upholstery fabrics operation located in Shanghai, China; and (iv) promotional programs to reduce aged raw materials and finished goods inventory, partially offset by (v) higher raw material, labor, and overhead costs stemming from inflationary pressures.</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4.3 for the second quarter of fiscal 2023, as compared with 4.2 for the second quarter of fiscal 2022 and 3.1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payable - trade was $24.3 million as of October 30, 2022, a decrease of $16.2 million, or 40.0%, compared with $40.5 million as of October 31, 2021. This decrease primarily reflects the significant decrease in net sales during the second quarter of fiscal 2023, as compared with the second quarter of fiscal 2022. Net sales were $58.4 million during the second quarter of fiscal 2023, a decrease of $16.2 million, or 21.7%, compared with net sales of $74.6 million during the second quarter of fiscal 2022. In addition, the decrease in accounts payable is also due to the improved alignment of inventory purchases with current customer demand trends.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payable - trade was $24.3 million as of October 30, 2022, an increase of $4.2 million, or 20.9%, compared with $20.1 million as of May 1, 2022. This trend reflects the significant increase in net sales related to our upholstery fabrics operations located in China during the second quarter of fiscal 2023, as compared to the fourth quarter of fiscal 2022, as the mandated COVID-19 related shutdowns that were in place during the fourth quarter of fiscal 2022 were lifted during the first quarter of fiscal 2023. Net sales for the upholstery fabrics segment were $32.2 million during the second quarter of fiscal 2023, an increase of $5.0 million, or 18.4%, compared with net sales of $27.2 million during the fourth quarter of fiscal 2022. The increase in accounts payable associated with our upholstery fabrics segment was partially offset by the significant decline in net sales associated with our mattress fabrics segment during the second quarter of fiscal 2023, as compared with the fourth quarter of fiscal 2022. Net sales for the mattress fabrics segment during the second quarter of fiscal 2023 were $26.2 million, a decrease of $3.6 million, or 11.9%, compared with net sales of $29.8 million during the fourth quarter of fiscal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we did not have any outstanding borrowings associated with our revolving credit agreements.</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October 30, 2022, we were in compliance with these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9 of the consolidated financial statements for further disclosure regarding our revolving credit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Capital expenditures on a cash basis were $1.1 million during the first half of fiscal 2023, compared with $3.9 million for the same period a year ago. Capital expenditures on a cash basis during the first half of fiscal 2023 pertained to capital expenditures associated with our new upholstery fabrics cut and sew operation located in Haiti and manufacturing equipment associated with our mattress fabrics segment, as well as IT equipment associated with both of our business segments. Capital expenditures on a cash basis during the first half of fiscal 2022 mostly related to our mattress fabrics segment.</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Depreciation expense was $3.5 million during the first half of fisca1 2023 and fiscal 2022. Depreciation expense mostly related to our mattress fabrics segment for both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30, 2022, we had total amounts due regarding capital expenditures totaling $200,000 that pertained to outstanding vendor invoices, none of which were financed. The total amount outstanding of $200,000 is required to be paid based on normal credit terms.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30, 2022, we had open purchase commitments to acquire equipment for our mattress fabrics segment totaling $444,000.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30, 2022, there were no changes in our significant accounting policies or the application of those policies from those reported in our annual report on Form 10-K for the year ended May 1, 2022.</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May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May 1,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 During fiscal 2022 and continuing through the first half of fiscal 2023, higher freight costs, labor costs, and raw material prices have increased the prices we pay for shipping, labor, and raw materials. Inflationary pressures also began to affect consumer spending during the second half of fiscal 2022, and these pressures have continued through the first half of fiscal 2023. 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June 24, 2022, we entered into an amended and restated U.S. revolving credit agreement (“Amended Agreement”) that required interest to be charged at a rate (applicable interest rate of 4.38% as of October 30, 2022) calculated using an applicable margin over the Federal Reserve Bank of New York’s secured overnight fund rate (SOFR), as defined in the Amended Agreement. As of October 30, 2022, there were no outstanding borrowings under the Amended Agreement.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revolving credit line associated with our operations located in China bears interest at a rate determined by the Chinese government at the time of borrowing. As of October 30, 2022, there were no borrowings outstanding under our revolving credit agreement associated with our operations located in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October 30, 2022, would not have materially affected our results of operations or financial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October 30, 2022,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October 30, 2022, there were no changes in our internal control over financial reporting that have materially affected, or are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October 30, 2022. Our legal proceedings are disclosed in the company’s annual report on Form 10-K filed with the Securities and Exchange Commission on July 15, 2022, for the fiscal year ended May 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October 30, 2022. Our risk factors are disclosed in Item 1A “Risk Factors” of the company’s annual report on Form 10-K filed with the Securities and Exchange Commission on July 15, 2022, for the fiscal year ended May 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4060" w:type="dxa"/>
            <w:vAlign w:val="bottom"/>
            <w:tcBorders>
              <w:top w:val="single" w:sz="8" w:color="auto"/>
              <w:left w:val="single" w:sz="8" w:color="auto"/>
              <w:right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rPr>
              <w:t>(c)</w:t>
            </w:r>
          </w:p>
        </w:tc>
        <w:tc>
          <w:tcPr>
            <w:tcW w:w="420" w:type="dxa"/>
            <w:vAlign w:val="bottom"/>
            <w:tcBorders>
              <w:top w:val="single" w:sz="8" w:color="auto"/>
              <w:right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(d)</w:t>
            </w:r>
          </w:p>
        </w:tc>
      </w:tr>
      <w:tr>
        <w:trPr>
          <w:trHeight w:val="229"/>
        </w:trPr>
        <w:tc>
          <w:tcPr>
            <w:tcW w:w="4060" w:type="dxa"/>
            <w:vAlign w:val="bottom"/>
            <w:tcBorders>
              <w:left w:val="single" w:sz="8" w:color="auto"/>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7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Total Number of</w:t>
            </w: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Approximate</w:t>
            </w:r>
          </w:p>
        </w:tc>
      </w:tr>
      <w:tr>
        <w:trPr>
          <w:trHeight w:val="229"/>
        </w:trPr>
        <w:tc>
          <w:tcPr>
            <w:tcW w:w="4060" w:type="dxa"/>
            <w:vAlign w:val="bottom"/>
            <w:tcBorders>
              <w:left w:val="single" w:sz="8" w:color="auto"/>
              <w:right w:val="single" w:sz="8" w:color="auto"/>
            </w:tcBorders>
          </w:tcPr>
          <w:p>
            <w:pPr>
              <w:spacing w:after="0"/>
              <w:rPr>
                <w:sz w:val="19"/>
                <w:szCs w:val="19"/>
                <w:color w:val="auto"/>
              </w:rPr>
            </w:pPr>
          </w:p>
        </w:tc>
        <w:tc>
          <w:tcPr>
            <w:tcW w:w="11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(a)</w:t>
            </w:r>
          </w:p>
        </w:tc>
        <w:tc>
          <w:tcPr>
            <w:tcW w:w="38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7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Shares Purchased</w:t>
            </w: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Dollar Value of</w:t>
            </w:r>
          </w:p>
        </w:tc>
      </w:tr>
      <w:tr>
        <w:trPr>
          <w:trHeight w:val="230"/>
        </w:trPr>
        <w:tc>
          <w:tcPr>
            <w:tcW w:w="4060" w:type="dxa"/>
            <w:vAlign w:val="bottom"/>
            <w:tcBorders>
              <w:left w:val="single" w:sz="8" w:color="auto"/>
              <w:right w:val="single" w:sz="8" w:color="auto"/>
            </w:tcBorders>
          </w:tcPr>
          <w:p>
            <w:pPr>
              <w:spacing w:after="0"/>
              <w:rPr>
                <w:sz w:val="19"/>
                <w:szCs w:val="19"/>
                <w:color w:val="auto"/>
              </w:rPr>
            </w:pPr>
          </w:p>
        </w:tc>
        <w:tc>
          <w:tcPr>
            <w:tcW w:w="11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4"/>
              </w:rPr>
              <w:t>Total</w:t>
            </w:r>
          </w:p>
        </w:tc>
        <w:tc>
          <w:tcPr>
            <w:tcW w:w="380" w:type="dxa"/>
            <w:vAlign w:val="bottom"/>
            <w:tcBorders>
              <w:right w:val="single" w:sz="8" w:color="auto"/>
            </w:tcBorders>
          </w:tcPr>
          <w:p>
            <w:pPr>
              <w:spacing w:after="0"/>
              <w:rPr>
                <w:sz w:val="19"/>
                <w:szCs w:val="19"/>
                <w:color w:val="auto"/>
              </w:rPr>
            </w:pPr>
          </w:p>
        </w:tc>
        <w:tc>
          <w:tcPr>
            <w:tcW w:w="106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(b)</w:t>
            </w:r>
          </w:p>
        </w:tc>
        <w:tc>
          <w:tcPr>
            <w:tcW w:w="320" w:type="dxa"/>
            <w:vAlign w:val="bottom"/>
            <w:tcBorders>
              <w:right w:val="single" w:sz="8" w:color="auto"/>
            </w:tcBorders>
          </w:tcPr>
          <w:p>
            <w:pPr>
              <w:spacing w:after="0"/>
              <w:rPr>
                <w:sz w:val="19"/>
                <w:szCs w:val="19"/>
                <w:color w:val="auto"/>
              </w:rPr>
            </w:pPr>
          </w:p>
        </w:tc>
        <w:tc>
          <w:tcPr>
            <w:tcW w:w="17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as Part of</w:t>
            </w: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Shares that May</w:t>
            </w:r>
          </w:p>
        </w:tc>
      </w:tr>
      <w:tr>
        <w:trPr>
          <w:trHeight w:val="229"/>
        </w:trPr>
        <w:tc>
          <w:tcPr>
            <w:tcW w:w="4060" w:type="dxa"/>
            <w:vAlign w:val="bottom"/>
            <w:tcBorders>
              <w:left w:val="single" w:sz="8" w:color="auto"/>
              <w:right w:val="single" w:sz="8" w:color="auto"/>
            </w:tcBorders>
          </w:tcPr>
          <w:p>
            <w:pPr>
              <w:spacing w:after="0"/>
              <w:rPr>
                <w:sz w:val="19"/>
                <w:szCs w:val="19"/>
                <w:color w:val="auto"/>
              </w:rPr>
            </w:pPr>
          </w:p>
        </w:tc>
        <w:tc>
          <w:tcPr>
            <w:tcW w:w="11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Number</w:t>
            </w:r>
          </w:p>
        </w:tc>
        <w:tc>
          <w:tcPr>
            <w:tcW w:w="380" w:type="dxa"/>
            <w:vAlign w:val="bottom"/>
            <w:tcBorders>
              <w:right w:val="single" w:sz="8" w:color="auto"/>
            </w:tcBorders>
          </w:tcPr>
          <w:p>
            <w:pPr>
              <w:spacing w:after="0"/>
              <w:rPr>
                <w:sz w:val="19"/>
                <w:szCs w:val="19"/>
                <w:color w:val="auto"/>
              </w:rPr>
            </w:pPr>
          </w:p>
        </w:tc>
        <w:tc>
          <w:tcPr>
            <w:tcW w:w="106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5"/>
              </w:rPr>
              <w:t>Average</w:t>
            </w:r>
          </w:p>
        </w:tc>
        <w:tc>
          <w:tcPr>
            <w:tcW w:w="320" w:type="dxa"/>
            <w:vAlign w:val="bottom"/>
            <w:tcBorders>
              <w:right w:val="single" w:sz="8" w:color="auto"/>
            </w:tcBorders>
          </w:tcPr>
          <w:p>
            <w:pPr>
              <w:spacing w:after="0"/>
              <w:rPr>
                <w:sz w:val="19"/>
                <w:szCs w:val="19"/>
                <w:color w:val="auto"/>
              </w:rPr>
            </w:pPr>
          </w:p>
        </w:tc>
        <w:tc>
          <w:tcPr>
            <w:tcW w:w="17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Publicly</w:t>
            </w: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Yet Be Purchased</w:t>
            </w:r>
          </w:p>
        </w:tc>
      </w:tr>
      <w:tr>
        <w:trPr>
          <w:trHeight w:val="229"/>
        </w:trPr>
        <w:tc>
          <w:tcPr>
            <w:tcW w:w="4060" w:type="dxa"/>
            <w:vAlign w:val="bottom"/>
            <w:tcBorders>
              <w:left w:val="single" w:sz="8" w:color="auto"/>
              <w:right w:val="single" w:sz="8" w:color="auto"/>
            </w:tcBorders>
          </w:tcPr>
          <w:p>
            <w:pPr>
              <w:spacing w:after="0"/>
              <w:rPr>
                <w:sz w:val="19"/>
                <w:szCs w:val="19"/>
                <w:color w:val="auto"/>
              </w:rPr>
            </w:pPr>
          </w:p>
        </w:tc>
        <w:tc>
          <w:tcPr>
            <w:tcW w:w="11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of Shares</w:t>
            </w:r>
          </w:p>
        </w:tc>
        <w:tc>
          <w:tcPr>
            <w:tcW w:w="380" w:type="dxa"/>
            <w:vAlign w:val="bottom"/>
            <w:tcBorders>
              <w:right w:val="single" w:sz="8" w:color="auto"/>
            </w:tcBorders>
          </w:tcPr>
          <w:p>
            <w:pPr>
              <w:spacing w:after="0"/>
              <w:rPr>
                <w:sz w:val="19"/>
                <w:szCs w:val="19"/>
                <w:color w:val="auto"/>
              </w:rPr>
            </w:pPr>
          </w:p>
        </w:tc>
        <w:tc>
          <w:tcPr>
            <w:tcW w:w="10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Price Paid</w:t>
            </w:r>
          </w:p>
        </w:tc>
        <w:tc>
          <w:tcPr>
            <w:tcW w:w="320" w:type="dxa"/>
            <w:vAlign w:val="bottom"/>
            <w:tcBorders>
              <w:right w:val="single" w:sz="8" w:color="auto"/>
            </w:tcBorders>
          </w:tcPr>
          <w:p>
            <w:pPr>
              <w:spacing w:after="0"/>
              <w:rPr>
                <w:sz w:val="19"/>
                <w:szCs w:val="19"/>
                <w:color w:val="auto"/>
              </w:rPr>
            </w:pPr>
          </w:p>
        </w:tc>
        <w:tc>
          <w:tcPr>
            <w:tcW w:w="17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Announced Plans</w:t>
            </w: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Under the Plans or</w:t>
            </w:r>
          </w:p>
        </w:tc>
      </w:tr>
      <w:tr>
        <w:trPr>
          <w:trHeight w:val="243"/>
        </w:trPr>
        <w:tc>
          <w:tcPr>
            <w:tcW w:w="4060" w:type="dxa"/>
            <w:vAlign w:val="bottom"/>
            <w:tcBorders>
              <w:left w:val="single" w:sz="8" w:color="auto"/>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6"/>
                <w:szCs w:val="16"/>
                <w:color w:val="auto"/>
              </w:rPr>
              <w:t>Period</w:t>
            </w:r>
          </w:p>
        </w:tc>
        <w:tc>
          <w:tcPr>
            <w:tcW w:w="118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rPr>
              <w:t>Purchased</w:t>
            </w:r>
          </w:p>
        </w:tc>
        <w:tc>
          <w:tcPr>
            <w:tcW w:w="3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w w:val="98"/>
              </w:rPr>
              <w:t>per Share</w:t>
            </w:r>
          </w:p>
        </w:tc>
        <w:tc>
          <w:tcPr>
            <w:tcW w:w="3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rPr>
              <w:t>or Programs</w:t>
            </w:r>
          </w:p>
        </w:tc>
        <w:tc>
          <w:tcPr>
            <w:tcW w:w="4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Programs (1)</w:t>
            </w:r>
          </w:p>
        </w:tc>
      </w:tr>
      <w:tr>
        <w:trPr>
          <w:trHeight w:val="223"/>
        </w:trPr>
        <w:tc>
          <w:tcPr>
            <w:tcW w:w="40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August 1, 2022 to September 4, 2022</w:t>
            </w:r>
          </w:p>
        </w:tc>
        <w:tc>
          <w:tcPr>
            <w:tcW w:w="1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September 5, 2022 to October 2, 2022</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40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October 3, 2022 to October 30, 2022</w:t>
            </w:r>
          </w:p>
        </w:tc>
        <w:tc>
          <w:tcPr>
            <w:tcW w:w="1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3,248,094</w:t>
            </w:r>
          </w:p>
        </w:tc>
      </w:tr>
    </w:tbl>
    <w:p>
      <w:pPr>
        <w:spacing w:after="0" w:line="202"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w:t>
            </w:r>
          </w:p>
        </w:tc>
        <w:tc>
          <w:tcPr>
            <w:tcW w:w="62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Form of Annual Incentive Award Agreement</w:t>
            </w:r>
            <w:r>
              <w:rPr>
                <w:rFonts w:ascii="Times New Roman" w:cs="Times New Roman" w:eastAsia="Times New Roman" w:hAnsi="Times New Roman"/>
                <w:sz w:val="20"/>
                <w:szCs w:val="20"/>
                <w:color w:val="000000"/>
              </w:rPr>
              <w:t>.</w:t>
            </w:r>
          </w:p>
        </w:tc>
      </w:tr>
      <w:tr>
        <w:trPr>
          <w:trHeight w:val="20"/>
        </w:trPr>
        <w:tc>
          <w:tcPr>
            <w:tcW w:w="900" w:type="dxa"/>
            <w:vAlign w:val="bottom"/>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1"/>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31.1</w:t>
            </w:r>
          </w:p>
        </w:tc>
        <w:tc>
          <w:tcPr>
            <w:tcW w:w="6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r>
      <w:tr>
        <w:trPr>
          <w:trHeight w:val="426"/>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31.2</w:t>
            </w:r>
          </w:p>
        </w:tc>
        <w:tc>
          <w:tcPr>
            <w:tcW w:w="62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Certification of Chief Financial Officer Pursuant to Rule 13a-14(a)/15d-14(a)</w:t>
            </w:r>
            <w:r>
              <w:rPr>
                <w:rFonts w:ascii="Times New Roman" w:cs="Times New Roman" w:eastAsia="Times New Roman" w:hAnsi="Times New Roman"/>
                <w:sz w:val="16"/>
                <w:szCs w:val="16"/>
                <w:color w:val="0000FF"/>
                <w:w w:val="99"/>
              </w:rPr>
              <w:t>.</w:t>
            </w:r>
          </w:p>
        </w:tc>
      </w:tr>
      <w:tr>
        <w:trPr>
          <w:trHeight w:val="426"/>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32.1</w:t>
            </w:r>
          </w:p>
        </w:tc>
        <w:tc>
          <w:tcPr>
            <w:tcW w:w="6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32.2</w:t>
            </w:r>
          </w:p>
        </w:tc>
        <w:tc>
          <w:tcPr>
            <w:tcW w:w="6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18 U.S.C. Section 1350.</w:t>
            </w:r>
          </w:p>
        </w:tc>
        <w:tc>
          <w:tcPr>
            <w:tcW w:w="220" w:type="dxa"/>
            <w:vAlign w:val="bottom"/>
            <w:gridSpan w:val="3"/>
          </w:tcPr>
          <w:p>
            <w:pPr>
              <w:spacing w:after="0"/>
              <w:rPr>
                <w:sz w:val="24"/>
                <w:szCs w:val="24"/>
                <w:color w:val="auto"/>
              </w:rPr>
            </w:pPr>
          </w:p>
        </w:tc>
      </w:tr>
      <w:tr>
        <w:trPr>
          <w:trHeight w:val="47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62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18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101).</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34"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20"/>
          <w:szCs w:val="20"/>
          <w:color w:val="auto"/>
        </w:rPr>
        <w:t>Date: December 9,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Kenneth R. Bowling</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financial officer)</w:t>
      </w:r>
    </w:p>
    <w:p>
      <w:pPr>
        <w:spacing w:after="0" w:line="200" w:lineRule="exact"/>
        <w:rPr>
          <w:sz w:val="20"/>
          <w:szCs w:val="20"/>
          <w:color w:val="auto"/>
        </w:rPr>
      </w:pPr>
    </w:p>
    <w:p>
      <w:pPr>
        <w:spacing w:after="0" w:line="264"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Thomas B.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Thomas B. Gallagher, Jr.</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Vice President of Finance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INCENTIVE AWARD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THIS ANNUAL INCENTIVE AWARD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______________, is between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an Annual Incentive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pursuant to the Culp, Inc. 2015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Award</w:t>
      </w:r>
      <w:r>
        <w:rPr>
          <w:rFonts w:ascii="Times New Roman" w:cs="Times New Roman" w:eastAsia="Times New Roman" w:hAnsi="Times New Roman"/>
          <w:sz w:val="22"/>
          <w:szCs w:val="22"/>
          <w:color w:val="auto"/>
        </w:rPr>
        <w:t>. The Corporation hereby grants to Recipient the Award described below.</w:t>
      </w:r>
    </w:p>
    <w:p>
      <w:pPr>
        <w:spacing w:after="0" w:line="21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The Award will pay an incentive bonus for the Performance Period stated below to Recipient upon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 bonus payment is due pursuant to the terms of this Agreement and the Plan.</w:t>
      </w:r>
    </w:p>
    <w:p>
      <w:pPr>
        <w:spacing w:after="0" w:line="173"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The bonus payment due hereunder is calculated with reference to the Total Bonus Percentage for the Reporting Unit in which Recipient participates. The bonus due to Recipient is the Total Bonus Percentage for Recipient’s Reporting Unit multiplied by Recipient’s Bonus Opportunity.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Corporation’s fiscal year ending ___________.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Bonus Opportunity</w:t>
      </w:r>
      <w:r>
        <w:rPr>
          <w:rFonts w:ascii="Times New Roman" w:cs="Times New Roman" w:eastAsia="Times New Roman" w:hAnsi="Times New Roman"/>
          <w:sz w:val="22"/>
          <w:szCs w:val="22"/>
          <w:color w:val="auto"/>
        </w:rPr>
        <w:t>: Recipient’s Bonus Opportunity is _____% of Recipient’s base salary during the Performance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7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Total Bonus Percentage </w:t>
      </w:r>
      <w:r>
        <w:rPr>
          <w:rFonts w:ascii="Times New Roman" w:cs="Times New Roman" w:eastAsia="Times New Roman" w:hAnsi="Times New Roman"/>
          <w:sz w:val="22"/>
          <w:szCs w:val="22"/>
          <w:color w:val="auto"/>
        </w:rPr>
        <w:t>(i) for each of the Culp Home Fashions and Culp Upholstery Fabrics Reporting Unit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calculated using the percentage amounts derived from Schedule A attached hereto, 20% of which is based upon the total Adjusted Operating Income results for Recipient’s Reporting Unit during the Performance Period (the “</w:t>
      </w:r>
      <w:r>
        <w:rPr>
          <w:rFonts w:ascii="Times New Roman" w:cs="Times New Roman" w:eastAsia="Times New Roman" w:hAnsi="Times New Roman"/>
          <w:sz w:val="22"/>
          <w:szCs w:val="22"/>
          <w:b w:val="1"/>
          <w:bCs w:val="1"/>
          <w:color w:val="auto"/>
        </w:rPr>
        <w:t>Division OI Bonus Percentage</w:t>
      </w:r>
      <w:r>
        <w:rPr>
          <w:rFonts w:ascii="Times New Roman" w:cs="Times New Roman" w:eastAsia="Times New Roman" w:hAnsi="Times New Roman"/>
          <w:sz w:val="22"/>
          <w:szCs w:val="22"/>
          <w:color w:val="auto"/>
        </w:rPr>
        <w:t>”), and 80% of which is based upon the total Adjusted Free Cash Flow results for Recipient’s Reporting Unit during the Performance Period (the “</w:t>
      </w:r>
      <w:r>
        <w:rPr>
          <w:rFonts w:ascii="Times New Roman" w:cs="Times New Roman" w:eastAsia="Times New Roman" w:hAnsi="Times New Roman"/>
          <w:sz w:val="22"/>
          <w:szCs w:val="22"/>
          <w:b w:val="1"/>
          <w:bCs w:val="1"/>
          <w:color w:val="auto"/>
        </w:rPr>
        <w:t>Division FCF Bonus Percentage</w:t>
      </w:r>
      <w:r>
        <w:rPr>
          <w:rFonts w:ascii="Times New Roman" w:cs="Times New Roman" w:eastAsia="Times New Roman" w:hAnsi="Times New Roman"/>
          <w:sz w:val="22"/>
          <w:szCs w:val="22"/>
          <w:color w:val="auto"/>
        </w:rPr>
        <w:t xml:space="preserve">”), in each case with straight line interpolation being used to determine Division OI Bonus Percentage and Division FCF Bonus Percentage amounts between the amounts shown on Schedule A; upon determination of the Division OI Bonus Percentage and the Division FCF Bonus Percentage for each such Reporting Unit, the Total Bonus Percentage is calculated as follows: (20% multiplied by the Division OI Bonus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(80% multiplied by the Division FCF Bonus Percentage) = Total Bonus Percentage for such Reporting Unit; and (ii) for the Corporate Shared Services Reporting Unit is calculated using the percentage amounts derived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right="160"/>
        <w:spacing w:after="0" w:line="236" w:lineRule="auto"/>
        <w:rPr>
          <w:sz w:val="20"/>
          <w:szCs w:val="20"/>
          <w:color w:val="auto"/>
        </w:rPr>
      </w:pPr>
      <w:r>
        <w:rPr>
          <w:rFonts w:ascii="Times New Roman" w:cs="Times New Roman" w:eastAsia="Times New Roman" w:hAnsi="Times New Roman"/>
          <w:sz w:val="22"/>
          <w:szCs w:val="22"/>
          <w:color w:val="auto"/>
        </w:rPr>
        <w:t>from Schedule A attached hereto, 100% of which is based upon the total Adjusted Free Cash Flow results for the Corporate Shared Services Reporting Unit during the Performance Period (the “</w:t>
      </w:r>
      <w:r>
        <w:rPr>
          <w:rFonts w:ascii="Times New Roman" w:cs="Times New Roman" w:eastAsia="Times New Roman" w:hAnsi="Times New Roman"/>
          <w:sz w:val="22"/>
          <w:szCs w:val="22"/>
          <w:b w:val="1"/>
          <w:bCs w:val="1"/>
          <w:color w:val="auto"/>
        </w:rPr>
        <w:t>Shared Services FCF Bonus Percentage</w:t>
      </w:r>
      <w:r>
        <w:rPr>
          <w:rFonts w:ascii="Times New Roman" w:cs="Times New Roman" w:eastAsia="Times New Roman" w:hAnsi="Times New Roman"/>
          <w:sz w:val="22"/>
          <w:szCs w:val="22"/>
          <w:color w:val="auto"/>
        </w:rPr>
        <w:t>); provided, however, that in the event the Adjusted Operating Income for the Corporate Shared Services Reporting Unit reflects a loss (i.e., an Adjusted Operating Loss), then a negative moderator will be applied as a downward adjustment against any bonus earned by the Recipient as a result of the Shared Services FCF Bonus Percentage, with such moderator applied to reduce the earned bonus as follows:</w:t>
      </w:r>
    </w:p>
    <w:p>
      <w:pPr>
        <w:spacing w:after="0" w:line="181" w:lineRule="exact"/>
        <w:rPr>
          <w:sz w:val="20"/>
          <w:szCs w:val="20"/>
          <w:color w:val="auto"/>
        </w:rPr>
      </w:pPr>
    </w:p>
    <w:p>
      <w:pPr>
        <w:ind w:left="760"/>
        <w:spacing w:after="0"/>
        <w:tabs>
          <w:tab w:leader="none" w:pos="5920" w:val="left"/>
        </w:tabs>
        <w:rPr>
          <w:sz w:val="20"/>
          <w:szCs w:val="20"/>
          <w:color w:val="auto"/>
        </w:rPr>
      </w:pPr>
      <w:r>
        <w:rPr>
          <w:rFonts w:ascii="Times New Roman" w:cs="Times New Roman" w:eastAsia="Times New Roman" w:hAnsi="Times New Roman"/>
          <w:sz w:val="22"/>
          <w:szCs w:val="22"/>
          <w:color w:val="auto"/>
        </w:rPr>
        <w:t>For an Adjusted Operating Loss up to $500,000</w:t>
      </w:r>
      <w:r>
        <w:rPr>
          <w:sz w:val="20"/>
          <w:szCs w:val="20"/>
          <w:color w:val="auto"/>
        </w:rPr>
        <w:tab/>
      </w:r>
      <w:r>
        <w:rPr>
          <w:rFonts w:ascii="Times New Roman" w:cs="Times New Roman" w:eastAsia="Times New Roman" w:hAnsi="Times New Roman"/>
          <w:sz w:val="21"/>
          <w:szCs w:val="21"/>
          <w:color w:val="auto"/>
        </w:rPr>
        <w:t>5% reduction</w:t>
      </w:r>
    </w:p>
    <w:p>
      <w:pPr>
        <w:spacing w:after="0" w:line="4" w:lineRule="exact"/>
        <w:rPr>
          <w:sz w:val="20"/>
          <w:szCs w:val="20"/>
          <w:color w:val="auto"/>
        </w:rPr>
      </w:pPr>
    </w:p>
    <w:p>
      <w:pPr>
        <w:ind w:left="760"/>
        <w:spacing w:after="0"/>
        <w:tabs>
          <w:tab w:leader="none" w:pos="6360" w:val="left"/>
        </w:tabs>
        <w:rPr>
          <w:sz w:val="20"/>
          <w:szCs w:val="20"/>
          <w:color w:val="auto"/>
        </w:rPr>
      </w:pPr>
      <w:r>
        <w:rPr>
          <w:rFonts w:ascii="Times New Roman" w:cs="Times New Roman" w:eastAsia="Times New Roman" w:hAnsi="Times New Roman"/>
          <w:sz w:val="22"/>
          <w:szCs w:val="22"/>
          <w:color w:val="auto"/>
        </w:rPr>
        <w:t>For an Adjusted Operating Loss from $500,001 to $1 million</w:t>
      </w:r>
      <w:r>
        <w:rPr>
          <w:sz w:val="20"/>
          <w:szCs w:val="20"/>
          <w:color w:val="auto"/>
        </w:rPr>
        <w:tab/>
      </w:r>
      <w:r>
        <w:rPr>
          <w:rFonts w:ascii="Times New Roman" w:cs="Times New Roman" w:eastAsia="Times New Roman" w:hAnsi="Times New Roman"/>
          <w:sz w:val="21"/>
          <w:szCs w:val="21"/>
          <w:color w:val="auto"/>
        </w:rPr>
        <w:t>10% reduction</w:t>
      </w:r>
    </w:p>
    <w:p>
      <w:pPr>
        <w:ind w:left="760"/>
        <w:spacing w:after="0"/>
        <w:tabs>
          <w:tab w:leader="none" w:pos="6780" w:val="left"/>
        </w:tabs>
        <w:rPr>
          <w:sz w:val="20"/>
          <w:szCs w:val="20"/>
          <w:color w:val="auto"/>
        </w:rPr>
      </w:pPr>
      <w:r>
        <w:rPr>
          <w:rFonts w:ascii="Times New Roman" w:cs="Times New Roman" w:eastAsia="Times New Roman" w:hAnsi="Times New Roman"/>
          <w:sz w:val="22"/>
          <w:szCs w:val="22"/>
          <w:color w:val="auto"/>
        </w:rPr>
        <w:t>For an Adjusted Operating Loss from $1,000,001 to $1.5 million</w:t>
      </w:r>
      <w:r>
        <w:rPr>
          <w:sz w:val="20"/>
          <w:szCs w:val="20"/>
          <w:color w:val="auto"/>
        </w:rPr>
        <w:tab/>
      </w:r>
      <w:r>
        <w:rPr>
          <w:rFonts w:ascii="Times New Roman" w:cs="Times New Roman" w:eastAsia="Times New Roman" w:hAnsi="Times New Roman"/>
          <w:sz w:val="21"/>
          <w:szCs w:val="21"/>
          <w:color w:val="auto"/>
        </w:rPr>
        <w:t>15% reduction</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an Adjusted Operating Loss that is greater than $1.5 million 20% reduction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maximum Total Bonus Percentage for this award for each Reporting Unit is 200%.</w:t>
      </w:r>
    </w:p>
    <w:p>
      <w:pPr>
        <w:spacing w:after="0" w:line="20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Operating Income</w:t>
      </w:r>
      <w:r>
        <w:rPr>
          <w:rFonts w:ascii="Times New Roman" w:cs="Times New Roman" w:eastAsia="Times New Roman" w:hAnsi="Times New Roman"/>
          <w:sz w:val="22"/>
          <w:szCs w:val="22"/>
          <w:color w:val="auto"/>
        </w:rPr>
        <w:t>” shall mean operating income or loss for a Reporting Unit as calculated and recorded on the Reporting Unit’s financial statements, but excluding (prior to) the payment of bonus payments related to bonuses awarded under this form of Agreement under the annual incentive plan, and also excluding extraordinary and non-recurring items including restructuring and related charges, goodwill or fixed asset impairment charges, prepayment fees on debt, other extraordinary charges or credits, and the effects of acquisitions, and also excluding any other items that the Committee deems appropriate for exclusion.</w:t>
      </w:r>
    </w:p>
    <w:p>
      <w:pPr>
        <w:spacing w:after="0" w:line="17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Adjusted Free Cash Flow</w:t>
      </w:r>
      <w:r>
        <w:rPr>
          <w:rFonts w:ascii="Times New Roman" w:cs="Times New Roman" w:eastAsia="Times New Roman" w:hAnsi="Times New Roman"/>
          <w:sz w:val="21"/>
          <w:szCs w:val="21"/>
          <w:color w:val="auto"/>
        </w:rPr>
        <w:t>” (i) for the Corporate Shared Services Reporting Unit shall mean such Reporting Unit’s net cash provided by (used in) operating activities (which shall include and be calculated using the Adjusted Operating Income, as defined above, for the Reporting Unit), less cash capital expenditures and payments on vendor-financed capital expenditures, plus any proceeds from sale of property, plant, and equipment, plus proceeds from the sale of long-term investments associated with the Corporation’s rabbi trust, less the purchase of long-term investments associated with the Corporation’s rabbi trust, and plus or minus the effects of exchange rate changes on cash and cash equivalents, in each case as calculated and reported on the Reporting Unit’s financial statements, and also excluding any other items that the Committee deems appropriate for exclusion; and (ii) for each Division Reporting Unit shall mean such Division’s cash from earnings (which shall include and be calculated using Adjusted Operating Income, as defined above, for the Division), plus or minus cash from working capital, less cash capital expenditures, and plus proceeds from sale of property, plant, and equipment, in each case as calculated and reported by the Division, and also excluding any other items the Committee deems appropriate for exclusion.</w:t>
      </w:r>
    </w:p>
    <w:p>
      <w:pPr>
        <w:spacing w:after="0" w:line="177"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 The bonus amount to be paid hereunder will vest and become payable upon final determination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amount to be paid by the Corporation and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determination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the applicable Performance Period, then the bonus amount to be paid here under will not vest and become payable until after such filing is complete.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2" w:name="page53"/>
    <w:bookmarkEnd w:id="52"/>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Awards (and a bonus payment at Recipient’s Bonus Opportunity) shall immediately vest and become payable upon the occurrence of the following:</w:t>
      </w:r>
    </w:p>
    <w:p>
      <w:pPr>
        <w:spacing w:after="0" w:line="158" w:lineRule="exact"/>
        <w:rPr>
          <w:sz w:val="20"/>
          <w:szCs w:val="20"/>
          <w:color w:val="auto"/>
        </w:rPr>
      </w:pPr>
    </w:p>
    <w:p>
      <w:pPr>
        <w:ind w:left="2260" w:hanging="755"/>
        <w:spacing w:after="0"/>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in anticipation of a Change of Control, or</w:t>
      </w:r>
    </w:p>
    <w:p>
      <w:pPr>
        <w:spacing w:after="0" w:line="206" w:lineRule="exact"/>
        <w:rPr>
          <w:rFonts w:ascii="Times New Roman" w:cs="Times New Roman" w:eastAsia="Times New Roman" w:hAnsi="Times New Roman"/>
          <w:sz w:val="22"/>
          <w:szCs w:val="22"/>
          <w:color w:val="auto"/>
        </w:rPr>
      </w:pPr>
    </w:p>
    <w:p>
      <w:pPr>
        <w:ind w:left="760" w:firstLine="745"/>
        <w:spacing w:after="0" w:line="244" w:lineRule="auto"/>
        <w:tabs>
          <w:tab w:leader="none" w:pos="225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18-month period following such Change of Control (provided that the bonus payment provided for hereunder shall have not already become due and been paid),</w:t>
      </w:r>
    </w:p>
    <w:p>
      <w:pPr>
        <w:spacing w:after="0" w:line="173" w:lineRule="exact"/>
        <w:rPr>
          <w:sz w:val="20"/>
          <w:szCs w:val="20"/>
          <w:color w:val="auto"/>
        </w:rPr>
      </w:pPr>
    </w:p>
    <w:p>
      <w:pPr>
        <w:ind w:left="1500" w:right="160" w:firstLine="749"/>
        <w:spacing w:after="0" w:line="258" w:lineRule="auto"/>
        <w:rPr>
          <w:sz w:val="20"/>
          <w:szCs w:val="20"/>
          <w:color w:val="auto"/>
        </w:rPr>
      </w:pPr>
      <w:r>
        <w:rPr>
          <w:rFonts w:ascii="Times New Roman" w:cs="Times New Roman" w:eastAsia="Times New Roman" w:hAnsi="Times New Roman"/>
          <w:sz w:val="22"/>
          <w:szCs w:val="22"/>
          <w:color w:val="auto"/>
        </w:rPr>
        <w:t>(i) Recipient’s employment is terminated by the Corporation or an affiliate thereof for any reason other than for death, Disability or Cause, or</w:t>
      </w:r>
    </w:p>
    <w:p>
      <w:pPr>
        <w:spacing w:after="0" w:line="158" w:lineRule="exact"/>
        <w:rPr>
          <w:sz w:val="20"/>
          <w:szCs w:val="20"/>
          <w:color w:val="auto"/>
        </w:rPr>
      </w:pPr>
    </w:p>
    <w:p>
      <w:pPr>
        <w:ind w:left="2260"/>
        <w:spacing w:after="0"/>
        <w:tabs>
          <w:tab w:leader="none" w:pos="418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Recipient terminates his/her employment for Good Reason within one year</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following the initial existence of the conditions giving rise to such Good Reason.</w:t>
      </w:r>
    </w:p>
    <w:p>
      <w:pPr>
        <w:spacing w:after="0" w:line="178" w:lineRule="exact"/>
        <w:rPr>
          <w:sz w:val="20"/>
          <w:szCs w:val="20"/>
          <w:color w:val="auto"/>
        </w:rPr>
      </w:pPr>
    </w:p>
    <w:p>
      <w:pPr>
        <w:ind w:right="6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3.Additional Definitions</w:t>
      </w:r>
      <w:r>
        <w:rPr>
          <w:rFonts w:ascii="Times New Roman" w:cs="Times New Roman" w:eastAsia="Times New Roman" w:hAnsi="Times New Roman"/>
          <w:sz w:val="22"/>
          <w:szCs w:val="22"/>
          <w:color w:val="auto"/>
        </w:rPr>
        <w:t>. For purposes of this Agreement, the following terms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indicated below:</w:t>
      </w:r>
    </w:p>
    <w:p>
      <w:pPr>
        <w:spacing w:after="0" w:line="150" w:lineRule="exact"/>
        <w:rPr>
          <w:sz w:val="20"/>
          <w:szCs w:val="20"/>
          <w:color w:val="auto"/>
        </w:rPr>
      </w:pPr>
    </w:p>
    <w:p>
      <w:pPr>
        <w:ind w:left="760"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760"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Adjusted Operating Income or Adjusted Free Cash Flow of a 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 a sale of all or substantially all of the assets of such Division by the Corporation to an unaffiliated third party.</w:t>
      </w:r>
    </w:p>
    <w:p>
      <w:pPr>
        <w:spacing w:after="0" w:line="172" w:lineRule="exact"/>
        <w:rPr>
          <w:sz w:val="20"/>
          <w:szCs w:val="20"/>
          <w:color w:val="auto"/>
        </w:rPr>
      </w:pPr>
    </w:p>
    <w:p>
      <w:pPr>
        <w:ind w:left="760"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22"/>
          <w:szCs w:val="22"/>
          <w:color w:val="auto"/>
        </w:rPr>
        <w:t>authorize the physician to release the results of Recipient’s examination to the Corporation.</w:t>
      </w:r>
    </w:p>
    <w:p>
      <w:pPr>
        <w:spacing w:after="0" w:line="202" w:lineRule="exact"/>
        <w:rPr>
          <w:sz w:val="20"/>
          <w:szCs w:val="20"/>
          <w:color w:val="auto"/>
        </w:rPr>
      </w:pPr>
    </w:p>
    <w:p>
      <w:pPr>
        <w:ind w:left="760" w:right="18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thirty days after Recipient notifies the Corporation of the existence of such conditions as hereinafter provided:</w:t>
      </w:r>
    </w:p>
    <w:p>
      <w:pPr>
        <w:spacing w:after="0" w:line="171" w:lineRule="exact"/>
        <w:rPr>
          <w:sz w:val="20"/>
          <w:szCs w:val="20"/>
          <w:color w:val="auto"/>
        </w:rPr>
      </w:pPr>
    </w:p>
    <w:p>
      <w:pPr>
        <w:ind w:left="2260" w:hanging="755"/>
        <w:spacing w:after="0"/>
        <w:tabs>
          <w:tab w:leader="none" w:pos="22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25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w:t>
      </w:r>
    </w:p>
    <w:p>
      <w:pPr>
        <w:spacing w:after="0" w:line="158" w:lineRule="exact"/>
        <w:rPr>
          <w:rFonts w:ascii="Times New Roman" w:cs="Times New Roman" w:eastAsia="Times New Roman" w:hAnsi="Times New Roman"/>
          <w:sz w:val="22"/>
          <w:szCs w:val="22"/>
          <w:color w:val="auto"/>
        </w:rPr>
      </w:pPr>
    </w:p>
    <w:p>
      <w:pPr>
        <w:ind w:left="760" w:right="700" w:firstLine="745"/>
        <w:spacing w:after="0" w:line="258" w:lineRule="auto"/>
        <w:tabs>
          <w:tab w:leader="none" w:pos="225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change in the geographic location at which Recipient must regularly perform services for the</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jc w:val="both"/>
        <w:ind w:left="760" w:right="40" w:firstLine="749"/>
        <w:spacing w:after="0" w:line="251" w:lineRule="auto"/>
        <w:rPr>
          <w:sz w:val="20"/>
          <w:szCs w:val="20"/>
          <w:color w:val="auto"/>
        </w:rPr>
      </w:pPr>
      <w:r>
        <w:rPr>
          <w:rFonts w:ascii="Times New Roman" w:cs="Times New Roman" w:eastAsia="Times New Roman" w:hAnsi="Times New Roman"/>
          <w:sz w:val="21"/>
          <w:szCs w:val="21"/>
          <w:color w:val="auto"/>
        </w:rPr>
        <w:t>Recipient shall notify the Corporation that he/she believes that one or more of the conditions described above exists, and of his/her intention to terminate employment for Good Reason as a result thereof, within sixty days after the time that he/she gains knowledge of such conditions. Recipient shall not deliver a notice of termination of employment for Good Reason until thirty days after he/she delivers the notice described in the preceding sentence, and Recipient may do so only if the conditions described in such notice have not been fully corrected by the Corporation.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4.Settlement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As soon as reasonably practicable following (i) a determination by the Corporation that a bonus payment is due hereunder and (ii) the Corporation’s filing with the SEC of its annual report on Form 10-K that relates to the financial results for the applicable Performance Period of the Award, the bonus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3"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5.Forfeiture</w:t>
      </w:r>
      <w:r>
        <w:rPr>
          <w:rFonts w:ascii="Times New Roman" w:cs="Times New Roman" w:eastAsia="Times New Roman" w:hAnsi="Times New Roman"/>
          <w:sz w:val="22"/>
          <w:szCs w:val="22"/>
          <w:color w:val="auto"/>
        </w:rPr>
        <w:t>. All bonus amounts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forfeited by Recipient effective as of the earlier to occur of (a) the first day after the end of the Performance Period (to the extent that neither Adjusted Operating Income nor Adjusted Free Cash Flow for the relevant Reporting Unit is sufficient to cause any bonus payment to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ind w:right="120"/>
        <w:spacing w:after="0" w:line="244" w:lineRule="auto"/>
        <w:rPr>
          <w:sz w:val="20"/>
          <w:szCs w:val="20"/>
          <w:color w:val="auto"/>
        </w:rPr>
      </w:pPr>
      <w:r>
        <w:rPr>
          <w:rFonts w:ascii="Times New Roman" w:cs="Times New Roman" w:eastAsia="Times New Roman" w:hAnsi="Times New Roman"/>
          <w:sz w:val="22"/>
          <w:szCs w:val="22"/>
          <w:color w:val="auto"/>
        </w:rPr>
        <w:t>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bonus amounts shall automatically, without further action by the Corporation or Recipient, be cancelled and forfeited.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6.Tax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firstLine="745"/>
        <w:spacing w:after="0" w:line="238" w:lineRule="auto"/>
        <w:tabs>
          <w:tab w:leader="none" w:pos="225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or payment of a bonus hereunder, and the Corporation, to the extent permitted by law, have the right to deduct from any payment of any kind otherwise due to Recipient all federal, state and local income, social security and payroll taxes of any kind required by law to be withheld with respect to the vesting or payment of a bonus earned hereunder.</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33" w:lineRule="auto"/>
        <w:tabs>
          <w:tab w:leader="none" w:pos="225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7.Clawback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40" w:firstLine="745"/>
        <w:spacing w:after="0" w:line="236" w:lineRule="auto"/>
        <w:tabs>
          <w:tab w:leader="none" w:pos="225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Corporation’s reported financial or operating results become subject to a material negative restatement, the Committee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181" w:lineRule="exact"/>
        <w:rPr>
          <w:sz w:val="20"/>
          <w:szCs w:val="20"/>
          <w:color w:val="auto"/>
        </w:rPr>
      </w:pPr>
    </w:p>
    <w:p>
      <w:pPr>
        <w:ind w:left="760" w:right="260" w:firstLine="749"/>
        <w:spacing w:after="0" w:line="236" w:lineRule="auto"/>
        <w:rPr>
          <w:sz w:val="20"/>
          <w:szCs w:val="20"/>
          <w:color w:val="auto"/>
        </w:rPr>
      </w:pPr>
      <w:r>
        <w:rPr>
          <w:rFonts w:ascii="Times New Roman" w:cs="Times New Roman" w:eastAsia="Times New Roman" w:hAnsi="Times New Roman"/>
          <w:sz w:val="22"/>
          <w:szCs w:val="22"/>
          <w:color w:val="auto"/>
        </w:rPr>
        <w:t>In the alternative, the Committee may require Recipient to repay or return compensation awarded hereunder pursuant to such rules as may be adopted from time to time pursuant to Section 954 of the Dodd-Frank Wall Street Reform and Consumer Protection Act, to the extent applicable. By acceptance of any Award or bonus payment hereunder, Recipient expressly acknowledges and agrees that any and all amounts paid to Recipient hereunder are and will be fully subject to the terms of any policy regarding repayment, recoupment or clawback of compensation now or hereafter adopted by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right="60"/>
        <w:spacing w:after="0" w:line="238" w:lineRule="auto"/>
        <w:rPr>
          <w:sz w:val="20"/>
          <w:szCs w:val="20"/>
          <w:color w:val="auto"/>
        </w:rPr>
      </w:pPr>
      <w:r>
        <w:rPr>
          <w:rFonts w:ascii="Times New Roman" w:cs="Times New Roman" w:eastAsia="Times New Roman" w:hAnsi="Times New Roman"/>
          <w:sz w:val="22"/>
          <w:szCs w:val="22"/>
          <w:color w:val="auto"/>
        </w:rPr>
        <w:t>Corporation in response to the requirements of the Dodd-Frank Wall Street Reform and Consumer Protection Act, rulemaking of the Securities and Exchange Commission or otherwise. Recipient acknowledges and agrees that any such policy will apply to any and all bonus amounts paid hereunder in accordance with its terms, whether retroactively or prospectively, and agrees to cooperate fully with the Corporation to facilitate the recovery of any that the Committee determines in its sole discretion is required to be recovered pursuant to the terms of such policy.</w:t>
      </w:r>
    </w:p>
    <w:p>
      <w:pPr>
        <w:spacing w:after="0" w:line="177"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bonus amounts paid hereunder under this Section 7(a) are independent of any involvement by such Recipient in events that led to the restatement. The provisions of this Section 7(a) are in addition to, not in lieu of, any remedies that the Corporation may have against any persons whose misconduct caused or contributed to a need to restate the Corporation’s reported results.</w:t>
      </w:r>
    </w:p>
    <w:p>
      <w:pPr>
        <w:spacing w:after="0" w:line="180" w:lineRule="exact"/>
        <w:rPr>
          <w:sz w:val="20"/>
          <w:szCs w:val="20"/>
          <w:color w:val="auto"/>
        </w:rPr>
      </w:pPr>
    </w:p>
    <w:p>
      <w:pPr>
        <w:ind w:firstLine="745"/>
        <w:spacing w:after="0" w:line="235" w:lineRule="auto"/>
        <w:tabs>
          <w:tab w:leader="none" w:pos="149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w:t>
      </w:r>
    </w:p>
    <w:p>
      <w:pPr>
        <w:spacing w:after="0" w:line="178"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By acceptance of any Award or bonus payment hereunder, Recipient expressly acknowledges and agrees that any and all amounts paid to Recipient hereunder are and will be fully subject to the terms of the foregoing clawback provision, and agrees to cooperate fully with the Corporation to facilitate the recovery of any such amounts that the Committee requires to be recovered pursuant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745"/>
        <w:spacing w:after="0" w:line="246" w:lineRule="auto"/>
        <w:tabs>
          <w:tab w:leader="none" w:pos="149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right="400" w:firstLine="745"/>
        <w:spacing w:after="0" w:line="250" w:lineRule="auto"/>
        <w:tabs>
          <w:tab w:leader="none" w:pos="149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 Amendment and Waiver</w:t>
      </w:r>
      <w:r>
        <w:rPr>
          <w:rFonts w:ascii="Times New Roman" w:cs="Times New Roman" w:eastAsia="Times New Roman" w:hAnsi="Times New Roman"/>
          <w:sz w:val="21"/>
          <w:szCs w:val="21"/>
          <w:color w:val="auto"/>
        </w:rPr>
        <w:t>. This Agreement and the Award granted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6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203835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8" w:right="339" w:bottom="1440" w:gutter="0" w:footer="0" w:header="0"/>
        </w:sectPr>
      </w:pPr>
    </w:p>
    <w:bookmarkStart w:id="56" w:name="page57"/>
    <w:bookmarkEnd w:id="56"/>
    <w:p>
      <w:pPr>
        <w:ind w:left="3" w:firstLine="745"/>
        <w:spacing w:after="0" w:line="238" w:lineRule="auto"/>
        <w:tabs>
          <w:tab w:leader="none" w:pos="15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Award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left="3" w:right="100" w:firstLine="745"/>
        <w:spacing w:after="0" w:line="262" w:lineRule="auto"/>
        <w:tabs>
          <w:tab w:leader="none" w:pos="15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employ of the Corporation or any of its Subsidiaries.</w:t>
      </w:r>
    </w:p>
    <w:p>
      <w:pPr>
        <w:spacing w:after="0" w:line="149" w:lineRule="exact"/>
        <w:rPr>
          <w:rFonts w:ascii="Times New Roman" w:cs="Times New Roman" w:eastAsia="Times New Roman" w:hAnsi="Times New Roman"/>
          <w:sz w:val="22"/>
          <w:szCs w:val="22"/>
          <w:color w:val="auto"/>
        </w:rPr>
      </w:pPr>
    </w:p>
    <w:p>
      <w:pPr>
        <w:ind w:left="3" w:right="100" w:firstLine="745"/>
        <w:spacing w:after="0" w:line="236" w:lineRule="auto"/>
        <w:tabs>
          <w:tab w:leader="none" w:pos="15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ind w:left="3" w:right="60" w:firstLine="745"/>
        <w:spacing w:after="0" w:line="248" w:lineRule="auto"/>
        <w:tabs>
          <w:tab w:leader="none" w:pos="150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hereunder to the Corporation shall be addressed to the Corporation’s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 Attention: Compensation Committee, and any notice hereunder to Recipient shall be addressed to Recipient at his last address in the records of the Corporation, subject to the right of either party to designate at any time hereafter in writing a different address. Any notice shall be deemed to have been given when delivered personally, one</w:t>
      </w:r>
    </w:p>
    <w:p>
      <w:pPr>
        <w:spacing w:after="0" w:line="1" w:lineRule="exact"/>
        <w:rPr>
          <w:rFonts w:ascii="Times New Roman" w:cs="Times New Roman" w:eastAsia="Times New Roman" w:hAnsi="Times New Roman"/>
          <w:sz w:val="21"/>
          <w:szCs w:val="21"/>
          <w:color w:val="auto"/>
        </w:rPr>
      </w:pPr>
    </w:p>
    <w:p>
      <w:pPr>
        <w:ind w:left="3" w:right="200" w:hanging="3"/>
        <w:spacing w:after="0" w:line="237" w:lineRule="auto"/>
        <w:tabs>
          <w:tab w:leader="none" w:pos="30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after dispatch if sent by reputable overnight courier, fees prepaid, or three (3) days following mailing if sent by registered mail, return receipt requested, postage prepaid and addressed as set forth above.</w:t>
      </w:r>
    </w:p>
    <w:p>
      <w:pPr>
        <w:spacing w:after="0" w:line="178" w:lineRule="exact"/>
        <w:rPr>
          <w:sz w:val="20"/>
          <w:szCs w:val="20"/>
          <w:color w:val="auto"/>
        </w:rPr>
      </w:pPr>
    </w:p>
    <w:p>
      <w:pPr>
        <w:jc w:val="center"/>
        <w:ind w:right="697"/>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6" w:lineRule="exact"/>
        <w:rPr>
          <w:sz w:val="20"/>
          <w:szCs w:val="20"/>
          <w:color w:val="auto"/>
        </w:rPr>
      </w:pPr>
    </w:p>
    <w:p>
      <w:pPr>
        <w:jc w:val="center"/>
        <w:ind w:right="697"/>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203835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32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32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-13970</wp:posOffset>
            </wp:positionV>
            <wp:extent cx="274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-22860</wp:posOffset>
            </wp:positionV>
            <wp:extent cx="274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-29210</wp:posOffset>
            </wp:positionV>
            <wp:extent cx="274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416560</wp:posOffset>
            </wp:positionV>
            <wp:extent cx="274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203835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4" w:right="1440"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6"/>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SCHEDULE A</w:t>
            </w: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884"/>
        </w:trPr>
        <w:tc>
          <w:tcPr>
            <w:tcW w:w="4920" w:type="dxa"/>
            <w:vAlign w:val="bottom"/>
            <w:gridSpan w:val="5"/>
          </w:tcPr>
          <w:p>
            <w:pPr>
              <w:jc w:val="center"/>
              <w:ind w:left="1732"/>
              <w:spacing w:after="0"/>
              <w:rPr>
                <w:sz w:val="20"/>
                <w:szCs w:val="20"/>
                <w:color w:val="auto"/>
              </w:rPr>
            </w:pPr>
            <w:r>
              <w:rPr>
                <w:rFonts w:ascii="Times New Roman" w:cs="Times New Roman" w:eastAsia="Times New Roman" w:hAnsi="Times New Roman"/>
                <w:sz w:val="22"/>
                <w:szCs w:val="22"/>
                <w:color w:val="auto"/>
                <w:w w:val="98"/>
              </w:rPr>
              <w:t>OI Bonus Percentage</w:t>
            </w:r>
          </w:p>
        </w:tc>
        <w:tc>
          <w:tcPr>
            <w:tcW w:w="6320" w:type="dxa"/>
            <w:vAlign w:val="bottom"/>
            <w:gridSpan w:val="6"/>
          </w:tcPr>
          <w:p>
            <w:pPr>
              <w:jc w:val="center"/>
              <w:ind w:right="1220"/>
              <w:spacing w:after="0"/>
              <w:rPr>
                <w:sz w:val="20"/>
                <w:szCs w:val="20"/>
                <w:color w:val="auto"/>
              </w:rPr>
            </w:pPr>
            <w:r>
              <w:rPr>
                <w:rFonts w:ascii="Times New Roman" w:cs="Times New Roman" w:eastAsia="Times New Roman" w:hAnsi="Times New Roman"/>
                <w:sz w:val="22"/>
                <w:szCs w:val="22"/>
                <w:color w:val="auto"/>
                <w:w w:val="98"/>
              </w:rPr>
              <w:t>Adjusted Operating Income Results</w:t>
            </w:r>
          </w:p>
        </w:tc>
      </w:tr>
      <w:tr>
        <w:trPr>
          <w:trHeight w:val="411"/>
        </w:trPr>
        <w:tc>
          <w:tcPr>
            <w:tcW w:w="2460" w:type="dxa"/>
            <w:vAlign w:val="bottom"/>
          </w:tcPr>
          <w:p>
            <w:pPr>
              <w:spacing w:after="0"/>
              <w:rPr>
                <w:sz w:val="24"/>
                <w:szCs w:val="24"/>
                <w:color w:val="auto"/>
              </w:rPr>
            </w:pPr>
          </w:p>
        </w:tc>
        <w:tc>
          <w:tcPr>
            <w:tcW w:w="1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5"/>
              </w:rPr>
              <w:t>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jc w:val="center"/>
              <w:ind w:right="392"/>
              <w:spacing w:after="0"/>
              <w:rPr>
                <w:sz w:val="20"/>
                <w:szCs w:val="20"/>
                <w:color w:val="auto"/>
              </w:rPr>
            </w:pPr>
            <w:r>
              <w:rPr>
                <w:rFonts w:ascii="Times New Roman" w:cs="Times New Roman" w:eastAsia="Times New Roman" w:hAnsi="Times New Roman"/>
                <w:sz w:val="22"/>
                <w:szCs w:val="22"/>
                <w:color w:val="auto"/>
                <w:w w:val="97"/>
              </w:rPr>
              <w:t>Below $X</w:t>
            </w:r>
          </w:p>
        </w:tc>
        <w:tc>
          <w:tcPr>
            <w:tcW w:w="2220" w:type="dxa"/>
            <w:vAlign w:val="bottom"/>
            <w:gridSpan w:val="2"/>
          </w:tcPr>
          <w:p>
            <w:pPr>
              <w:spacing w:after="0"/>
              <w:rPr>
                <w:sz w:val="24"/>
                <w:szCs w:val="24"/>
                <w:color w:val="auto"/>
              </w:rPr>
            </w:pPr>
          </w:p>
        </w:tc>
      </w:tr>
      <w:tr>
        <w:trPr>
          <w:trHeight w:val="378"/>
        </w:trPr>
        <w:tc>
          <w:tcPr>
            <w:tcW w:w="4300" w:type="dxa"/>
            <w:vAlign w:val="bottom"/>
            <w:gridSpan w:val="3"/>
          </w:tcPr>
          <w:p>
            <w:pPr>
              <w:jc w:val="center"/>
              <w:ind w:left="2352"/>
              <w:spacing w:after="0"/>
              <w:rPr>
                <w:sz w:val="20"/>
                <w:szCs w:val="20"/>
                <w:color w:val="auto"/>
              </w:rPr>
            </w:pPr>
            <w:r>
              <w:rPr>
                <w:rFonts w:ascii="Times New Roman" w:cs="Times New Roman" w:eastAsia="Times New Roman" w:hAnsi="Times New Roman"/>
                <w:sz w:val="22"/>
                <w:szCs w:val="22"/>
                <w:color w:val="auto"/>
                <w:w w:val="99"/>
              </w:rPr>
              <w:t>20%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52"/>
              <w:spacing w:after="0"/>
              <w:rPr>
                <w:sz w:val="20"/>
                <w:szCs w:val="20"/>
                <w:color w:val="auto"/>
              </w:rPr>
            </w:pPr>
            <w:r>
              <w:rPr>
                <w:rFonts w:ascii="Times New Roman" w:cs="Times New Roman" w:eastAsia="Times New Roman" w:hAnsi="Times New Roman"/>
                <w:sz w:val="22"/>
                <w:szCs w:val="22"/>
                <w:color w:val="auto"/>
                <w:w w:val="99"/>
              </w:rPr>
              <w:t>25%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52"/>
              <w:spacing w:after="0"/>
              <w:rPr>
                <w:sz w:val="20"/>
                <w:szCs w:val="20"/>
                <w:color w:val="auto"/>
              </w:rPr>
            </w:pPr>
            <w:r>
              <w:rPr>
                <w:rFonts w:ascii="Times New Roman" w:cs="Times New Roman" w:eastAsia="Times New Roman" w:hAnsi="Times New Roman"/>
                <w:sz w:val="22"/>
                <w:szCs w:val="22"/>
                <w:color w:val="auto"/>
                <w:w w:val="99"/>
              </w:rPr>
              <w:t>50%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52"/>
              <w:spacing w:after="0"/>
              <w:rPr>
                <w:sz w:val="20"/>
                <w:szCs w:val="20"/>
                <w:color w:val="auto"/>
              </w:rPr>
            </w:pPr>
            <w:r>
              <w:rPr>
                <w:rFonts w:ascii="Times New Roman" w:cs="Times New Roman" w:eastAsia="Times New Roman" w:hAnsi="Times New Roman"/>
                <w:sz w:val="22"/>
                <w:szCs w:val="22"/>
                <w:color w:val="auto"/>
                <w:w w:val="99"/>
              </w:rPr>
              <w:t>75%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100%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40"/>
              <w:spacing w:after="0"/>
              <w:rPr>
                <w:sz w:val="20"/>
                <w:szCs w:val="20"/>
                <w:color w:val="auto"/>
              </w:rPr>
            </w:pPr>
            <w:r>
              <w:rPr>
                <w:rFonts w:ascii="Times New Roman" w:cs="Times New Roman" w:eastAsia="Times New Roman" w:hAnsi="Times New Roman"/>
                <w:sz w:val="22"/>
                <w:szCs w:val="22"/>
                <w:color w:val="auto"/>
                <w:w w:val="97"/>
              </w:rPr>
              <w:t>Target Level</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125%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150%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175%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200%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40"/>
              <w:spacing w:after="0"/>
              <w:rPr>
                <w:sz w:val="20"/>
                <w:szCs w:val="20"/>
                <w:color w:val="auto"/>
              </w:rPr>
            </w:pPr>
            <w:r>
              <w:rPr>
                <w:rFonts w:ascii="Times New Roman" w:cs="Times New Roman" w:eastAsia="Times New Roman" w:hAnsi="Times New Roman"/>
                <w:sz w:val="22"/>
                <w:szCs w:val="22"/>
                <w:color w:val="auto"/>
                <w:w w:val="98"/>
              </w:rPr>
              <w:t>Maximum</w:t>
            </w:r>
          </w:p>
        </w:tc>
      </w:tr>
      <w:tr>
        <w:trPr>
          <w:trHeight w:val="1189"/>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FCF Bonus Percentage</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Adjusted Free Cash Flow Results</w:t>
            </w:r>
          </w:p>
        </w:tc>
      </w:tr>
      <w:tr>
        <w:trPr>
          <w:trHeight w:val="410"/>
        </w:trPr>
        <w:tc>
          <w:tcPr>
            <w:tcW w:w="2800" w:type="dxa"/>
            <w:vAlign w:val="bottom"/>
            <w:gridSpan w:val="2"/>
          </w:tcPr>
          <w:p>
            <w:pPr>
              <w:spacing w:after="0"/>
              <w:rPr>
                <w:sz w:val="24"/>
                <w:szCs w:val="24"/>
                <w:color w:val="auto"/>
              </w:rPr>
            </w:pPr>
          </w:p>
        </w:tc>
        <w:tc>
          <w:tcPr>
            <w:tcW w:w="1500" w:type="dxa"/>
            <w:vAlign w:val="bottom"/>
            <w:tcBorders>
              <w:top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color w:val="auto"/>
                <w:w w:val="95"/>
              </w:rPr>
              <w:t>0%</w:t>
            </w: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22"/>
                <w:szCs w:val="22"/>
                <w:color w:val="auto"/>
                <w:w w:val="98"/>
              </w:rPr>
              <w:t>Less than $X</w:t>
            </w:r>
          </w:p>
        </w:tc>
        <w:tc>
          <w:tcPr>
            <w:tcW w:w="1900" w:type="dxa"/>
            <w:vAlign w:val="bottom"/>
          </w:tcPr>
          <w:p>
            <w:pPr>
              <w:spacing w:after="0"/>
              <w:rPr>
                <w:sz w:val="24"/>
                <w:szCs w:val="24"/>
                <w:color w:val="auto"/>
              </w:rPr>
            </w:pP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100%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40"/>
              <w:spacing w:after="0"/>
              <w:rPr>
                <w:sz w:val="20"/>
                <w:szCs w:val="20"/>
                <w:color w:val="auto"/>
              </w:rPr>
            </w:pPr>
            <w:r>
              <w:rPr>
                <w:rFonts w:ascii="Times New Roman" w:cs="Times New Roman" w:eastAsia="Times New Roman" w:hAnsi="Times New Roman"/>
                <w:sz w:val="22"/>
                <w:szCs w:val="22"/>
                <w:color w:val="auto"/>
                <w:w w:val="97"/>
              </w:rPr>
              <w:t>Target Level</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22"/>
                <w:szCs w:val="22"/>
                <w:color w:val="auto"/>
                <w:w w:val="99"/>
              </w:rPr>
              <w:t>X%</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20"/>
              <w:spacing w:after="0"/>
              <w:rPr>
                <w:sz w:val="20"/>
                <w:szCs w:val="20"/>
                <w:color w:val="auto"/>
              </w:rPr>
            </w:pPr>
            <w:r>
              <w:rPr>
                <w:rFonts w:ascii="Times New Roman" w:cs="Times New Roman" w:eastAsia="Times New Roman" w:hAnsi="Times New Roman"/>
                <w:sz w:val="22"/>
                <w:szCs w:val="22"/>
                <w:color w:val="auto"/>
              </w:rPr>
              <w:t>X</w:t>
            </w:r>
          </w:p>
        </w:tc>
      </w:tr>
      <w:tr>
        <w:trPr>
          <w:trHeight w:val="378"/>
        </w:trPr>
        <w:tc>
          <w:tcPr>
            <w:tcW w:w="4300" w:type="dxa"/>
            <w:vAlign w:val="bottom"/>
            <w:gridSpan w:val="3"/>
          </w:tcPr>
          <w:p>
            <w:pPr>
              <w:jc w:val="center"/>
              <w:ind w:left="2332"/>
              <w:spacing w:after="0"/>
              <w:rPr>
                <w:sz w:val="20"/>
                <w:szCs w:val="20"/>
                <w:color w:val="auto"/>
              </w:rPr>
            </w:pPr>
            <w:r>
              <w:rPr>
                <w:rFonts w:ascii="Times New Roman" w:cs="Times New Roman" w:eastAsia="Times New Roman" w:hAnsi="Times New Roman"/>
                <w:sz w:val="22"/>
                <w:szCs w:val="22"/>
                <w:color w:val="auto"/>
                <w:w w:val="97"/>
              </w:rPr>
              <w:t>200%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3"/>
          </w:tcPr>
          <w:p>
            <w:pPr>
              <w:jc w:val="center"/>
              <w:ind w:right="2740"/>
              <w:spacing w:after="0"/>
              <w:rPr>
                <w:sz w:val="20"/>
                <w:szCs w:val="20"/>
                <w:color w:val="auto"/>
              </w:rPr>
            </w:pPr>
            <w:r>
              <w:rPr>
                <w:rFonts w:ascii="Times New Roman" w:cs="Times New Roman" w:eastAsia="Times New Roman" w:hAnsi="Times New Roman"/>
                <w:sz w:val="22"/>
                <w:szCs w:val="22"/>
                <w:color w:val="auto"/>
                <w:w w:val="98"/>
              </w:rPr>
              <w:t>Maximum</w:t>
            </w:r>
          </w:p>
        </w:tc>
      </w:tr>
      <w:tr>
        <w:trPr>
          <w:trHeight w:val="1089"/>
        </w:trPr>
        <w:tc>
          <w:tcPr>
            <w:tcW w:w="2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30, 2022,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30, 2022,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5"/>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lowerRoman"/>
      <w:start w:val="3"/>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04"/>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lvl w:ilvl="1">
      <w:lvlJc w:val="left"/>
      <w:lvlText w:val="(%2)"/>
      <w:numFmt w:val="lowerLetter"/>
      <w:start w:val="3"/>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2022-12-09T07:28:39Z</dcterms:created>
  <dcterms:modified xsi:type="dcterms:W3CDTF">2022-12-09T07:28:39Z</dcterms:modified>
</cp:coreProperties>
</file>