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January 26,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56-1001967</w:t>
            </w:r>
          </w:p>
        </w:tc>
        <w:tc>
          <w:tcPr>
            <w:tcW w:w="0" w:type="dxa"/>
            <w:vAlign w:val="bottom"/>
          </w:tcPr>
          <w:p>
            <w:pPr>
              <w:spacing w:after="0"/>
              <w:rPr>
                <w:sz w:val="1"/>
                <w:szCs w:val="1"/>
                <w:color w:val="auto"/>
              </w:rPr>
            </w:pPr>
          </w:p>
        </w:tc>
      </w:tr>
      <w:tr>
        <w:trPr>
          <w:trHeight w:val="207"/>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jc w:val="center"/>
              <w:ind w:right="2079"/>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43"/>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tcPr>
          <w:p>
            <w:pPr>
              <w:jc w:val="center"/>
              <w:ind w:right="207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335"/>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410 W. English Road 5th Floor</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jc w:val="right"/>
              <w:ind w:right="2519"/>
              <w:spacing w:after="0"/>
              <w:rPr>
                <w:sz w:val="20"/>
                <w:szCs w:val="20"/>
                <w:color w:val="auto"/>
              </w:rPr>
            </w:pPr>
            <w:r>
              <w:rPr>
                <w:rFonts w:ascii="Times New Roman" w:cs="Times New Roman" w:eastAsia="Times New Roman" w:hAnsi="Times New Roman"/>
                <w:sz w:val="16"/>
                <w:szCs w:val="16"/>
                <w:b w:val="1"/>
                <w:bCs w:val="1"/>
                <w:color w:val="auto"/>
              </w:rPr>
              <w:t>27262</w:t>
            </w:r>
          </w:p>
        </w:tc>
        <w:tc>
          <w:tcPr>
            <w:tcW w:w="0" w:type="dxa"/>
            <w:vAlign w:val="bottom"/>
          </w:tcPr>
          <w:p>
            <w:pPr>
              <w:spacing w:after="0"/>
              <w:rPr>
                <w:sz w:val="1"/>
                <w:szCs w:val="1"/>
                <w:color w:val="auto"/>
              </w:rPr>
            </w:pPr>
          </w:p>
        </w:tc>
      </w:tr>
      <w:tr>
        <w:trPr>
          <w:trHeight w:val="210"/>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jc w:val="center"/>
              <w:ind w:right="207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341"/>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High Point, North Carolina, 27265-1402</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(Former address of principal executive offices)</w:t>
            </w:r>
          </w:p>
        </w:tc>
        <w:tc>
          <w:tcPr>
            <w:tcW w:w="2600" w:type="dxa"/>
            <w:vAlign w:val="bottom"/>
            <w:vMerge w:val="restart"/>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780" w:type="dxa"/>
            <w:vAlign w:val="bottom"/>
            <w:gridSpan w:val="6"/>
          </w:tcPr>
          <w:p>
            <w:pPr>
              <w:jc w:val="center"/>
              <w:ind w:left="3395"/>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21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60" w:type="dxa"/>
            <w:vAlign w:val="bottom"/>
            <w:gridSpan w:val="3"/>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On Which Registered</w:t>
            </w:r>
          </w:p>
        </w:tc>
        <w:tc>
          <w:tcPr>
            <w:tcW w:w="0" w:type="dxa"/>
            <w:vAlign w:val="bottom"/>
          </w:tcPr>
          <w:p>
            <w:pPr>
              <w:spacing w:after="0"/>
              <w:rPr>
                <w:sz w:val="1"/>
                <w:szCs w:val="1"/>
                <w:color w:val="auto"/>
              </w:rPr>
            </w:pP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7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March 7, 2025: 12,559,129</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4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00" w:type="dxa"/>
            <w:vAlign w:val="bottom"/>
            <w:gridSpan w:val="12"/>
          </w:tcPr>
          <w:p>
            <w:pPr>
              <w:ind w:left="300"/>
              <w:spacing w:after="0"/>
              <w:rPr>
                <w:sz w:val="20"/>
                <w:szCs w:val="20"/>
                <w:color w:val="auto"/>
              </w:rPr>
            </w:pPr>
            <w:r>
              <w:rPr>
                <w:rFonts w:ascii="Times New Roman" w:cs="Times New Roman" w:eastAsia="Times New Roman" w:hAnsi="Times New Roman"/>
                <w:sz w:val="20"/>
                <w:szCs w:val="20"/>
                <w:b w:val="1"/>
                <w:bCs w:val="1"/>
                <w:color w:val="auto"/>
              </w:rPr>
              <w:t>For the period ended January 26,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00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Net Loss — Three Months Ended January 26, 2025, and January 28,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Net Loss — Nine Months Ended January 26, 2025, and January 28,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Loss – Three Months and Nine Months Ended January 26, 2025,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0000FF"/>
              </w:rPr>
              <w:t>January 28, 2024</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Balance Sheets — January 26, 2025, January 28 2024, and April 28,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Cash Flows — Nine Months Ended January 26, 2025, and January 28,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Nine Months Ended January 26,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940" w:type="dxa"/>
            <w:vAlign w:val="bottom"/>
            <w:tcBorders>
              <w:left w:val="single" w:sz="8" w:color="0000EE"/>
            </w:tcBorders>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Nine Months Ended January 28,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04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320" w:type="dxa"/>
            <w:vAlign w:val="bottom"/>
            <w:tcBorders>
              <w:left w:val="single" w:sz="8" w:color="0000FF"/>
            </w:tcBorders>
            <w:gridSpan w:val="6"/>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320" w:type="dxa"/>
            <w:vAlign w:val="bottom"/>
            <w:tcBorders>
              <w:left w:val="single" w:sz="8" w:color="0000FF"/>
            </w:tcBorders>
            <w:gridSpan w:val="6"/>
            <w:shd w:val="clear" w:color="auto" w:fill="0000FF"/>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0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II-4</w:t>
            </w:r>
          </w:p>
        </w:tc>
        <w:tc>
          <w:tcPr>
            <w:tcW w:w="0" w:type="dxa"/>
            <w:vAlign w:val="bottom"/>
          </w:tcPr>
          <w:p>
            <w:pPr>
              <w:spacing w:after="0"/>
              <w:rPr>
                <w:sz w:val="1"/>
                <w:szCs w:val="1"/>
                <w:color w:val="auto"/>
              </w:rPr>
            </w:pPr>
          </w:p>
        </w:tc>
      </w:tr>
      <w:tr>
        <w:trPr>
          <w:trHeight w:val="2079"/>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JANUARY 26, 2025, AND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7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January 26,</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52,253</w:t>
            </w:r>
          </w:p>
        </w:tc>
        <w:tc>
          <w:tcPr>
            <w:tcW w:w="4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60,418</w:t>
            </w: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(45,906 )</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(52,715 )</w:t>
            </w:r>
          </w:p>
        </w:tc>
      </w:tr>
      <w:tr>
        <w:trPr>
          <w:trHeight w:val="142"/>
        </w:trPr>
        <w:tc>
          <w:tcPr>
            <w:tcW w:w="77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6,347</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7,703</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(8,579 )</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(9,493 )</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Restructuring (expense) credit</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(1,655 )</w:t>
            </w:r>
          </w:p>
        </w:tc>
        <w:tc>
          <w:tcPr>
            <w:tcW w:w="1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w:t>
            </w: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(3,887 )</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(63 )</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255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284</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1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(705 )</w:t>
            </w: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(3,680 )</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(2,161 )</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(446 )</w:t>
            </w:r>
          </w:p>
        </w:tc>
        <w:tc>
          <w:tcPr>
            <w:tcW w:w="1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(1,027 )</w:t>
            </w: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(4,126 )</w:t>
            </w:r>
          </w:p>
        </w:tc>
        <w:tc>
          <w:tcPr>
            <w:tcW w:w="4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(3,188 )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(0.33 )</w:t>
            </w:r>
          </w:p>
        </w:tc>
        <w:tc>
          <w:tcPr>
            <w:tcW w:w="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(0.26 )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(0.33 )</w:t>
            </w:r>
          </w:p>
        </w:tc>
        <w:tc>
          <w:tcPr>
            <w:tcW w:w="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(0.26 )</w:t>
            </w: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12,559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12,470</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12,559</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-1182370</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-796925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26, 2025, AND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77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January 26,</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January 28,</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164,464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175,804</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(147,050 )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(153,067 )</w:t>
            </w:r>
          </w:p>
        </w:tc>
      </w:tr>
      <w:tr>
        <w:trPr>
          <w:trHeight w:val="142"/>
        </w:trPr>
        <w:tc>
          <w:tcPr>
            <w:tcW w:w="77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17,414</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22,737</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(27,235 )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(29,366 )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(6,317 )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(432 )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(16,138 )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(7,061 )</w:t>
            </w: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(121 )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(898 )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(560 )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(16,396 )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(6,710 )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(635 )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(2,244 )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(17,031 )</w:t>
            </w:r>
          </w:p>
        </w:tc>
        <w:tc>
          <w:tcPr>
            <w:tcW w:w="2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(8,954 )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(1.36 )</w:t>
            </w: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(0.72 )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(1.36 )</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(0.72 )</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12,514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12,419</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12,514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12,419</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NINE MONTHS ENDED JANUARY 26, 2025, AND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January 26,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January 28,</w:t>
            </w:r>
          </w:p>
        </w:tc>
      </w:tr>
      <w:tr>
        <w:trPr>
          <w:trHeight w:val="215"/>
        </w:trPr>
        <w:tc>
          <w:tcPr>
            <w:tcW w:w="7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Borders>
              <w:bottom w:val="single" w:sz="8" w:color="auto"/>
            </w:tcBorders>
          </w:tcPr>
          <w:p>
            <w:pPr>
              <w:spacing w:after="0"/>
              <w:rPr>
                <w:sz w:val="18"/>
                <w:szCs w:val="18"/>
                <w:color w:val="auto"/>
              </w:rPr>
            </w:pPr>
          </w:p>
        </w:tc>
      </w:tr>
      <w:tr>
        <w:trPr>
          <w:trHeight w:val="19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(4,126 )</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(3,188 )</w:t>
            </w:r>
          </w:p>
        </w:tc>
      </w:tr>
      <w:tr>
        <w:trPr>
          <w:trHeight w:val="203"/>
        </w:trPr>
        <w:tc>
          <w:tcPr>
            <w:tcW w:w="7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(loss) gain on investments, net of tax</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auto"/>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(4,131 )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(3,094 )</w:t>
            </w:r>
          </w:p>
        </w:tc>
      </w:tr>
      <w:tr>
        <w:trPr>
          <w:trHeight w:val="744"/>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6"/>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6"/>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January 26,</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January 28,</w:t>
            </w:r>
          </w:p>
        </w:tc>
        <w:tc>
          <w:tcPr>
            <w:tcW w:w="120" w:type="dxa"/>
            <w:vAlign w:val="bottom"/>
          </w:tcPr>
          <w:p>
            <w:pPr>
              <w:spacing w:after="0"/>
              <w:rPr>
                <w:sz w:val="16"/>
                <w:szCs w:val="16"/>
                <w:color w:val="auto"/>
              </w:rPr>
            </w:pPr>
          </w:p>
        </w:tc>
      </w:tr>
      <w:tr>
        <w:trPr>
          <w:trHeight w:val="215"/>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8"/>
                <w:szCs w:val="18"/>
                <w:color w:val="auto"/>
              </w:rPr>
            </w:pPr>
          </w:p>
        </w:tc>
      </w:tr>
      <w:tr>
        <w:trPr>
          <w:trHeight w:val="19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(17,031 )</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(8,954 )</w:t>
            </w:r>
          </w:p>
        </w:tc>
      </w:tr>
      <w:tr>
        <w:trPr>
          <w:trHeight w:val="203"/>
        </w:trPr>
        <w:tc>
          <w:tcPr>
            <w:tcW w:w="7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FF0FC"/>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-1207770</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-1191260</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-1344930</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r>
        <w:rPr>
          <w:rFonts w:ascii="Times New Roman" w:cs="Times New Roman" w:eastAsia="Times New Roman" w:hAnsi="Times New Roman"/>
          <w:sz w:val="20"/>
          <w:szCs w:val="20"/>
          <w:color w:val="FF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JANUARY 26, 2025, JANUARY 28, 2024, AND APRIL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January 26,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January 28,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5"/>
        </w:trPr>
        <w:tc>
          <w:tcPr>
            <w:tcW w:w="6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5,279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12,585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10,012</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21,138</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48,599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46,877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2,214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2,619</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3,371</w:t>
            </w: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85,286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89,058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80,881</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25,939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6,103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6,952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1,594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6,250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7,083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127,555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141,998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183"/>
        </w:trPr>
        <w:tc>
          <w:tcPr>
            <w:tcW w:w="66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5,384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32,717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29,793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25,607</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02"/>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restructuring</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828</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50,645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38,107</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3,127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6,582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6,177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6,379</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6,151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6,856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6,929</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67,905</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61,202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55,925</w:t>
            </w: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11, 17, and 18)</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12,559,129 at January 26, 2025; 12,469,903 at January 28, 2024,</w:t>
            </w:r>
          </w:p>
        </w:tc>
        <w:tc>
          <w:tcPr>
            <w:tcW w:w="16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12,469,903 at April 28, 2024</w:t>
            </w:r>
          </w:p>
        </w:tc>
        <w:tc>
          <w:tcPr>
            <w:tcW w:w="16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45,461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45,011</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13,345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35,241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30,376</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216</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59,650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80,796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76,129</w:t>
            </w: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127,555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141,998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-5125720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-5125720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-3822700</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-3805555</wp:posOffset>
            </wp:positionV>
            <wp:extent cx="93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-3822700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-3805555</wp:posOffset>
            </wp:positionV>
            <wp:extent cx="93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-1464945</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-1464945</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-161925</wp:posOffset>
            </wp:positionV>
            <wp:extent cx="93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93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26, 2025, AND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January 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January 28,</w:t>
            </w:r>
          </w:p>
        </w:tc>
      </w:t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2024</w:t>
            </w:r>
          </w:p>
        </w:tc>
      </w:tr>
      <w:tr>
        <w:trPr>
          <w:trHeight w:val="142"/>
        </w:trPr>
        <w:tc>
          <w:tcPr>
            <w:tcW w:w="7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(17,031 )</w:t>
            </w: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(8,954 )</w:t>
            </w:r>
          </w:p>
        </w:tc>
      </w:tr>
      <w:tr>
        <w:trPr>
          <w:trHeight w:val="126"/>
        </w:trPr>
        <w:tc>
          <w:tcPr>
            <w:tcW w:w="78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2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71"/>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49"/>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4,288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4,897</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inventory credit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(1,022 )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(1,978 )</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291</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522</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747</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231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Gain on sale of equipment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(284 )</w:t>
            </w:r>
          </w:p>
        </w:tc>
      </w:tr>
      <w:tr>
        <w:trPr>
          <w:trHeight w:val="149"/>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restructuring expenses</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2,143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330</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Foreign currency exchange loss (gain)</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(347 )</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(2,029 )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1,040</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(2,730 )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737</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(1,190 )</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(107 )</w:t>
            </w: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7,184</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963</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(798 )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606</w:t>
            </w: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restructuring</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753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(1,437 )</w:t>
            </w:r>
          </w:p>
        </w:tc>
      </w:tr>
      <w:tr>
        <w:trPr>
          <w:trHeight w:val="148"/>
        </w:trPr>
        <w:tc>
          <w:tcPr>
            <w:tcW w:w="7860" w:type="dxa"/>
            <w:vAlign w:val="bottom"/>
            <w:tcBorders>
              <w:bottom w:val="single" w:sz="8" w:color="CFF0FC"/>
            </w:tcBorders>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(1,613 )</w:t>
            </w:r>
          </w:p>
        </w:tc>
        <w:tc>
          <w:tcPr>
            <w:tcW w:w="1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(719 )</w:t>
            </w:r>
          </w:p>
        </w:tc>
      </w:tr>
      <w:tr>
        <w:trPr>
          <w:trHeight w:val="142"/>
        </w:trPr>
        <w:tc>
          <w:tcPr>
            <w:tcW w:w="7860" w:type="dxa"/>
            <w:vAlign w:val="bottom"/>
          </w:tcPr>
          <w:p>
            <w:pPr>
              <w:ind w:left="9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(9,425 )</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(5,970 )</w:t>
            </w:r>
          </w:p>
        </w:tc>
      </w:tr>
      <w:tr>
        <w:trPr>
          <w:trHeight w:val="142"/>
        </w:trPr>
        <w:tc>
          <w:tcPr>
            <w:tcW w:w="7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(2,440 )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(3,249 )</w:t>
            </w:r>
          </w:p>
        </w:tc>
      </w:tr>
      <w:tr>
        <w:trPr>
          <w:trHeight w:val="149"/>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the sale of equipment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1,450</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363</w:t>
            </w: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note receivable</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270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240</w:t>
            </w:r>
          </w:p>
        </w:tc>
      </w:tr>
      <w:tr>
        <w:trPr>
          <w:trHeight w:val="148"/>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699</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1,224</w:t>
            </w:r>
          </w:p>
        </w:tc>
      </w:tr>
      <w:tr>
        <w:trPr>
          <w:trHeight w:val="149"/>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investments (rabbi trust)</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(599 )</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(704 )</w:t>
            </w:r>
          </w:p>
        </w:tc>
      </w:tr>
      <w:tr>
        <w:trPr>
          <w:trHeight w:val="142"/>
        </w:trPr>
        <w:tc>
          <w:tcPr>
            <w:tcW w:w="7860" w:type="dxa"/>
            <w:vAlign w:val="bottom"/>
            <w:tcBorders>
              <w:bottom w:val="single" w:sz="8" w:color="CFF0FC"/>
            </w:tcBorders>
            <w:shd w:val="clear" w:color="auto" w:fill="CFF0FC"/>
          </w:tcPr>
          <w:p>
            <w:pPr>
              <w:ind w:left="9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(620 )</w:t>
            </w:r>
          </w:p>
        </w:tc>
        <w:tc>
          <w:tcPr>
            <w:tcW w:w="1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(2,126 )</w:t>
            </w:r>
          </w:p>
        </w:tc>
      </w:tr>
      <w:tr>
        <w:trPr>
          <w:trHeight w:val="142"/>
        </w:trPr>
        <w:tc>
          <w:tcPr>
            <w:tcW w:w="7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Procceds from lines credit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7,898</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Payments on lines of credit</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(2,500 )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(68 )</w:t>
            </w:r>
          </w:p>
        </w:tc>
        <w:tc>
          <w:tcPr>
            <w:tcW w:w="1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(146 )</w:t>
            </w:r>
          </w:p>
        </w:tc>
      </w:tr>
      <w:tr>
        <w:trPr>
          <w:trHeight w:val="142"/>
        </w:trPr>
        <w:tc>
          <w:tcPr>
            <w:tcW w:w="7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5,330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(146 )</w:t>
            </w:r>
          </w:p>
        </w:tc>
      </w:tr>
      <w:tr>
        <w:trPr>
          <w:trHeight w:val="142"/>
        </w:trPr>
        <w:tc>
          <w:tcPr>
            <w:tcW w:w="7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(137 )</w:t>
            </w:r>
          </w:p>
        </w:tc>
      </w:tr>
      <w:tr>
        <w:trPr>
          <w:trHeight w:val="148"/>
        </w:trPr>
        <w:tc>
          <w:tcPr>
            <w:tcW w:w="7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2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(4,733 )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(8,379 )</w:t>
            </w:r>
          </w:p>
        </w:tc>
      </w:tr>
      <w:tr>
        <w:trPr>
          <w:trHeight w:val="149"/>
        </w:trPr>
        <w:tc>
          <w:tcPr>
            <w:tcW w:w="78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10,012</w:t>
            </w:r>
          </w:p>
        </w:tc>
        <w:tc>
          <w:tcPr>
            <w:tcW w:w="1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20,964</w:t>
            </w:r>
          </w:p>
        </w:tc>
      </w:tr>
      <w:tr>
        <w:trPr>
          <w:trHeight w:val="142"/>
        </w:trPr>
        <w:tc>
          <w:tcPr>
            <w:tcW w:w="78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5,279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12,585</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-128270</wp:posOffset>
            </wp:positionV>
            <wp:extent cx="93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auto"/>
                <w:w w:val="99"/>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60" w:type="dxa"/>
            <w:vAlign w:val="bottom"/>
            <w:gridSpan w:val="3"/>
            <w:vMerge w:val="restart"/>
          </w:tcPr>
          <w:p>
            <w:pPr>
              <w:jc w:val="right"/>
              <w:ind w:right="637"/>
              <w:spacing w:after="0"/>
              <w:rPr>
                <w:sz w:val="20"/>
                <w:szCs w:val="20"/>
                <w:color w:val="auto"/>
              </w:rPr>
            </w:pPr>
            <w:r>
              <w:rPr>
                <w:rFonts w:ascii="Times New Roman" w:cs="Times New Roman" w:eastAsia="Times New Roman" w:hAnsi="Times New Roman"/>
                <w:sz w:val="13"/>
                <w:szCs w:val="13"/>
                <w:color w:val="auto"/>
              </w:rPr>
              <w:t>Common Stock</w:t>
            </w:r>
          </w:p>
        </w:tc>
        <w:tc>
          <w:tcPr>
            <w:tcW w:w="200" w:type="dxa"/>
            <w:vAlign w:val="bottom"/>
          </w:tcPr>
          <w:p>
            <w:pPr>
              <w:spacing w:after="0"/>
              <w:rPr>
                <w:sz w:val="12"/>
                <w:szCs w:val="12"/>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9"/>
              </w:rPr>
              <w:t>Contributed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2"/>
                <w:szCs w:val="12"/>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5"/>
        </w:trPr>
        <w:tc>
          <w:tcPr>
            <w:tcW w:w="508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77"/>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37"/>
              <w:spacing w:after="0" w:line="140" w:lineRule="exact"/>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Comprehensive</w:t>
            </w:r>
          </w:p>
        </w:tc>
        <w:tc>
          <w:tcPr>
            <w:tcW w:w="10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04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10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78"/>
              <w:spacing w:after="0" w:line="129" w:lineRule="exact"/>
              <w:rPr>
                <w:sz w:val="20"/>
                <w:szCs w:val="20"/>
                <w:color w:val="auto"/>
              </w:rPr>
            </w:pPr>
            <w:r>
              <w:rPr>
                <w:rFonts w:ascii="Times New Roman" w:cs="Times New Roman" w:eastAsia="Times New Roman" w:hAnsi="Times New Roman"/>
                <w:sz w:val="12"/>
                <w:szCs w:val="12"/>
                <w:color w:val="auto"/>
                <w:w w:val="99"/>
              </w:rPr>
              <w:t>Income</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April 28, 2024 *</w:t>
            </w:r>
          </w:p>
        </w:tc>
        <w:tc>
          <w:tcPr>
            <w:tcW w:w="1040" w:type="dxa"/>
            <w:vAlign w:val="bottom"/>
            <w:shd w:val="clear" w:color="auto" w:fill="CFF0FC"/>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45,011</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30,376</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24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76,129</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(7,261 )</w:t>
            </w:r>
          </w:p>
        </w:tc>
        <w:tc>
          <w:tcPr>
            <w:tcW w:w="180" w:type="dxa"/>
            <w:vAlign w:val="bottom"/>
          </w:tcPr>
          <w:p>
            <w:pPr>
              <w:spacing w:after="0"/>
              <w:rPr>
                <w:sz w:val="11"/>
                <w:szCs w:val="11"/>
                <w:color w:val="auto"/>
              </w:rPr>
            </w:pPr>
          </w:p>
        </w:tc>
        <w:tc>
          <w:tcPr>
            <w:tcW w:w="8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(7,261 )</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40" w:type="dxa"/>
            <w:vAlign w:val="bottom"/>
            <w:tcBorders>
              <w:bottom w:val="single" w:sz="8" w:color="auto"/>
            </w:tcBorders>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July 28, 2024</w:t>
            </w:r>
          </w:p>
        </w:tc>
        <w:tc>
          <w:tcPr>
            <w:tcW w:w="1040" w:type="dxa"/>
            <w:vAlign w:val="bottom"/>
            <w:shd w:val="clear" w:color="auto" w:fill="CFF0FC"/>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45,187</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23,115</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24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69,124</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(5,644 )</w:t>
            </w:r>
          </w:p>
        </w:tc>
        <w:tc>
          <w:tcPr>
            <w:tcW w:w="180" w:type="dxa"/>
            <w:vAlign w:val="bottom"/>
          </w:tcPr>
          <w:p>
            <w:pPr>
              <w:spacing w:after="0"/>
              <w:rPr>
                <w:sz w:val="11"/>
                <w:szCs w:val="11"/>
                <w:color w:val="auto"/>
              </w:rPr>
            </w:pPr>
          </w:p>
        </w:tc>
        <w:tc>
          <w:tcPr>
            <w:tcW w:w="8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(5,644 )</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17"/>
        </w:trPr>
        <w:tc>
          <w:tcPr>
            <w:tcW w:w="50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4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102,720</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(5 )</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0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(13,494 )</w:t>
            </w:r>
          </w:p>
        </w:tc>
        <w:tc>
          <w:tcPr>
            <w:tcW w:w="2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(67 )</w:t>
            </w:r>
          </w:p>
        </w:tc>
        <w:tc>
          <w:tcPr>
            <w:tcW w:w="200" w:type="dxa"/>
            <w:vAlign w:val="bottom"/>
          </w:tcPr>
          <w:p>
            <w:pPr>
              <w:spacing w:after="0"/>
              <w:rPr>
                <w:sz w:val="10"/>
                <w:szCs w:val="10"/>
                <w:color w:val="auto"/>
              </w:rPr>
            </w:pPr>
          </w:p>
        </w:tc>
        <w:tc>
          <w:tcPr>
            <w:tcW w:w="8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140"/>
        </w:trPr>
        <w:tc>
          <w:tcPr>
            <w:tcW w:w="5080" w:type="dxa"/>
            <w:vAlign w:val="bottom"/>
          </w:tcPr>
          <w:p>
            <w:pPr>
              <w:ind w:left="3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10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October 27, 2024</w:t>
            </w:r>
          </w:p>
        </w:tc>
        <w:tc>
          <w:tcPr>
            <w:tcW w:w="1040" w:type="dxa"/>
            <w:vAlign w:val="bottom"/>
            <w:shd w:val="clear" w:color="auto" w:fill="CFF0FC"/>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45,303</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17,471</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24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63,623</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(4,126 )</w:t>
            </w:r>
          </w:p>
        </w:tc>
        <w:tc>
          <w:tcPr>
            <w:tcW w:w="180" w:type="dxa"/>
            <w:vAlign w:val="bottom"/>
          </w:tcPr>
          <w:p>
            <w:pPr>
              <w:spacing w:after="0"/>
              <w:rPr>
                <w:sz w:val="11"/>
                <w:szCs w:val="11"/>
                <w:color w:val="auto"/>
              </w:rPr>
            </w:pPr>
          </w:p>
        </w:tc>
        <w:tc>
          <w:tcPr>
            <w:tcW w:w="8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(4,126 )</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35"/>
        </w:trPr>
        <w:tc>
          <w:tcPr>
            <w:tcW w:w="50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040" w:type="dxa"/>
            <w:vAlign w:val="bottom"/>
            <w:tcBorders>
              <w:bottom w:val="single" w:sz="8" w:color="auto"/>
            </w:tcBorders>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26, 2025</w:t>
            </w:r>
          </w:p>
        </w:tc>
        <w:tc>
          <w:tcPr>
            <w:tcW w:w="1040" w:type="dxa"/>
            <w:vAlign w:val="bottom"/>
            <w:tcBorders>
              <w:bottom w:val="single" w:sz="8" w:color="auto"/>
            </w:tcBorders>
            <w:shd w:val="clear" w:color="auto" w:fill="CFF0FC"/>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2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45,461</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13,345</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216</w:t>
            </w:r>
          </w:p>
        </w:tc>
        <w:tc>
          <w:tcPr>
            <w:tcW w:w="24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59,650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34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Capital</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6"/>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9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Contributed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4"/>
              </w:rPr>
              <w:t>Other</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0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8"/>
              </w:rPr>
              <w:t>Comprehensive</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color w:val="auto"/>
                <w:w w:val="94"/>
              </w:rPr>
              <w:t>of Par Value</w:t>
            </w:r>
          </w:p>
        </w:tc>
        <w:tc>
          <w:tcPr>
            <w:tcW w:w="24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color w:val="auto"/>
                <w:w w:val="97"/>
              </w:rPr>
              <w:t>Income (Loss)</w:t>
            </w:r>
          </w:p>
        </w:tc>
        <w:tc>
          <w:tcPr>
            <w:tcW w:w="1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28"/>
        </w:trPr>
        <w:tc>
          <w:tcPr>
            <w:tcW w:w="5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April 30, 2023 *</w:t>
            </w: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12,327,414</w:t>
            </w:r>
          </w:p>
        </w:tc>
        <w:tc>
          <w:tcPr>
            <w:tcW w:w="10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616</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44,250</w:t>
            </w:r>
          </w:p>
        </w:tc>
        <w:tc>
          <w:tcPr>
            <w:tcW w:w="12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44,195</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89,080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(3,342 )</w:t>
            </w:r>
          </w:p>
        </w:tc>
        <w:tc>
          <w:tcPr>
            <w:tcW w:w="18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(3,342 )</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Immediately vested common stock award</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16,616</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July 30, 2023</w:t>
            </w: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12,344,030</w:t>
            </w: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617</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44,571</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40,853</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86,117</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(2,424 )</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(2,424 )</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(82 )</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17"/>
        </w:trPr>
        <w:tc>
          <w:tcPr>
            <w:tcW w:w="51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2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12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(25,780 )</w:t>
            </w:r>
          </w:p>
        </w:tc>
        <w:tc>
          <w:tcPr>
            <w:tcW w:w="26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(145 )</w:t>
            </w:r>
          </w:p>
        </w:tc>
        <w:tc>
          <w:tcPr>
            <w:tcW w:w="2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40"/>
        </w:trPr>
        <w:tc>
          <w:tcPr>
            <w:tcW w:w="5120" w:type="dxa"/>
            <w:vAlign w:val="bottom"/>
            <w:shd w:val="clear" w:color="auto" w:fill="CFF0FC"/>
          </w:tcPr>
          <w:p>
            <w:pPr>
              <w:ind w:left="32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94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October 29, 2023</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44,581</w:t>
            </w:r>
          </w:p>
        </w:tc>
        <w:tc>
          <w:tcPr>
            <w:tcW w:w="12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38,429</w:t>
            </w:r>
          </w:p>
        </w:tc>
        <w:tc>
          <w:tcPr>
            <w:tcW w:w="10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(6 )</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83,628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(3,188 )</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(3,188 )</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28, 2024</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44,843</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35,241</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80,796</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-1156970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-1156970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-1156970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-1156970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-1156970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-471170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-471170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-471170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-471170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-471170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-119380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-119380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-119380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-119380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-119380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340"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12, 2024, for the fiscal year ended April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nine months ended January 26, 2025, and January 28, 2024, each represent 39-week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January 26, 2025, there were no changes in the nature of our significant accounting policies or the application of those policies from those reported in our Annual Report on Form 10-K for the year then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through the third quarter of fiscal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November 2023, the Financial Accounting Standards Board ("FASB") issued Accounting Standards Update ("ASU") 2023-07 </w:t>
      </w:r>
      <w:r>
        <w:rPr>
          <w:rFonts w:ascii="Times New Roman" w:cs="Times New Roman" w:eastAsia="Times New Roman" w:hAnsi="Times New Roman"/>
          <w:sz w:val="19"/>
          <w:szCs w:val="19"/>
          <w:i w:val="1"/>
          <w:iCs w:val="1"/>
          <w:color w:val="auto"/>
        </w:rPr>
        <w:t xml:space="preserve">Improvements to Reportable Segment Disclosures </w:t>
      </w:r>
      <w:r>
        <w:rPr>
          <w:rFonts w:ascii="Times New Roman" w:cs="Times New Roman" w:eastAsia="Times New Roman" w:hAnsi="Times New Roman"/>
          <w:sz w:val="19"/>
          <w:szCs w:val="19"/>
          <w:color w:val="auto"/>
        </w:rPr>
        <w:t>("ASU 2023-07") which enhances disclosure requirements to segment reporting including</w:t>
      </w:r>
    </w:p>
    <w:p>
      <w:pPr>
        <w:jc w:val="both"/>
        <w:ind w:firstLine="8"/>
        <w:spacing w:after="0"/>
        <w:tabs>
          <w:tab w:leader="none" w:pos="25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segment expenses that are 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The company expects that the adoption of ASU 2023-07 will not have an impact on our results of operations and financial condition, but will have a material impact on the disclosures required in the notes to the consolidated financial statements, which are disclosed in Note 14.</w:t>
      </w:r>
    </w:p>
    <w:p>
      <w:pPr>
        <w:spacing w:after="0" w:line="1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of ASU 2023-09 will not have an impact on our results of operations and financial condition, but will have a material impact on the disclosures required in the notes to the consolidated financial statements, which are disclosed in Note 15.</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w:t>
      </w:r>
      <w:r>
        <w:rPr>
          <w:rFonts w:ascii="Times New Roman" w:cs="Times New Roman" w:eastAsia="Times New Roman" w:hAnsi="Times New Roman"/>
          <w:sz w:val="20"/>
          <w:szCs w:val="20"/>
          <w:i w:val="1"/>
          <w:iCs w:val="1"/>
          <w:color w:val="auto"/>
        </w:rPr>
        <w:t>2024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03 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 2024-03</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an update to Topic 220, Income Statement - Reporting Comprehensive Income.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financial statement notes for specific expense categories including: (a) purchases of inventory, (b) employee compensation, (c) depreciation, (d) intangible asset amortization, (e) certain amounts that are already required to be disclosed under current generally accepted accounting principles in the same disclosure as other disaggregation requirements, (f) qualitative description of amounts remaining in relevant expense captions that are not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necessarily disaggregated quantitatively, as well as (g)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fiscal 2029 interim report). Early adoption is permitted. The company is currently evaluating ASU 2024-03 to determine the impact it will have on its consolidated financial statements and related disclosures</w:t>
      </w:r>
      <w:r>
        <w:rPr>
          <w:rFonts w:ascii="Times New Roman" w:cs="Times New Roman" w:eastAsia="Times New Roman" w:hAnsi="Times New Roman"/>
          <w:sz w:val="20"/>
          <w:szCs w:val="20"/>
          <w:color w:val="FF0000"/>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January 26, 2025</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34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30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r>
      <w:tr>
        <w:trPr>
          <w:trHeight w:val="20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3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196"/>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661</w:t>
            </w:r>
          </w:p>
        </w:tc>
      </w:tr>
    </w:tbl>
    <w:p>
      <w:pPr>
        <w:spacing w:after="0" w:line="3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nine-month periods ended January 26, 2025, and January 28, 2024,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$507,000 and $661,000 as of January 26, 2025, and January 28, 2024,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sources, manufactures, and sells fabrics primarily to residential, commercial, and hospitality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payments in advance in the form of customer deposits that result in a contract liability which is recorded in the Consolidated Balance Sheets as deferred revenue. If payments in advance are not required, customers may be granted terms which generally range from 15-60 days. Our terms are customary within the industries in which we operate and are not considered financing arrangements. There were no contract assets recognized as of January 26, 2025, January 28, 2024, or April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26, 2025</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6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(3,134 )</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(2,893 )</w:t>
            </w:r>
          </w:p>
        </w:tc>
      </w:tr>
      <w:tr>
        <w:trPr>
          <w:trHeight w:val="202"/>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2,336</w:t>
            </w:r>
          </w:p>
        </w:tc>
        <w:tc>
          <w:tcPr>
            <w:tcW w:w="2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3,499</w:t>
            </w:r>
          </w:p>
        </w:tc>
      </w:tr>
      <w:tr>
        <w:trPr>
          <w:trHeight w:val="19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January 26,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28,642</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20,345</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48,987</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3,266</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3,266</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28,642</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23,611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52,253</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ended January 26, 2025: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68,312</w:t>
            </w:r>
          </w:p>
        </w:tc>
        <w:tc>
          <w:tcPr>
            <w:tcW w:w="5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155,104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January 28,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28,604</w:t>
            </w:r>
          </w:p>
        </w:tc>
        <w:tc>
          <w:tcPr>
            <w:tcW w:w="5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ended January 28, 2024: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5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168,191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January 26,</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28,</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auto"/>
            </w:tcBorders>
            <w:vMerge w:val="continue"/>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5,502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8,214</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6,214</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2,371</w:t>
            </w:r>
          </w:p>
        </w:tc>
        <w:tc>
          <w:tcPr>
            <w:tcW w:w="3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2,388</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40,726</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36,275</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36,775</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48,599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46,877</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Measurement of Inventory to Net Realizable Value</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recorded a non-cash inventory net credit of $1.0 million for the nine months ended January 26, 2025, which represents adjustments made to our inventory markdowns reserve estimated based on our policy for aged inventory for both the mattress and upholstery fabrics segments (see Note 10 of the consolidated financial statements for further details regarding markdowns of inventory associated with the </w:t>
      </w:r>
      <w:r>
        <w:rPr>
          <w:rFonts w:ascii="Times New Roman" w:cs="Times New Roman" w:eastAsia="Times New Roman" w:hAnsi="Times New Roman"/>
          <w:sz w:val="20"/>
          <w:szCs w:val="20"/>
          <w:i w:val="1"/>
          <w:iCs w:val="1"/>
          <w:color w:val="auto"/>
        </w:rPr>
        <w:t>Fiscal 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Restructuring Plan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recorded a non-cash inventory net credit of $2.0 million for the nine months ended January 28, 2024. This non-cash inventory credit represents a credit of $2.0 million related to adjustments made to our inventory markdown reserve estimated based on our policy for aged inventory for both our mattress and upholstery fabrics segments, partially offset by a charge of $40,000 which represents markdowns of inventory related to the discontinuance of production of cut and sewn upholstery kits at our facility in Ouanaminthe, Haiti.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Assessment</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we reviewed our mattress fabrics and upholstery fabrics inventories to determine if any additional reductions of inventory in excess of the amount recorded based on our policy for aged inventory were necessary. Based on our assessment, no additional write downs of inventories to their net realizable value were recorded for the nine months ended January 26, 2025, other than the markdowns of inventory associated with our restructuring activities described in Note 10 of the consolidated financial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current unfavorable macroeconomic conditions related to the home furnishings and bedding industry, it is possible that estimates used by management to determine the write down of inventory to its net realizable value could be materially different from the actual amounts or our results. These differences could result in higher than expected inventory provisions, which could adversely affect the company’s results of operations and financial condition in the near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26,</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6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809</w:t>
            </w:r>
          </w:p>
        </w:tc>
        <w:tc>
          <w:tcPr>
            <w:tcW w:w="3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245</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320</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1,594</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1,970</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January 26, 2025, no indicators of impairment existed, and therefore we did not record any asset impairment charges associated with our tradename through the third quarter of fiscal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19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26, 2025</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r>
      <w:tr>
        <w:trPr>
          <w:trHeight w:val="20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(226 )</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196"/>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809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January 26, 2025, January 28, 2024, and April 28, 2024, respectively. Accumulated amortization for these customer relationships was $2.3 million, $2.0 million, and $2.1 million as of January 26, 2025, January 28, 2024, and April 28, 2024,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five fiscal years and thereafter are as follows: FY 2025 - $75,000; FY 2026 - $301,000; FY 2027 - $280,000; FY 2028 - $51,000; FY 2029 - $51,000; and thereafter - $51,000.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3.2 years as of January 26,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19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26, 2025</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r>
      <w:tr>
        <w:trPr>
          <w:trHeight w:val="20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(56 )</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196"/>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January 26, 2025, January 28, 2024, and April 28, 2024, respectively. Accumulated amortization for our non-compete agreement was $1.8 million, $1.7 million, and $1.7 million as of January 26, 2025, January 28, 2024, and April 28, 2024,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five years and thereafter are as follows: FY 2025 - $19,000; FY 2026 - $76,000; FY 2027 - $76,000; FY 2028 - $74,000.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3.3 years as of January 26,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Definite Lived Assets - Mattress Fabrics Segment</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26, 2025, management reviewed the long-lived assets associated with our mattress fabrics segment, which consisted of property, plant, and equipment, right of use assets, and definite-lived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$35.3 million commencing in the second quarter of fiscal 2023, and continuing through the third quarter of fiscal 2025. We believe this significant cumulative operating loss stemmed from a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Mattress Asset Group totaled $24.9 million, which represents property, plant, and equipment of $24.2 million, right of use assets of $200,000, customer relationships of $268,000, and a non-compete agreement of $245,000. The total carrying amount of the Mattress Asset Group did not exceed the sum of its future undiscounted cash flows from its use and disposition. As a result, we determined there was no impairment associated with the Mattress Asset Group as of January 26,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Notes Receivable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Culp Upholstery Fabrics - Haiti, Ltd. ("CUF Haiti")</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activity within our upholstery fabrics cut and sew operation located in Ouanaminthe, Haiti, effective January 24, 2023, CUF Haiti entered into an agreement to terminate a lease of a facility (“Termination Agreement”). See Note 10 of the consolidated financial statements for further details regarding this restructuring activity.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the Termination Agreement, an affiliate of the Lessee has guaranteed payment in full of all amounts due and payable to CUF Haiti by the Lessee, and CUF Haiti has been fully and unconditionally discharged from all of its remaining obligations under the Original Lease.</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the end of our third quarter of fiscal 2023, the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We used an interest rate of 6% to determine the present value of the future discounted cash flows,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12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May 1, 2023, CUF Haiti formally assigned the $2.4 million note receivable to Culp, Inc. (its U.S. 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as of January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020" cy="17145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r>
      <w:tr>
        <w:trPr>
          <w:trHeight w:val="19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(240 )</w:t>
            </w:r>
          </w:p>
        </w:tc>
      </w:tr>
      <w:tr>
        <w:trPr>
          <w:trHeight w:val="236"/>
        </w:trPr>
        <w:tc>
          <w:tcPr>
            <w:tcW w:w="5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January 26, 2025, this note receivable totaled $1.5 million, of which $276,000 and $1.3 million were classified as short-term note receivable and long-term note receivable, respectively. As of January 28, 2024, this note receivable totaled $1.8 million, of which $260,000 and $1.5 million were classified as short-term note receivable and long-term note receivable, respectively. As of April 28, 2024, this note receivable totaled $1.7 million, of which $264,000 and $1.5 million were classified as short-term note receivable and long-term note receivable, respectively.</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classified amortization of unearned interest income totaling $74,000 and $85,000 within interest income on our consolidated statements of net loss during the nine-month periods ended January 26, 2025, and January 28, 2024,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we believe there is no expected credit loss related to the collectability of this note receivable, as the Lessee has made all of the required principal payments stated in the Termination Agreement. We will continue to evaluate the facts and circumstances at the end of each reporting period to determine if an expected credit loss is deemed necessary.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Culp Home Fashions - Haiti, Ltd. ("CHF Haiti")</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August 2, 2024, CHF Haiti entered into an agreement to terminate a lease of a facility (“CHF Termination Agreement”). Pursuant to the terms of the CHF Termination Agreement, CHF Haiti is entitled to a payment of $250,000 from the lessor at the earlier of February 28, 2025, or 15 days after a new lease with a third party lessee is signed. In connection with the CHF Termination Agreement, CHF Haiti has been fully and unconditionally discharged from all of its remaining obligations under this lease.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there is no expected credit loss related to the collectability of this note receivable as it was paid in full on February 28, 2025, (fourth quarter of fiscal 2025) in accordance with the terms of the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Assets Held for Sale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closure of our mattress fabrics manufacturing facility located in Quebec, Canada, (see Note 10 of the consolidated financial statements for further details regarding our Fiscal 2025 Restructuring Plan), we had assets held for sale totaling $2.2 million that are presented separately on the January 26, 2025, consolidated balance sheet, and are no longer being depreciated.</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2025, we determined that the carrying value of the assets classified as held for sale were less than or equal to their fair value. The fair value used in this determination was based on quoted market prices and from third party buyer sales offers which are either directly or indirectly observable, and therefore we believe this information is classified as Level 2 within the fair value hierarchy (see Note 12 for further explanation of the fair value hierarchy).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26,</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2,318</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3,771</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3,761</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3,529</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6,079</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7,300</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Restructuring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Mattress Fabrics Segment, Upholstery Fabrics Segment, and Unallocated Corporate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2025 Restructuring Plan</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(4) consolidate the company's sewn mattress cover operation located in Ouanaminthe, Haiti, from two leased facilities into one building and reduce other operating expenses at this location; as well as (5) reduce unallocated corporate expenses and shared service expenses.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the end of the third quarter of fiscal 2025, production at our facility located in Quebec, Canada has been discontinued and we have entered into a conditional agreement for the sale of this facility, subject to due diligence and other conditions. The consolidation of our sewn mattress cover operation located in Haiti was completed during the first quarter of fiscal 2025. For fiscal 2025, these actions are expected to result in restructuring and restructuring related charges of approximately $8.5 million, of which approximately $5.3 million is expected to be cash expenditures. The $8.5 million of estimated restructuring and restructuring related charges represents approximately $8.3 million and $155,000 associated with the mattress fabrics and upholstery fabrics segments, respectively.</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$8.3 million of estimated restructuring and restructuring related charges associated with our mattress fabrics segment represents (i) other associated costs of $3.3 million mostly related to relocating equipment from our facility in Quebec, Canada to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facility in Stokesdale, North Carolina, (ii) additional depreciation expense related to the shortening of useful lives of equipment associated with the gradual discontinuance of our operations located in Canada noted above totaling $1.3 million, (iii) employee termination benefits of $1.4 million, (iv) $1.5 million related to losses on disposal and valuation of inventory, and (v) lease termination costs of $849,000, partially offset by net gains on the disposal of equipment totaling $42,000. These restructuring and restructuring related charges exclude any expected gain from the sale of the Canadian facility, which would ultimately reduce the amount of the restructuring charges incurred. Based on changes in business and current unfavorable economic conditions related to the home furnishings and bedding industries, it is possible that the above estimates provided by management, to determine restructuring and restructuring related charges incurred during fiscal 2025 could be materially different from the actual results, and therefore could adversely affect the success of this restructuring plan.</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above-referenced conditional agreement for the sale of our Canadian facility includes a purchase price of $15.5 million CAD ($10.8 million USD as of January 26, 2025), contingent on the satisfaction of certain due diligence and closing conditions. Assuming the completion of the transaction, the company currently expects the proceeds from the sale (net of all taxes and commissions) to exceed the amount of cash restructuring charges incurred in connection with the Fiscal 2025 Restructuring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nine-month period ended January 26,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60" w:type="dxa"/>
            <w:vAlign w:val="bottom"/>
          </w:tcPr>
          <w:p>
            <w:pPr>
              <w:jc w:val="center"/>
              <w:ind w:left="1759"/>
              <w:spacing w:after="0"/>
              <w:rPr>
                <w:sz w:val="20"/>
                <w:szCs w:val="20"/>
                <w:color w:val="auto"/>
              </w:rPr>
            </w:pPr>
            <w:r>
              <w:rPr>
                <w:rFonts w:ascii="Times New Roman" w:cs="Times New Roman" w:eastAsia="Times New Roman" w:hAnsi="Times New Roman"/>
                <w:sz w:val="16"/>
                <w:szCs w:val="16"/>
                <w:color w:val="auto"/>
              </w:rPr>
              <w:t>Employee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Pr>
          <w:p>
            <w:pPr>
              <w:jc w:val="center"/>
              <w:ind w:left="1739"/>
              <w:spacing w:after="0"/>
              <w:rPr>
                <w:sz w:val="20"/>
                <w:szCs w:val="20"/>
                <w:color w:val="auto"/>
              </w:rPr>
            </w:pPr>
            <w:r>
              <w:rPr>
                <w:rFonts w:ascii="Times New Roman" w:cs="Times New Roman" w:eastAsia="Times New Roman" w:hAnsi="Times New Roman"/>
                <w:sz w:val="16"/>
                <w:szCs w:val="16"/>
                <w:color w:val="auto"/>
              </w:rPr>
              <w:t>Termination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Associated</w:t>
            </w: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tcPr>
          <w:p>
            <w:pPr>
              <w:jc w:val="center"/>
              <w:ind w:left="1759"/>
              <w:spacing w:after="0"/>
              <w:rPr>
                <w:sz w:val="20"/>
                <w:szCs w:val="20"/>
                <w:color w:val="auto"/>
              </w:rPr>
            </w:pPr>
            <w:r>
              <w:rPr>
                <w:rFonts w:ascii="Times New Roman" w:cs="Times New Roman" w:eastAsia="Times New Roman" w:hAnsi="Times New Roman"/>
                <w:sz w:val="16"/>
                <w:szCs w:val="16"/>
                <w:color w:val="auto"/>
              </w:rPr>
              <w:t>Benefits</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6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1,535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26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(107 )</w:t>
            </w:r>
          </w:p>
        </w:tc>
        <w:tc>
          <w:tcPr>
            <w:tcW w:w="4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6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(896 )</w:t>
            </w:r>
          </w:p>
        </w:tc>
        <w:tc>
          <w:tcPr>
            <w:tcW w:w="46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(2,509 )</w:t>
            </w:r>
          </w:p>
        </w:tc>
        <w:tc>
          <w:tcPr>
            <w:tcW w:w="5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(3,405 )</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26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(14 )</w:t>
            </w:r>
          </w:p>
        </w:tc>
        <w:tc>
          <w:tcPr>
            <w:tcW w:w="4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5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6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-144780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and restructuring related charges for the three-month and nine-month periods ended January 26,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80" w:type="dxa"/>
            <w:vAlign w:val="bottom"/>
          </w:tcPr>
          <w:p>
            <w:pPr>
              <w:spacing w:after="0"/>
              <w:rPr>
                <w:sz w:val="17"/>
                <w:szCs w:val="17"/>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January 26, 2025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5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valuation, and markdowns of inventory</w:t>
            </w:r>
          </w:p>
        </w:tc>
        <w:tc>
          <w:tcPr>
            <w:tcW w:w="15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5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disposal of equipment</w:t>
            </w:r>
          </w:p>
        </w:tc>
        <w:tc>
          <w:tcPr>
            <w:tcW w:w="154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38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196"/>
        </w:trPr>
        <w:tc>
          <w:tcPr>
            <w:tcW w:w="60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60" w:right="200" w:hanging="352"/>
        <w:spacing w:after="0" w:line="254" w:lineRule="auto"/>
        <w:tabs>
          <w:tab w:leader="none" w:pos="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$2.3 million restructuring and restructuring related charges, $1.7 million and $624,000 were classified within restructuring expense and cost of sales, respectively, in the Consolidated Statement of Net Loss for the three-month period ending January 26, 2025. The $2.3 million mostly relates to the mattress fabrics segment.</w:t>
      </w:r>
    </w:p>
    <w:p>
      <w:pPr>
        <w:spacing w:after="0" w:line="187" w:lineRule="exact"/>
        <w:rPr>
          <w:rFonts w:ascii="Times New Roman" w:cs="Times New Roman" w:eastAsia="Times New Roman" w:hAnsi="Times New Roman"/>
          <w:sz w:val="20"/>
          <w:szCs w:val="20"/>
          <w:color w:val="auto"/>
        </w:rPr>
      </w:pPr>
    </w:p>
    <w:p>
      <w:pPr>
        <w:ind w:left="360" w:right="80" w:hanging="352"/>
        <w:spacing w:after="0" w:line="254" w:lineRule="auto"/>
        <w:tabs>
          <w:tab w:leader="none" w:pos="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$7.8 million restructuring and restructuring related charges, $6.3 million and $1.5 million were classified within restructuring expense and cost of sales, respectively, in the Consolidated Statement of Net Loss for the nine-month period ending January 26, 2025. The $7.8 million mostly relates to the mattress fabrics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Upholstery Fabrics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During the fourth quarter of fiscal 2024, we closed our upholstery fabrics finishing in China operation to align with current demand trends and will continue to leverage our strategic supply relationships to meet customer finishing needs. This restructuring activity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69" w:lineRule="auto"/>
        <w:rPr>
          <w:sz w:val="20"/>
          <w:szCs w:val="20"/>
          <w:color w:val="auto"/>
        </w:rPr>
      </w:pPr>
      <w:r>
        <w:rPr>
          <w:rFonts w:ascii="Times New Roman" w:cs="Times New Roman" w:eastAsia="Times New Roman" w:hAnsi="Times New Roman"/>
          <w:sz w:val="20"/>
          <w:szCs w:val="20"/>
          <w:color w:val="auto"/>
        </w:rPr>
        <w:t>was completed during the first quarter of fiscal 2025 and resulted in cumulative restructuring and restructuring related charges totaling $218,000.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the nine-month period ended January 26,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700" w:type="dxa"/>
            <w:vAlign w:val="bottom"/>
          </w:tcPr>
          <w:p>
            <w:pPr>
              <w:spacing w:after="0"/>
              <w:rPr>
                <w:sz w:val="18"/>
                <w:szCs w:val="18"/>
                <w:color w:val="auto"/>
              </w:rPr>
            </w:pP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 (1)</w:t>
            </w:r>
          </w:p>
        </w:tc>
        <w:tc>
          <w:tcPr>
            <w:tcW w:w="4700" w:type="dxa"/>
            <w:vAlign w:val="bottom"/>
            <w:tcBorders>
              <w:top w:val="single" w:sz="8" w:color="auto"/>
            </w:tcBorders>
            <w:shd w:val="clear" w:color="auto" w:fill="CFF0FC"/>
          </w:tcPr>
          <w:p>
            <w:pPr>
              <w:jc w:val="right"/>
              <w:ind w:right="185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 (2)</w:t>
            </w:r>
          </w:p>
        </w:tc>
        <w:tc>
          <w:tcPr>
            <w:tcW w:w="47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r>
      <w:tr>
        <w:trPr>
          <w:trHeight w:val="20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470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196"/>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4700" w:type="dxa"/>
            <w:vAlign w:val="bottom"/>
            <w:tcBorders>
              <w:top w:val="single" w:sz="8" w:color="auto"/>
              <w:bottom w:val="single" w:sz="8" w:color="auto"/>
            </w:tcBorders>
          </w:tcPr>
          <w:p>
            <w:pPr>
              <w:jc w:val="right"/>
              <w:ind w:right="185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expense of $3,000 was reported within accrued expenses in the Consolidated Balance Sheet for the period ended April 28, 2024.</w:t>
      </w:r>
    </w:p>
    <w:p>
      <w:pPr>
        <w:spacing w:after="0" w:line="27" w:lineRule="exact"/>
        <w:rPr>
          <w:rFonts w:ascii="Times New Roman" w:cs="Times New Roman" w:eastAsia="Times New Roman" w:hAnsi="Times New Roman"/>
          <w:sz w:val="18"/>
          <w:szCs w:val="18"/>
          <w:color w:val="auto"/>
        </w:rPr>
      </w:pPr>
    </w:p>
    <w:p>
      <w:pPr>
        <w:ind w:left="320" w:right="320" w:hanging="312"/>
        <w:spacing w:after="0" w:line="260"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represent other associated costs and were recognized in our Consolidated Statement of Net Loss for the nine-month period ended January 26,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 Haiti, Ltd. ("CUF Haiti") entered into an agreement to terminate a lease associated with one facility and, in turn, moved the production of upholstery cut and sewn kits to an existing facility leased by Culp Home Fashions - Haiti, Ltd. ("CHF Haiti") during the fourth quarter of fiscal 2023. Both CUF Haiti and CHF Haiti are indirect wholly-owned subsidiaries of the company. During the first quarter of fiscal 2024, demand for upholstery cut and sewn kits declined more than previously anticipated, resulting in the strategic action to discontinue the production of upholstery cut and sewn kits in Haiti.</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(credit) expense and restructuring related (credit) charge for the three months and nine months ended January 28,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Janaury 28, 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Janaury 28,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16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Gains on sale of equipment</w:t>
            </w:r>
          </w:p>
        </w:tc>
        <w:tc>
          <w:tcPr>
            <w:tcW w:w="16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disposal and markdowns of inventory</w:t>
            </w:r>
          </w:p>
        </w:tc>
        <w:tc>
          <w:tcPr>
            <w:tcW w:w="16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(credits) charges (1) (2)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40" w:hanging="249"/>
        <w:spacing w:after="0" w:line="269" w:lineRule="auto"/>
        <w:tabs>
          <w:tab w:leader="none" w:pos="40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$(111,000), $(50,000) and $(61,000) were recorded within restructuring credit and cost of sales, respectively, in the Consolidated Statement of Net Loss for the three-month period ended January 28, 2024.</w:t>
      </w:r>
    </w:p>
    <w:p>
      <w:pPr>
        <w:spacing w:after="0" w:line="159" w:lineRule="exact"/>
        <w:rPr>
          <w:rFonts w:ascii="Times New Roman" w:cs="Times New Roman" w:eastAsia="Times New Roman" w:hAnsi="Times New Roman"/>
          <w:sz w:val="20"/>
          <w:szCs w:val="20"/>
          <w:color w:val="auto"/>
        </w:rPr>
      </w:pPr>
    </w:p>
    <w:p>
      <w:pPr>
        <w:ind w:left="340" w:hanging="332"/>
        <w:spacing w:after="0" w:line="269" w:lineRule="auto"/>
        <w:tabs>
          <w:tab w:leader="none" w:pos="33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$472,000, $432,000 and $40,000 were recorded within restructuring expense and cost of sales, respectively, in the Consolidated Statement of Net Loss for the nine-month period ended January 28, 2024</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restructuring activity was completed during the third quarter of fiscal 2024 and resulted in cumulative restructuring and restructuring related charges of $1.3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Culp, Inc., as borrower (the “borrower”), and Read, as guarantor (the “Guarantor”), are parties to an agreement (the "ABL Credit Agreement") by and among the borrower, the Guarantor and Wells Fargo Bank, National Association, as the lender (the “Lender”), to establish an asset-based revolving credit facility (the “ABL Facility”). The proceeds from the ABL Facility may be used to pay fees and expenses related to the ABL Facility and provide funding for ongoing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$1.0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66" w:lineRule="exact"/>
        <w:rPr>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borrower’s obligations under the ABL Facility (and certain related obligations) are guaranteed by the Guarantor. In addition, the ABL Credit Agreement requires that the borrower's future domestic subsidiaries guarantee the ABL Facility on a senior secured basis (such future domestic subsidiaries, together with the Guarantor and the borrower, the "Loan Parties"). The borrower's obligations under the ABL Facility are secured by first priority liens and other security interests on all assets of the Loan Parties, subject to certain exceptions and permitted liens.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20"/>
          <w:szCs w:val="20"/>
          <w:color w:val="auto"/>
        </w:rPr>
        <w:t>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$5.25 million. Such compliance period shall end when Excess Availability shall be equal to or greater than $5.25 million for a period of 60 consecutive days and no event of default is continuing.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is charged at a rate (applicable interest rate of 5.80%, 6.81%, and 6.81% as of January 26, 2025, January 28, 2024, and April 28, 2024, respectively) calculated using the Applicable Margin over SOFR based on the borrower's excess availability under the ABL Facility, as defined in the ABL Credit Agreement.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$925,000, $535,000, and $535,000 of outstanding letters of credit provided by the ABL Credit Agreement as of January 26, 2025, January 28, 2024, and April 28, 2024, respectively. As of January 26, 2025, the borrower had $75,000 remaining for the issuance of additional letters of credit under the ABL Credit Agreement.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the ABL Credit Agreement as of January 26, 2025, January 28, 2024, and April 28, 2024, respectively.</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January 26, 2025, our available borrowings calculated under the provisions of the ABL Credit Agreement totaled $23.2 million of which we borrowed $6.0 million from January 27, 2025, through March 7,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Agricultural Bank of China - RMB Unsecured Credit Agreement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March 20, 2024, we entered into an unsecured credit agreement denominated in RMB that provides for a line of credit up to 29.0 million RMB ($4.0 million USD as of January 26, 2025). Of this 29.0 million RMB line of credit, 9.6 million RMB, 9.7 million RMB, and 9.7 million RMB expire on March 7, 2025, March 8, 2025, and March 9, 2025, respectively. Interest charged under this agreement is based on the Loan Prime Rate ("LPR") in China minus 50 basis points at the time of borrowing, which represents 2.95%.</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the amount outstanding was 29.0 million RMB ($4.0 million USD) which we expect to repay during the fourth quarter when the line of credit expires based on the dates noted in the preceding paragraph. Currently, we are negotiating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terms for a renewal of this agreement, which is expected to be finalized during the fourth quarter of fiscal 2025, and such terms are not expected to adversely affect our liquidity.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Bank of China - RMB Credit Agreement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Effective November 5, 2024, we entered into a credit agreement (“Agreement”) denominated in RMB that provides 10.0 million RMB ($1.4 million USD as of January 26, 2025) for an unsecured working capital loan and 25.0 million RMB ($3.5 million USD as of January 26, 2025) for letters of credit, guarantees, and other financing arrangements secured by trade accounts receivable associated with the company’s operations located in China. The working capital loan and letters of credit expire on November 6, 2025, and July 31, 2025, respectively. Interest is charged under the Agreement based on the LPR in China minus 50 basis points at the time of borrowing which represents 2.60%.</w:t>
      </w:r>
    </w:p>
    <w:p>
      <w:pPr>
        <w:spacing w:after="0" w:line="12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of January 26, 2025, the amount outstanding under the working capital loan, which represents the total amount available, was 10.0 million RMB ($1.4 million USD). The working capital loan was used to fund certain working capital expenditures incurred in China. As of January 26, 2025, there were no outstanding for letters of credit under the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January 26, 2025, we were in compliance with our financial covenants.</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Interest payments of $16,000 were made during the nine-month period ended January 26, 2025. There were no interest payments during the nine-month period ended January 28,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January 26, 2025,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02"/>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6,606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6,606</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835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r>
      <w:tr>
        <w:trPr>
          <w:trHeight w:val="20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287</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r>
      <w:tr>
        <w:trPr>
          <w:trHeight w:val="409"/>
        </w:trPr>
        <w:tc>
          <w:tcPr>
            <w:tcW w:w="4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January 28, 2024, using:</w:t>
            </w:r>
          </w:p>
        </w:tc>
        <w:tc>
          <w:tcPr>
            <w:tcW w:w="900" w:type="dxa"/>
            <w:vAlign w:val="bottom"/>
            <w:tcBorders>
              <w:bottom w:val="single" w:sz="8" w:color="auto"/>
            </w:tcBorders>
          </w:tcPr>
          <w:p>
            <w:pPr>
              <w:spacing w:after="0"/>
              <w:rPr>
                <w:sz w:val="24"/>
                <w:szCs w:val="24"/>
                <w:color w:val="auto"/>
              </w:rPr>
            </w:pPr>
          </w:p>
        </w:tc>
      </w:tr>
      <w:tr>
        <w:trPr>
          <w:trHeight w:val="185"/>
        </w:trPr>
        <w:tc>
          <w:tcPr>
            <w:tcW w:w="4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6,995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656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r>
      <w:tr>
        <w:trPr>
          <w:trHeight w:val="20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213</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r>
      <w:tr>
        <w:trPr>
          <w:trHeight w:val="409"/>
        </w:trPr>
        <w:tc>
          <w:tcPr>
            <w:tcW w:w="4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Fair value measurements as of April 28, 2024, using:</w:t>
            </w:r>
          </w:p>
        </w:tc>
        <w:tc>
          <w:tcPr>
            <w:tcW w:w="900" w:type="dxa"/>
            <w:vAlign w:val="bottom"/>
            <w:tcBorders>
              <w:bottom w:val="single" w:sz="8" w:color="auto"/>
            </w:tcBorders>
          </w:tcPr>
          <w:p>
            <w:pPr>
              <w:spacing w:after="0"/>
              <w:rPr>
                <w:sz w:val="24"/>
                <w:szCs w:val="24"/>
                <w:color w:val="auto"/>
              </w:rPr>
            </w:pPr>
          </w:p>
        </w:tc>
      </w:tr>
      <w:tr>
        <w:trPr>
          <w:trHeight w:val="185"/>
        </w:trPr>
        <w:tc>
          <w:tcPr>
            <w:tcW w:w="4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6,910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6,910</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691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r>
      <w:tr>
        <w:trPr>
          <w:trHeight w:val="20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228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in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26, 2025, our investments associated with the Trust totaled $8.0 million, of which $1.8 million, and $6.2 million were classified as short-term and long-term, respectively. As of January 28, 2024, our investments associated with the Trust totaled $8.0 million, of which $937,000 and $7.1 million were classified as short-term and long-term, respectively. As of April 28, 2024, our investments associated with the Trust totaled $8.0 million, of which $903,000 and $7.1 million were classified as short-term and long-term, respectively. The investments associated with the Trust had an accumulated unrealized gain (loss) of $216,000, $88,000, and $118,000 as of January 26, 2025, January 28, 2024, and April 28,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long-term investments associated with the Trust approximates their cost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lines of credit, accounts payable, and accrued expenses approximated their fair value because of the short maturity of these financial instruments.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12,559,000 and 12,470,000 for the three months ended January 26, 2025, and January 28,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151130</wp:posOffset>
            </wp:positionV>
            <wp:extent cx="21945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560" w:type="dxa"/>
            <w:vAlign w:val="bottom"/>
            <w:gridSpan w:val="4"/>
          </w:tcPr>
          <w:p>
            <w:pPr>
              <w:ind w:left="1040"/>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12,514,000 and 12,419,000 for the nine months ending January 26, 2025, and January 28,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151130</wp:posOffset>
            </wp:positionV>
            <wp:extent cx="21945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560" w:type="dxa"/>
            <w:vAlign w:val="bottom"/>
            <w:gridSpan w:val="4"/>
          </w:tcPr>
          <w:p>
            <w:pPr>
              <w:ind w:left="110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to customers in the residential, commercial, and hospitality industries.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0"/>
          <w:szCs w:val="20"/>
          <w:color w:val="auto"/>
        </w:rPr>
        <w:t>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The mattress fabrics segment also includes assets held for sale associated with property, plant, and equipment related to the Fiscal 2025 Restructuring Plan announced on April 29, 2024 (see Note 10 to the consolidated financial statements for further details regarding this restructuring plan).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r>
      <w:tr>
        <w:trPr>
          <w:trHeight w:val="213"/>
        </w:trPr>
        <w:tc>
          <w:tcPr>
            <w:tcW w:w="7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26, 2025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9"/>
        </w:trPr>
        <w:tc>
          <w:tcPr>
            <w:tcW w:w="7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7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28,642</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7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7"/>
                <w:szCs w:val="17"/>
                <w:color w:val="auto"/>
              </w:rPr>
            </w:pPr>
          </w:p>
        </w:tc>
      </w:tr>
      <w:tr>
        <w:trPr>
          <w:trHeight w:val="202"/>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7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Segment gross profit</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(charge) credit (1)(2)</w:t>
            </w:r>
          </w:p>
        </w:tc>
        <w:tc>
          <w:tcPr>
            <w:tcW w:w="7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(624 )</w:t>
            </w: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tcBorders>
              <w:top w:val="single" w:sz="8" w:color="CFF0FC"/>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7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(433 )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(1,582 )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7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(1,854 )</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(2,361 )</w:t>
            </w:r>
          </w:p>
        </w:tc>
      </w:tr>
      <w:tr>
        <w:trPr>
          <w:trHeight w:val="20"/>
        </w:trPr>
        <w:tc>
          <w:tcPr>
            <w:tcW w:w="77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(1,608 )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(1,851 )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(charge) credit (1) (2)</w:t>
            </w:r>
          </w:p>
        </w:tc>
        <w:tc>
          <w:tcPr>
            <w:tcW w:w="7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(624 )</w:t>
            </w: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 (3)(4)</w:t>
            </w:r>
          </w:p>
        </w:tc>
        <w:tc>
          <w:tcPr>
            <w:tcW w:w="7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(1,655 )</w:t>
            </w: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(3,887 )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(1,740 )</w:t>
            </w:r>
          </w:p>
        </w:tc>
      </w:tr>
      <w:tr>
        <w:trPr>
          <w:trHeight w:val="203"/>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c>
          <w:tcPr>
            <w:tcW w:w="3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(705 )</w:t>
            </w:r>
          </w:p>
        </w:tc>
      </w:tr>
      <w:tr>
        <w:trPr>
          <w:trHeight w:val="20"/>
        </w:trPr>
        <w:tc>
          <w:tcPr>
            <w:tcW w:w="7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(3,680 )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(2,161 )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-2700020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-2433955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jc w:val="both"/>
        <w:ind w:left="300" w:hanging="292"/>
        <w:spacing w:after="0" w:line="254" w:lineRule="auto"/>
        <w:tabs>
          <w:tab w:leader="none" w:pos="29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ended January 26, 2025, gross profit includes restructuring related charges totaling $624,000 for losses on the disposal and valuation of inventory related to the gradual discontinuation of operations at our manufacturing facility located in Quebec, Canada.</w:t>
      </w:r>
    </w:p>
    <w:p>
      <w:pPr>
        <w:spacing w:after="0" w:line="187" w:lineRule="exact"/>
        <w:rPr>
          <w:rFonts w:ascii="Times New Roman" w:cs="Times New Roman" w:eastAsia="Times New Roman" w:hAnsi="Times New Roman"/>
          <w:sz w:val="20"/>
          <w:szCs w:val="20"/>
          <w:color w:val="auto"/>
        </w:rPr>
      </w:pPr>
    </w:p>
    <w:p>
      <w:pPr>
        <w:jc w:val="both"/>
        <w:ind w:left="300" w:right="20" w:hanging="292"/>
        <w:spacing w:after="0" w:line="254" w:lineRule="auto"/>
        <w:tabs>
          <w:tab w:leader="none" w:pos="2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ended January 28, 2024, gross profit includes a restructuring related credit of $61,000 for the gain on disposal of inventory related to the discontinuation of production of cut and sewn upholstery kits at the company's facility located in Ouanaminthe, Haiti.</w:t>
      </w:r>
    </w:p>
    <w:p>
      <w:pPr>
        <w:spacing w:after="0" w:line="187" w:lineRule="exact"/>
        <w:rPr>
          <w:rFonts w:ascii="Times New Roman" w:cs="Times New Roman" w:eastAsia="Times New Roman" w:hAnsi="Times New Roman"/>
          <w:sz w:val="20"/>
          <w:szCs w:val="20"/>
          <w:color w:val="auto"/>
        </w:rPr>
      </w:pPr>
    </w:p>
    <w:p>
      <w:pPr>
        <w:jc w:val="both"/>
        <w:ind w:left="300" w:hanging="292"/>
        <w:spacing w:after="0" w:line="246" w:lineRule="auto"/>
        <w:tabs>
          <w:tab w:leader="none" w:pos="2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ended January 26, 2025, restructuring expense of $1.7 million mostly relates to the mattress fabrics segment. The $1.7 million restructuring expense represents (i) $1.5 million for the consolidation of our mattress fabrics operations located in Quebec, Canada into our facility located in Stokesdale, North Carolina and (ii) $176,000 for employee termination benefits, partially offset by (iii) a net gain of $(33,000) for the impairment and sale of equipment. See Note 10 to the consolidated financial statements for further details and description of our Fiscal 2025 Restructuring Plan.</w:t>
      </w:r>
    </w:p>
    <w:p>
      <w:pPr>
        <w:spacing w:after="0" w:line="198" w:lineRule="exact"/>
        <w:rPr>
          <w:sz w:val="20"/>
          <w:szCs w:val="20"/>
          <w:color w:val="auto"/>
        </w:rPr>
      </w:pPr>
    </w:p>
    <w:p>
      <w:pPr>
        <w:ind w:left="300" w:hanging="299"/>
        <w:spacing w:after="0" w:line="250"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8"/>
          <w:szCs w:val="18"/>
          <w:color w:val="auto"/>
        </w:rPr>
        <w:t>The restructuring credit of $50,000 for the three months ended January 28, 2024, represents a gain on the sale of equipment related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discontinuation of production of cut and sewn upholstery kits in Ouanaminthe, Haiti.</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5"/>
          </w:tcPr>
          <w:p>
            <w:pPr>
              <w:jc w:val="right"/>
              <w:ind w:right="99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r>
      <w:tr>
        <w:trPr>
          <w:trHeight w:val="213"/>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26, 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28, 2024</w:t>
            </w:r>
          </w:p>
        </w:tc>
      </w:tr>
      <w:tr>
        <w:trPr>
          <w:trHeight w:val="199"/>
        </w:trPr>
        <w:tc>
          <w:tcPr>
            <w:tcW w:w="7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10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22,777</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(1,509 )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r>
      <w:tr>
        <w:trPr>
          <w:trHeight w:val="19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100" w:type="dxa"/>
            <w:vAlign w:val="bottom"/>
            <w:tcBorders>
              <w:top w:val="single" w:sz="8" w:color="CFF0FC"/>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(5,018 )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(3,916 )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(6,299 )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(7,484 )</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(8,312 )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(6,589 )</w:t>
            </w:r>
          </w:p>
        </w:tc>
      </w:tr>
      <w:tr>
        <w:trPr>
          <w:trHeight w:val="203"/>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(1,509 )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r>
      <w:tr>
        <w:trPr>
          <w:trHeight w:val="20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expense (3) (4)</w:t>
            </w: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(6,317 )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(432 )</w:t>
            </w:r>
          </w:p>
        </w:tc>
      </w:tr>
      <w:tr>
        <w:trPr>
          <w:trHeight w:val="20"/>
        </w:trPr>
        <w:tc>
          <w:tcPr>
            <w:tcW w:w="7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(16,138 )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(7,061 )</w:t>
            </w:r>
          </w:p>
        </w:tc>
      </w:tr>
      <w:tr>
        <w:trPr>
          <w:trHeight w:val="203"/>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(898 )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(560 )</w:t>
            </w:r>
          </w:p>
        </w:tc>
      </w:tr>
      <w:tr>
        <w:trPr>
          <w:trHeight w:val="20"/>
        </w:trPr>
        <w:tc>
          <w:tcPr>
            <w:tcW w:w="7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(16,396 )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(6,710 )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-2700020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-2433955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-1619885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jc w:val="both"/>
        <w:ind w:left="300" w:hanging="292"/>
        <w:spacing w:after="0" w:line="254" w:lineRule="auto"/>
        <w:tabs>
          <w:tab w:leader="none" w:pos="2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 months ended January 26, 2025, gross profit includes restructuring related charges totaling $1.5 million for losses on the disposal and valuation of inventory related to the gradual discontinuation of operations at our manufacturing facility located in Quebec, Canada.</w:t>
      </w:r>
    </w:p>
    <w:p>
      <w:pPr>
        <w:spacing w:after="0" w:line="187"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30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 months ending January 28, 2024, gross profit includes a restructuring related charge of $40,000, which represents markdowns of inventory related to the discontinuation of production of cut and sewn upholstery kits at the company's facility located in Ouanaminthe, Haiti.</w:t>
      </w:r>
    </w:p>
    <w:p>
      <w:pPr>
        <w:spacing w:after="0" w:line="188" w:lineRule="exact"/>
        <w:rPr>
          <w:sz w:val="20"/>
          <w:szCs w:val="20"/>
          <w:color w:val="auto"/>
        </w:rPr>
      </w:pPr>
    </w:p>
    <w:p>
      <w:pPr>
        <w:ind w:left="300" w:hanging="292"/>
        <w:spacing w:after="0" w:line="245" w:lineRule="auto"/>
        <w:tabs>
          <w:tab w:leader="none" w:pos="21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 months ending January 26, 2025, restructuring expense of $6.3 million mostly relates to the mattress fabrics segment. The $6.3 million restructuring expense represents (i) $2.7 million for the consolidation of our mattress fabrics operations located in Quebec, Canada into our facility located in Stokesdale, North Carolina, (ii) $1.5 million for impairment of and accelerated depreciation related to property, plant, and equipment, (iii) $1.4 million for employee termination benefits, and (iv) $849,000 for lease termination costs, partially offset by a gain on sale and disposal of equipment totaling $(174,000). See Note 10 to the consolidated financial statements for further details and description of our Fiscal 2025 Restructuring Plan.</w:t>
      </w:r>
    </w:p>
    <w:p>
      <w:pPr>
        <w:spacing w:after="0" w:line="208" w:lineRule="exact"/>
        <w:rPr>
          <w:sz w:val="20"/>
          <w:szCs w:val="20"/>
          <w:color w:val="auto"/>
        </w:rPr>
      </w:pPr>
    </w:p>
    <w:p>
      <w:pPr>
        <w:ind w:left="300" w:right="460" w:hanging="292"/>
        <w:spacing w:after="0" w:line="252" w:lineRule="auto"/>
        <w:tabs>
          <w:tab w:leader="none" w:pos="2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Restructuring expense of $432,000 for the nine months ending January 28, 2024, represents a $329,000 impairment charge associated with equipment and $103,000 for employee termination benefits related to the discontinuation of production of cut and sewn upholstery kits in Ouanaminthe, Haiti.</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26, 2025</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January 28, 2024</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28, 2024</w:t>
            </w:r>
          </w:p>
        </w:tc>
      </w:tr>
      <w:tr>
        <w:trPr>
          <w:trHeight w:val="19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11,607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11,463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10,003</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27,671</w:t>
            </w: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32,263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31,472</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1,627</w:t>
            </w:r>
          </w:p>
        </w:tc>
      </w:tr>
      <w:tr>
        <w:trPr>
          <w:trHeight w:val="20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Assets held for sale (3)</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2,214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69,608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73,449</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70,773</w:t>
            </w:r>
          </w:p>
        </w:tc>
      </w:tr>
      <w:tr>
        <w:trPr>
          <w:trHeight w:val="19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11,135</w:t>
            </w: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17,222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18,952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17,172</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(4)</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r>
      <w:tr>
        <w:trPr>
          <w:trHeight w:val="20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Right of use assets (5)</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2,647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2,345</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1,952</w:t>
            </w:r>
          </w:p>
        </w:tc>
      </w:tr>
      <w:tr>
        <w:trPr>
          <w:trHeight w:val="196"/>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32,538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34,675</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31,384</w:t>
            </w:r>
          </w:p>
        </w:tc>
      </w:tr>
      <w:tr>
        <w:trPr>
          <w:trHeight w:val="196"/>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102,146</w:t>
            </w: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108,124</w:t>
            </w: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102,157</w:t>
            </w:r>
          </w:p>
        </w:tc>
      </w:tr>
      <w:tr>
        <w:trPr>
          <w:trHeight w:val="196"/>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12,585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10,012</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3,371</w:t>
            </w:r>
          </w:p>
        </w:tc>
      </w:tr>
      <w:tr>
        <w:trPr>
          <w:trHeight w:val="202"/>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 (7)</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3,256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2,624</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7,083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r>
      <w:tr>
        <w:trPr>
          <w:trHeight w:val="236"/>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127,555</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141,998</w:t>
            </w:r>
          </w:p>
        </w:tc>
        <w:tc>
          <w:tcPr>
            <w:tcW w:w="3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-2905125</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-2905125</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-2117090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-2117090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2" w:lineRule="exact"/>
        <w:rPr>
          <w:sz w:val="20"/>
          <w:szCs w:val="20"/>
          <w:color w:val="auto"/>
        </w:rPr>
      </w:pPr>
    </w:p>
    <w:p>
      <w:pPr>
        <w:jc w:val="both"/>
        <w:ind w:left="380" w:hanging="372"/>
        <w:spacing w:after="0" w:line="246"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$24.2 million as of January 26, 2025, represents property, plant, and equipment of $23.0 million, $973,000 and $221,000 located in the U.S., Haiti, and Canada, respectively. The $32.3 million as of January 28, 2024, represents property, plant, and equipment of $21.9 million, $9.8 million, and $600,000 located in the U.S., Canada, and Haiti, respectively. The $31.5 million as of April 28, 2024, represents property, plant, and equipment of $21.5 million, $9.4 million, and $555,000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$200,000 as of January 26, 2025, represents a right of use asset in Haiti. The $1.8 million as of January 28, 2024, represents right of use assets of $1.2 million and $604,000 located in Haiti and Canada, respectively. The $1.6 million as of April 28, 2024, represents right of use assets of $1.1 million and $545,000 located in Haiti and Canada, respectively.</w:t>
      </w:r>
    </w:p>
    <w:p>
      <w:pPr>
        <w:spacing w:after="0" w:line="13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$2.2 million as of January 26, 2025, represents assets held for sale located in Canada.</w:t>
      </w:r>
    </w:p>
    <w:p>
      <w:pPr>
        <w:spacing w:after="0" w:line="175"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$1.1 million as of January 26, 2025, represents property, plant, and equipment of $1.0 million and $83,000 located in the U.S. and China, respectively. The $1.2 million as of January 28, 2024, represents property, plant, and equipment of $1.1 million and $134,000 located in the U.S. and China, respectively. The $1.1 million as of April 28, 2024, represents property, plant, and equipment of $1.0 million and $120,000 located in the U.S.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$2.6 million as of January 26, 2025, represents right of use assets of $1.9 million and $764,000 located in China and the U.S., respectively. The $2.3 million as of January 28, 2024, represents right of use assets of $944,000 and $1.4 million located in China and the U.S., respectively. The $2.0 million as of April 28, 2024, represents right of use assets of $1.3 million and $709,000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$612,000, $603,000, and $585,000 as of January 26, 2025, January 28, 2024, and April 28, 2024, respectively, represents property, plant, and equipment associated with unallocated corporate departments and corporate departments shared by our mattress fabrics and upholstery fabrics segments. Property, plant, and equipment associated with our corporate departments are located in the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149" w:lineRule="exact"/>
        <w:rPr>
          <w:sz w:val="20"/>
          <w:szCs w:val="20"/>
          <w:color w:val="auto"/>
        </w:rPr>
      </w:pPr>
    </w:p>
    <w:p>
      <w:pPr>
        <w:ind w:left="400" w:hanging="392"/>
        <w:spacing w:after="0" w:line="269" w:lineRule="auto"/>
        <w:tabs>
          <w:tab w:leader="none" w:pos="4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$3.3 million, $2.8 million, and $2.6 million as of January 26, 2025, January 28, 2024, and April 28, 2024,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26, 2025</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28, 2024</w:t>
            </w:r>
          </w:p>
        </w:tc>
        <w:tc>
          <w:tcPr>
            <w:tcW w:w="0" w:type="dxa"/>
            <w:vAlign w:val="bottom"/>
          </w:tcPr>
          <w:p>
            <w:pPr>
              <w:spacing w:after="0"/>
              <w:rPr>
                <w:sz w:val="1"/>
                <w:szCs w:val="1"/>
                <w:color w:val="auto"/>
              </w:rPr>
            </w:pPr>
          </w:p>
        </w:tc>
      </w:tr>
      <w:tr>
        <w:trPr>
          <w:trHeight w:val="19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(1):</w:t>
            </w:r>
          </w:p>
        </w:tc>
        <w:tc>
          <w:tcPr>
            <w:tcW w:w="29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2,828</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2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789</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2,538</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 (2)</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5,166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4,422</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5,630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hanging="392"/>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an accrual basis. See Consolidated Statements of Cash Flows for capital expenditure amounts on a cash basis.</w:t>
      </w:r>
    </w:p>
    <w:p>
      <w:pPr>
        <w:spacing w:after="0" w:line="118" w:lineRule="exact"/>
        <w:rPr>
          <w:rFonts w:ascii="Times New Roman" w:cs="Times New Roman" w:eastAsia="Times New Roman" w:hAnsi="Times New Roman"/>
          <w:sz w:val="20"/>
          <w:szCs w:val="20"/>
          <w:color w:val="auto"/>
        </w:rPr>
      </w:pPr>
    </w:p>
    <w:p>
      <w:pPr>
        <w:jc w:val="both"/>
        <w:ind w:left="400" w:hanging="392"/>
        <w:spacing w:after="0" w:line="24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January 26, 2025, depreciation expense for the mattress fabrics segment included additional depreciation expense related to the shortening of useful lives of equipment associated with the gradual discontinuation of operations at our manufacturing facility located in Quebec, Canada. The amount of additional depreciation expense was $1.3 million and was classified as restructuring expense in the Consolidated Statements of Net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$635,000, or (3.9%) of loss before income taxes, for the nine-month period ended January 26, 2025, compared with income tax expense of $2.2 million, or (33.4%) of loss before income taxes, for the nine-month period ended January 28, 2024.</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26, 2025, and January 28, 2024, were based upon the estimated effective income tax rate applicable for the full year after giving effect to any significant items related specifically to interim periods. When calculating the annual estimated effective income tax rates for the nine-month periods ended January 26, 2025, and January 28, 2024,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ended January 26, 2025, and January 28, 2024: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26,</w:t>
            </w:r>
          </w:p>
        </w:tc>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January 28,</w:t>
            </w:r>
          </w:p>
        </w:tc>
      </w:tr>
      <w:tr>
        <w:trPr>
          <w:trHeight w:val="213"/>
        </w:trPr>
        <w:tc>
          <w:tcPr>
            <w:tcW w:w="7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r>
      <w:tr>
        <w:trPr>
          <w:trHeight w:val="199"/>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(42.0 )</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spacing w:after="0"/>
              <w:rPr>
                <w:sz w:val="17"/>
                <w:szCs w:val="17"/>
                <w:color w:val="auto"/>
              </w:rPr>
            </w:pP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Captial expenditure deduction - Quebec Canada</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(0.8 )</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(2.9 )</w:t>
            </w:r>
          </w:p>
        </w:tc>
      </w:tr>
      <w:tr>
        <w:trPr>
          <w:trHeight w:val="203"/>
        </w:trPr>
        <w:tc>
          <w:tcPr>
            <w:tcW w:w="7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FF0FC"/>
            </w:tcBorders>
            <w:shd w:val="clear" w:color="auto" w:fill="CFF0FC"/>
          </w:tcPr>
          <w:p>
            <w:pPr>
              <w:spacing w:after="0"/>
              <w:rPr>
                <w:sz w:val="17"/>
                <w:szCs w:val="17"/>
                <w:color w:val="auto"/>
              </w:rPr>
            </w:pPr>
          </w:p>
        </w:tc>
      </w:tr>
      <w:tr>
        <w:trPr>
          <w:trHeight w:val="236"/>
        </w:trPr>
        <w:tc>
          <w:tcPr>
            <w:tcW w:w="74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-162560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first nine months of fiscal 2025 and 2024 were both adversely affected by the mix of earnings between our U.S. operations and foreign subsidiaries, as our taxable income stems mostly from our operations located in China, which has a higher income tax rate than the U.S. In addition, during the first nine months of fiscal 2025 and the first nine months of 2024, we incurred pre-tax losses associated with our U.S. operations for which an income tax benefit was not recorded due to a full valuation allowance applied against our U.S. net deferred income tax assets. The income tax charge associated with the full valuation allowance applied against our U.S. net deferred income tax assets was higher during the first nine months of fiscal 2025 compared with the first nine months of fiscal 2024, as our $(16.8) million U.S. pre-tax loss incurred during the first nine months of fiscal 2025 was greater than the $(11.3) million U.S. pre-tax loss incurred during the first nine months of fiscal 2024.</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2025, we incurred a greater consolidated pre-tax loss totaling $(16.4) million, compared with $(6.7) million during the first nine months of fiscal 2024.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26, 2025,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currently expect significant U.S. pre-tax losses to continue during fiscal 2025. As a result of the significant weight of this negative evidence, we believe it is more likely than not that our U.S. net deferred income tax assets will not be fully realizable, and therefore we provided for a full valuation allowance against our U.S. net deferred income tax assets.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26, 2025, January 28, 2024, and April 28, 2024,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222885</wp:posOffset>
            </wp:positionV>
            <wp:extent cx="939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222885</wp:posOffset>
            </wp:positionV>
            <wp:extent cx="939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222885</wp:posOffset>
            </wp:positionV>
            <wp:extent cx="10287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January 26, 2025</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April 28, 2024</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72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19,674</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January 26, 2025,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January 26, 2025, January 28, 2024, and April 28, 2024, we recorded a deferred income tax liability of $5.1 million, $4.7 million, and $4.8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January 28, 2024, and April 28, 2024, we had a total of $1.4 million, $1.2 million, and $1.3 million of gross unrecognized income tax benefits, of which the entire amount was classified as income taxes payable – long-term in the accompanying Consolidated Balance Sheets. As of January 26, 2025, the unrecognized tax benefit would favorably affect income tax expense in future periods by $1.4 million.</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as of January 26, 2025, relates to income tax positions for which significant change could occur within the next year if the statute of limitations for relevant taxing authorities to examine and challenge the tax position expires.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9"/>
              </w:rPr>
              <w:t>Nine Months</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24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January 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(219 )</w:t>
            </w:r>
          </w:p>
        </w:tc>
        <w:tc>
          <w:tcPr>
            <w:tcW w:w="7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-161925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Plan. The Amended and Restated Plan also removed certain sub-limits that previously applied with respect to specific types of awards that may be issued under the 2015 plan.</w:t>
      </w:r>
    </w:p>
    <w:p>
      <w:pPr>
        <w:spacing w:after="0" w:line="132" w:lineRule="exact"/>
        <w:rPr>
          <w:sz w:val="20"/>
          <w:szCs w:val="20"/>
          <w:color w:val="auto"/>
        </w:rPr>
      </w:pPr>
    </w:p>
    <w:p>
      <w:pPr>
        <w:ind w:right="940"/>
        <w:spacing w:after="0" w:line="422" w:lineRule="auto"/>
        <w:rPr>
          <w:sz w:val="20"/>
          <w:szCs w:val="20"/>
          <w:color w:val="auto"/>
        </w:rPr>
      </w:pPr>
      <w:r>
        <w:rPr>
          <w:rFonts w:ascii="Times New Roman" w:cs="Times New Roman" w:eastAsia="Times New Roman" w:hAnsi="Times New Roman"/>
          <w:sz w:val="20"/>
          <w:szCs w:val="20"/>
          <w:color w:val="auto"/>
        </w:rPr>
        <w:t xml:space="preserve">As of January 26, 2025, there were 451,537 shares available for future equity-based grants under the Amended and Restated Plan. </w:t>
      </w:r>
      <w:r>
        <w:rPr>
          <w:rFonts w:ascii="Times New Roman" w:cs="Times New Roman" w:eastAsia="Times New Roman" w:hAnsi="Times New Roman"/>
          <w:sz w:val="20"/>
          <w:szCs w:val="20"/>
          <w:i w:val="1"/>
          <w:iCs w:val="1"/>
          <w:color w:val="auto"/>
        </w:rPr>
        <w:t>Performance-Based Restricted Stock Units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September 28, 2023, and August 10,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January 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6"/>
        </w:trPr>
        <w:tc>
          <w:tcPr>
            <w:tcW w:w="3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8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860" w:type="dxa"/>
            <w:vAlign w:val="bottom"/>
            <w:shd w:val="clear" w:color="auto" w:fill="CFF0FC"/>
          </w:tcPr>
          <w:p>
            <w:pPr>
              <w:spacing w:after="0"/>
              <w:rPr>
                <w:sz w:val="18"/>
                <w:szCs w:val="18"/>
                <w:color w:val="auto"/>
              </w:rPr>
            </w:pPr>
          </w:p>
        </w:tc>
        <w:tc>
          <w:tcPr>
            <w:tcW w:w="182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22.6- 104.0  %</w:t>
            </w:r>
          </w:p>
        </w:tc>
        <w:tc>
          <w:tcPr>
            <w:tcW w:w="16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33.7 - 102.6  %</w:t>
            </w:r>
          </w:p>
        </w:tc>
        <w:tc>
          <w:tcPr>
            <w:tcW w:w="18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35.7- 91.5  %</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41.6 - 105.1  %</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- 0.17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0.05 - 0.23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that were unvested as of January 26,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0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7"/>
                <w:szCs w:val="17"/>
                <w:color w:val="auto"/>
              </w:rPr>
            </w:pPr>
          </w:p>
        </w:tc>
        <w:tc>
          <w:tcPr>
            <w:tcW w:w="1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5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Performance-Based</w:t>
            </w:r>
          </w:p>
        </w:tc>
        <w:tc>
          <w:tcPr>
            <w:tcW w:w="120" w:type="dxa"/>
            <w:vAlign w:val="bottom"/>
          </w:tcPr>
          <w:p>
            <w:pPr>
              <w:spacing w:after="0"/>
              <w:rPr>
                <w:sz w:val="17"/>
                <w:szCs w:val="17"/>
                <w:color w:val="auto"/>
              </w:rPr>
            </w:pPr>
          </w:p>
        </w:tc>
        <w:tc>
          <w:tcPr>
            <w:tcW w:w="18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5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18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Units Expected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52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Units Awarded</w:t>
            </w:r>
          </w:p>
        </w:tc>
        <w:tc>
          <w:tcPr>
            <w:tcW w:w="120" w:type="dxa"/>
            <w:vAlign w:val="bottom"/>
          </w:tcPr>
          <w:p>
            <w:pPr>
              <w:spacing w:after="0"/>
              <w:rPr>
                <w:sz w:val="18"/>
                <w:szCs w:val="18"/>
                <w:color w:val="auto"/>
              </w:rPr>
            </w:pPr>
          </w:p>
        </w:tc>
        <w:tc>
          <w:tcPr>
            <w:tcW w:w="18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to Vest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8, 2024 (1)</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505,003</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2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7"/>
                <w:szCs w:val="17"/>
                <w:color w:val="auto"/>
              </w:rPr>
            </w:pP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(4)</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months</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(1)</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24,598</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0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192,771</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43"/>
        </w:trPr>
        <w:tc>
          <w:tcPr>
            <w:tcW w:w="2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146,048</w:t>
            </w:r>
          </w:p>
        </w:tc>
        <w:tc>
          <w:tcPr>
            <w:tcW w:w="1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6"/>
              </w:rPr>
              <w:t>(7)</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January 26, 2025.</w:t>
      </w:r>
    </w:p>
    <w:p>
      <w:pPr>
        <w:spacing w:after="0" w:line="14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spacing w:after="0" w:line="13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return component and the closing price of our common stock ($5.61) for the performance-based component of the performance-based restricted stock units granted to a senior executive on January 8, 2024.</w:t>
      </w:r>
    </w:p>
    <w:p>
      <w:pPr>
        <w:spacing w:after="0" w:line="132" w:lineRule="exact"/>
        <w:rPr>
          <w:sz w:val="20"/>
          <w:szCs w:val="20"/>
          <w:color w:val="auto"/>
        </w:rPr>
      </w:pPr>
    </w:p>
    <w:p>
      <w:pPr>
        <w:jc w:val="both"/>
        <w:ind w:left="380" w:hanging="372"/>
        <w:spacing w:after="0" w:line="24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nine-month periods ended January 26, 2025 and January 28, 2024, respectively.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$49,000 and $67,000 within selling, general, and administrative expenses associated with our performance-based restricted stock unit awards for the nine-month periods ended January 26, 2025, and January 28, 2024,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the remaining unrecognized compensation expense related to our performance-based restricted stock units was $240,000, which is expected to be recognized over a weighted average vesting period of 2.4 years. As of January 26, 2025, performance-based restricted stock units that are expected to vest had a fair value of $291,000.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key employees, and outside directors that were unvested as of January 26,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rPr>
              <w:t>Time-Based</w:t>
            </w: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5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5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rPr>
              <w:t>Units Awarded</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6, 2025 (3)</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 (2)</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0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8, 2024 (3)</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 months</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8, 2024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28, 2023 (3)</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86,551</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6, 2022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43"/>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(3)</w:t>
            </w:r>
          </w:p>
        </w:tc>
        <w:tc>
          <w:tcPr>
            <w:tcW w:w="3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62,053</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our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nine-month period ended January 26, 2025, time-based restricted stock units totaling 103,320 vested at a fair value of $581,000, or $5.63 per share. During the nine-month period ended January 28, 2024, time-based restricted stock units totaling 151,653, vested at a fair value of $857,000, or $5.65 per share.</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$473,000 and $597,000 within selling, general, and administrative expenses associated with our time-based restricted stock unit awards for the nine-month periods ended January 26, 2025, and January 28, 2024,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the remaining unrecognized compensation expense related to our time-based restricted stock units was $731,000, which is expected to be recognized over a weighted average vesting period of 1.5 years. As of January 26, 2025, the time-based restricted stock units that are expected to vest had a fair value totaling $1.4 million.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Immediately Vested Common Stock Awards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which represents the closing price of our common stock on the date of grant.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$84,000 of compensation expense within selling, general, and administrative expenses for common stock awards that immediately vested to our outside directors during the nine-month period ended January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seven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January 26, 2025, January 28, 2024, and April 28,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January 26,</w:t>
            </w:r>
          </w:p>
        </w:tc>
        <w:tc>
          <w:tcPr>
            <w:tcW w:w="36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January 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445"/>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gridSpan w:val="2"/>
          </w:tcPr>
          <w:p>
            <w:pPr>
              <w:jc w:val="center"/>
              <w:ind w:right="399"/>
              <w:spacing w:after="0" w:line="182" w:lineRule="exact"/>
              <w:rPr>
                <w:sz w:val="20"/>
                <w:szCs w:val="20"/>
                <w:color w:val="auto"/>
              </w:rPr>
            </w:pPr>
            <w:r>
              <w:rPr>
                <w:rFonts w:ascii="Times New Roman" w:cs="Times New Roman" w:eastAsia="Times New Roman" w:hAnsi="Times New Roman"/>
                <w:sz w:val="16"/>
                <w:szCs w:val="16"/>
                <w:color w:val="auto"/>
              </w:rPr>
              <w:t>Nine Months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339"/>
              <w:spacing w:after="0" w:line="182" w:lineRule="exact"/>
              <w:rPr>
                <w:sz w:val="20"/>
                <w:szCs w:val="20"/>
                <w:color w:val="auto"/>
              </w:rPr>
            </w:pPr>
            <w:r>
              <w:rPr>
                <w:rFonts w:ascii="Times New Roman" w:cs="Times New Roman" w:eastAsia="Times New Roman" w:hAnsi="Times New Roman"/>
                <w:sz w:val="16"/>
                <w:szCs w:val="16"/>
                <w:color w:val="auto"/>
                <w:w w:val="99"/>
              </w:rPr>
              <w:t>Nine Months</w:t>
            </w:r>
          </w:p>
        </w:tc>
        <w:tc>
          <w:tcPr>
            <w:tcW w:w="0" w:type="dxa"/>
            <w:vAlign w:val="bottom"/>
          </w:tcPr>
          <w:p>
            <w:pPr>
              <w:spacing w:after="0"/>
              <w:rPr>
                <w:sz w:val="1"/>
                <w:szCs w:val="1"/>
                <w:color w:val="auto"/>
              </w:rPr>
            </w:pPr>
          </w:p>
        </w:tc>
      </w:t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Ended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99"/>
              <w:spacing w:after="0"/>
              <w:rPr>
                <w:sz w:val="20"/>
                <w:szCs w:val="20"/>
                <w:color w:val="auto"/>
              </w:rPr>
            </w:pPr>
            <w:r>
              <w:rPr>
                <w:rFonts w:ascii="Times New Roman" w:cs="Times New Roman" w:eastAsia="Times New Roman" w:hAnsi="Times New Roman"/>
                <w:sz w:val="16"/>
                <w:szCs w:val="16"/>
                <w:color w:val="auto"/>
              </w:rPr>
              <w:t>January 26, 2025</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January 28, 2024</w:t>
            </w:r>
          </w:p>
        </w:tc>
        <w:tc>
          <w:tcPr>
            <w:tcW w:w="0" w:type="dxa"/>
            <w:vAlign w:val="bottom"/>
          </w:tcPr>
          <w:p>
            <w:pPr>
              <w:spacing w:after="0"/>
              <w:rPr>
                <w:sz w:val="1"/>
                <w:szCs w:val="1"/>
                <w:color w:val="auto"/>
              </w:rPr>
            </w:pPr>
          </w:p>
        </w:tc>
      </w:tr>
      <w:tr>
        <w:trPr>
          <w:trHeight w:val="19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1,694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2,660</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January 26, 2025, and January 28, 2024, was $683,000 and $789,000, respectively. Operating lease expense for the nine-month periods ended January 26, 2025, and January 28, 2024, was $2.1 million and $2.3 million, respectively. Short-term lease and variable lease expenses were immaterial for the three-month and nine-month periods ended January 26, 2025, and January 28,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2025, the subsequent next four fiscal years, and thereafter follows:</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655</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2,217</w:t>
            </w:r>
          </w:p>
        </w:tc>
      </w:tr>
      <w:tr>
        <w:trPr>
          <w:trHeight w:val="20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1,556</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w:t>
            </w:r>
          </w:p>
        </w:tc>
      </w:tr>
      <w:tr>
        <w:trPr>
          <w:trHeight w:val="20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576</w:t>
            </w:r>
          </w:p>
        </w:tc>
      </w:tr>
      <w:tr>
        <w:trPr>
          <w:trHeight w:val="196"/>
        </w:trPr>
        <w:tc>
          <w:tcPr>
            <w:tcW w:w="5660" w:type="dxa"/>
            <w:vAlign w:val="bottom"/>
            <w:shd w:val="clear" w:color="auto" w:fill="CFF0FC"/>
          </w:tcPr>
          <w:p>
            <w:pPr>
              <w:spacing w:after="0"/>
              <w:rPr>
                <w:sz w:val="17"/>
                <w:szCs w:val="17"/>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5,619</w:t>
            </w:r>
          </w:p>
        </w:tc>
      </w:tr>
      <w:tr>
        <w:trPr>
          <w:trHeight w:val="20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(467 )</w:t>
            </w:r>
          </w:p>
        </w:tc>
      </w:tr>
      <w:tr>
        <w:trPr>
          <w:trHeight w:val="236"/>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5,152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26, 2025,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Borders>
              <w:top w:val="single" w:sz="8" w:color="auto"/>
              <w:bottom w:val="single" w:sz="8" w:color="auto"/>
            </w:tcBorders>
          </w:tcPr>
          <w:p>
            <w:pPr>
              <w:ind w:left="9540"/>
              <w:spacing w:after="0"/>
              <w:rPr>
                <w:sz w:val="20"/>
                <w:szCs w:val="20"/>
                <w:color w:val="auto"/>
              </w:rPr>
            </w:pPr>
            <w:r>
              <w:rPr>
                <w:rFonts w:ascii="Times New Roman" w:cs="Times New Roman" w:eastAsia="Times New Roman" w:hAnsi="Times New Roman"/>
                <w:sz w:val="16"/>
                <w:szCs w:val="16"/>
                <w:color w:val="auto"/>
              </w:rPr>
              <w:t>January</w:t>
            </w: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26, 2025</w:t>
            </w:r>
          </w:p>
        </w:tc>
      </w:tr>
      <w:tr>
        <w:trPr>
          <w:trHeight w:val="196"/>
        </w:trPr>
        <w:tc>
          <w:tcPr>
            <w:tcW w:w="10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11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3.24</w:t>
            </w:r>
          </w:p>
        </w:tc>
      </w:tr>
      <w:tr>
        <w:trPr>
          <w:trHeight w:val="203"/>
        </w:trPr>
        <w:tc>
          <w:tcPr>
            <w:tcW w:w="10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6"/>
              </w:rPr>
              <w:t>5.50 %</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from time to time in legal proceedings and claims which arise in the ordinary course of business. Management has determined that it is not reasonably possible that any pending actions, when ultimately concluded and settled, will have a material adverse effect upon the consolidated financial position, consolidated results of operations, or consolidated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January 28, 2024, and April 28, 2024, we had amounts due regarding capital expenditures totaling $439,000, $19,000, and $343,000, respectively, which pertained to outstanding vendor invoices, none of which were financed.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26, 2025, we had open purchase commitments to acquire equipment for our mattress fabrics segment totaling $600,000.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January 26, 2025,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January 26, 2025, the company’s statutory surplus reserve was $4.0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nine-month periods ended January 26, 2025, and January 28,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26, 2025, $3.2 million is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actions, production levels, new product launches, sales, profit margins, profitability, operating (loss) income, capital expenditures, working capital levels, cost savings (including, without limitation, anticipated cost savings from restructuring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demand for home furnishing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currency in China can have a negative impact on our sales of products produced there.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recent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mattress fabric operations and return the segment to profitability.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nine months ended January 26, 2025, and January 28, 2024, both represent 39-week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Currently, we have a mattress fabrics manufacturing operation located in Stokesdale, North Carolina, and a sewn mattress cover operation located in Ouanaminthe, Haiti.</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April 29, 2024 (the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 and (5) reduce unallocated corporate expenses and shared service expenses. See Note 10 of the consolidated financial statements for further details regarding our restructuring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commercial, and hospitality furniture manufacturers. We have upholstery fabric operations located in Shanghai, China, and Burlington, North Carolina. During the fourth quarter of fiscal 2024, we established a wholly owned subsidiary, Culp Fabrics Vietnam Company Ltd., with an administrative office located in Ho Chi Minh City, Vietnam, for the purpose of enhancing our strategic sourcing capabilities and to further diversify our supply chain in Asia.</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Read Window Products, LLC (“Read”), a wholly owned subsidiary with operations located in Knoxville, Tennessee, and Burlington, North Carolina (established during the first quarter of fiscal 2025 within an existing upholstery fabrics facility),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and/or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2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12.1 %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(60)bp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(credit)</w:t>
            </w:r>
          </w:p>
        </w:tc>
        <w:tc>
          <w:tcPr>
            <w:tcW w:w="20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(3,887 )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(1,740 )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(450)bp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(3,680 )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(2,161 )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(4,126 )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(3,188 )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spacing w:after="0"/>
              <w:rPr>
                <w:sz w:val="18"/>
                <w:szCs w:val="18"/>
                <w:color w:val="auto"/>
              </w:rPr>
            </w:pPr>
          </w:p>
        </w:tc>
        <w:tc>
          <w:tcPr>
            <w:tcW w:w="220" w:type="dxa"/>
            <w:vAlign w:val="bottom"/>
            <w:vMerge w:val="restart"/>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00" w:type="dxa"/>
            <w:vAlign w:val="bottom"/>
            <w:gridSpan w:val="4"/>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2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2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(230)bp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0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(16,138 )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(7,061 )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(580)bp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(16,396 )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(6,710 )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(635 )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(2,244 )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(17,031 )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(8,954 )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consolidated net sales for the third quarter of fiscal 2025 decreased by 13.5% compared with the same period a year ago, with mattress fabrics sales decreasing 4.6% and upholstery fabrics sales decreasing 22.3%. Our consolidated net sales for the first nine months of fiscal 2025 decreased by 6.5% compared with the same period a year ago, with mattress fabrics sales decreasing 4.2% and upholstery fabrics sales decreasing 8.8%.</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continue to see sales in key areas of our business impacted by macroeconomic and market conditions outside of our control. The year-over-year decrease in net sales for our mattress fabrics segment for both the third quarter and the first nine months of fiscal 2025 was driven primarily by continuing demand weakness in the domestic bedding industry and was also impacted by fewer shipping days due to weather-related disruptions. The year-over-year decrease in net sales for our upholstery fabrics segment for both the third quarter and the first nine months of fiscal 2025 was driven primarily by persistent softness in the home furnishings industry. Sales for the third quarter also reflect a related order reduction from a significant customer to better align its inventory with the low demand environment, as well as fewer shipping days due to weather-related disruptions. Despite what remains a challenging landscape across the industries in which we compete, we have made significant investments and enhancements to our production platform and go-to-market strategies that we believe will generate opportunities to increase sales and market share when overall business conditions ultimately improve.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third quarter of fiscal 2025 was $(3.7) million, compared with loss before income taxes of $(2.2) million for the prior-year period, while our loss before income taxes for the first nine months of fiscal 2025 was $(16.4) million, compared with loss before income taxes of $(6.7) million for the prior-year period.</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Loss before income taxes for both the third quarter and the first nine months of fiscal 2025, as compared to the prior-year periods, was negatively affected by lower sales and by manufacturing inefficiencies primarily related to the significant restructuring activity underway that mostly related to the mattress fabrics segment, along with a restructuring and restructuring related charge of $2.3 million during the third quarter of fiscal 2025, as compared to a restructuring and restructuring related credit of $(111,000) during the third quarter of fiscal 2024, and a restructuring and restructuring related charge of $7.8 million during the first nine months of fiscal 2025, as compared to a restructuring related charge of $472,000 during the first nine months of fiscal 2024.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6" w:name="page37"/>
    <w:bookmarkEnd w:id="36"/>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$635,000, or (3.9%) of loss before income taxes, for the nine-month period ended January 26, 2025, compared with income tax expense of $2.2 million, or (33.4%) of loss before income taxes, for the nine-month period ended January 28, 2024.</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first nine months of fiscal 2025 and 2024 were both adversely affected by the mix of earnings between our U.S. operations and foreign subsidiaries, as our taxable income stems mostly from our operations located in China, which has a higher income tax rate than the U.S. In addition, during the first nine months of fiscal 2025 and the first nine months of 2024, we incurred pre-tax losses associated with our U.S. operations for which an income tax benefit was not recorded due to a full valuation allowance applied against our U.S. net deferred income tax assets. The income tax charge associated with the full valuation allowance applied against our U.S. net deferred income tax assets was higher during the first nine months of fiscal 2025 compared with the first nine months of fiscal 2024, as our $(16.8) million U.S. pre-tax loss incurred during the first nine months of fiscal 2025 was greater than the $(11.3) million U.S. pre-tax loss incurred during the first nine months of fiscal 2024.</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2025, we incurred a greater consolidated pre-tax loss totaling $(16.4) million compared with $(6.7) million during the first nine months of fiscal 2024.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2025.</w:t>
      </w:r>
    </w:p>
    <w:p>
      <w:pPr>
        <w:spacing w:after="0" w:line="153" w:lineRule="exact"/>
        <w:rPr>
          <w:sz w:val="20"/>
          <w:szCs w:val="20"/>
          <w:color w:val="auto"/>
        </w:rPr>
      </w:pPr>
    </w:p>
    <w:p>
      <w:pPr>
        <w:ind w:right="19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15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our cash and cash equivalents (collectively, “cash”) totaled $5.3 million, which represents a decrease of $4.7 million compared with cash of $10.0 million as of April 28, 2024. This decrease was primarily attributable to (i) net cash used in operating activities totaling $9.4 million, and (ii) capital expenditures totaling $2.4 million, partially offset by (iii) net borrowings from our lines of credit totaling $5.4 million and (iv) proceeds from the sale of equipment of $1.5 million.</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net cash used in operating activities was $9.4 million during the first nine months of fiscal 2025, an increase of $3.4 million compared with net cash used in operating activities of $6.0 million during the first nine months of fiscal 2024. This trend mostly reflects (i) a significant decrease in cash earnings, (ii) an increase in inventory purchases to maintain an appropriate level during the company's restructuring activities, as described below in the section titled “—Segment Analysis—Mattress Fabrics Segment—Restructuring Activities,” and (iii) an increase in accounts receivable primarily due to longer payment trends related to a higher sales mix with customers with longer credit terms, partially offset by higher accounts payable due to an increase in inventory purchases from significant vendors who extended their payment terms during the first nine months of fiscal 2025 compared with the first nine months fiscal 2024.</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we had outstanding borrowings totaling $5.4 million under a line of credit agreement associated with our operations located in China.</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2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28,642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9.6 %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450bp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0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(1,582 )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380bp</w:t>
            </w:r>
          </w:p>
        </w:tc>
        <w:tc>
          <w:tcPr>
            <w:tcW w:w="0" w:type="dxa"/>
            <w:vAlign w:val="bottom"/>
          </w:tcPr>
          <w:p>
            <w:pPr>
              <w:spacing w:after="0"/>
              <w:rPr>
                <w:sz w:val="1"/>
                <w:szCs w:val="1"/>
                <w:color w:val="auto"/>
              </w:rPr>
            </w:pPr>
          </w:p>
        </w:tc>
      </w:tr>
      <w:tr>
        <w:trPr>
          <w:trHeight w:val="682"/>
        </w:trPr>
        <w:tc>
          <w:tcPr>
            <w:tcW w:w="482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gridSpan w:val="2"/>
          </w:tcPr>
          <w:p>
            <w:pPr>
              <w:spacing w:after="0"/>
              <w:rPr>
                <w:sz w:val="24"/>
                <w:szCs w:val="24"/>
                <w:color w:val="auto"/>
              </w:rPr>
            </w:pPr>
          </w:p>
        </w:tc>
        <w:tc>
          <w:tcPr>
            <w:tcW w:w="220" w:type="dxa"/>
            <w:vAlign w:val="bottom"/>
            <w:tcBorders>
              <w:top w:val="single" w:sz="8" w:color="CFF0FC"/>
              <w:bottom w:val="single" w:sz="8" w:color="CFF0FC"/>
            </w:tcBorders>
            <w:vMerge w:val="restart"/>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00" w:type="dxa"/>
            <w:vAlign w:val="bottom"/>
            <w:gridSpan w:val="4"/>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2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2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6.6 %</w:t>
            </w:r>
          </w:p>
        </w:tc>
        <w:tc>
          <w:tcPr>
            <w:tcW w:w="14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(100)bp</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0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(5,018 )</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(3,916 )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(4.3 )%</w:t>
            </w:r>
          </w:p>
        </w:tc>
        <w:tc>
          <w:tcPr>
            <w:tcW w:w="14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(150)bp</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-1756410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-1756410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Mattress fabrics sales decreased 4.6% in the third quarter of fiscal 2025 compared to the prior-year period. Mattress fabrics sales decreased 4.2% in the first nine months of fiscal 2025 compared to the first nine months of fiscal 2024.</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sales declines in the mattress fabrics segment stem primarily from what remains a muted demand environment across the domestic mattress market driven by macroeconomic uncertainty among consumers and its impacts on residential real estate markets and discretionary spending. However, during the quarter we continued to execute on a variety of significant measures designed to align our manufacturing costs and capacity with the slower buying activity evident across the mattress industry. As planned, we completed the vast majority of the restructuring initiatives in our mattress fabrics segment announced earlier in fiscal 2025, including the closure of our Canadian manufacturing operations and related consolidation of equipment and resources. As a result, we believe we are now better positioned to service customers in the U.S. market through our vertical, textiles-forward facility in North Carolina. See “—Restructuring Activities” below for further details. Moving forward, we expect the current general economic and consumer uncertainty to present challenges, but we believe our execution on plans to restructure our platform and refine our go-to-market strategies should position our mattress fabrics segment for sales momentum and market share gains when the macroeconomic fundamentals begin to shift and provide the necessary foundation for a recovery cycle in the mattress industry.</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potential ongoing geopolitical disruptions related to conflicts in Ukraine and the Middle East, as well as the potential impact of future tariffs, depend on factors beyond our control and we cannot reasonably estimate the impact of these items on our mattress fabrics segment. Moreover, we note that if these situations worsen and shipping disruptions occur or new tariffs are imposed on our products, the impact on our operations and/or on our suppliers, customers, consumers, and the global economy could adversely affect our financial performance.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Loss from Operations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Loss from operations was $433,000 for the third quarter of fiscal 2025, compared to loss from operations of $1.6 million for the third quarter of fiscal 2024. Loss from operations was $5.0 million for the first nine months of fiscal 2025, compared to loss from operations of $3.9 million for the first nine months of fiscal 2024.</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Loss from operations for both the third quarter and the first nine months of fiscal 2025, as compared to the prior-year periods, was impacted by lower sales and manufacturing inefficiencies primarily related to the above-referenced restructuring activities. However, with nearly all of the restructuring initiatives now completed, we are beginning to see the cost savings and efficiency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improvements anticipated from those initiatives positively impact our results. See “—Restructuring Activities” below for further details.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Looking ahead, we enter our fourth quarter a more streamlined business, with greater operating efficiencies, a lower fixed cost and SG&amp;A expense structure, and an agile, global production platform with domestic, nearshore and offshore locations. Moreover, we continue to explore the viability of additional strategic actions to enhance profitability under the current soft market conditions and better leverage any tailwinds flowing from an eventual recovery.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(4) consolidate the company's sewn mattress cover operation located in Ouanaminthe, Haiti, from two leased facilities into one building and reduce other operating expenses at this location; and (5) reduce unallocated corporate expenses and shared service expenses.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the end of the third quarter of fiscal 2025, production at our facility located in Quebec, Canada has been discontinued and we have entered into a conditional contract for the sale of the facility, subject to due diligence and other conditions. The consolidation of our sewn mattress cover operations located in Haiti was completed during the first quarter of fiscal 2025. For fiscal 2025, these actions are expected to result in restructuring and restructuring related charges of approximately $8.5 million, of which approximately $5.3 million is expected to be cash expenditures. The $8.5 million of estimated restructuring and restructuring related charges represents approximately $8.3 million and $155,000 associated with the mattress fabrics and upholstery fabrics segments, respectively.</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$8.5 million of estimated restructuring and restructuring related charges associated with our mattress fabrics segment represents (i) associated costs of $3.3 million mostly related to relocating equipment from our facility in Quebec, Canada to our facility in Stokesdale, North Carolina, (ii) additional depreciation expense related to the shortening of useful lives of equipment associated with the gradual discontinuance of our operations located in Canada noted above totaling $1.3 million, (iii) employee termination benefits of $1.4 million, (iv) $1.5 million related to losses on disposal and valuation of inventory, and (v) lease termination costs of $849,000, partially offset by net gains on the disposal of equipment totaling $42,000. These restructuring and restructuring related charges exclude any expected gain from the sale of the Canadian facility, which is expected to ultimately reduce the amount of the restructuring charges incurred. Based on changes in business and current unfavorable economic conditions related to the home furnishings and bedding industries, it is possible that the above estimates provided by management to determine restructuring and restructuring related charges incurred during fiscal 2025 could be materially different from our actual results, and therefore could adversely affect the success of this restructuring plan.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above-referenced conditional agreement for the sale of our Canadian facility includes a purchase price of $15.5 million CAD ($10.8 million USD as of January 26, 2025) contingent on the satisfaction of certain due diligence and closing conditions. Assuming the completion of the transaction, the company currently expects the proceeds from the sale (net of all taxes and commissions) to exceed the amount of cash restructuring charges incurred.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the restructuring and restructuring related charges for the mattress fabrics segment for the three-month and nine-month periods ended January 26,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3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January 26, 2025</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r>
      <w:tr>
        <w:trPr>
          <w:trHeight w:val="19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8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valuation, and markdowns of inventory</w:t>
            </w:r>
          </w:p>
        </w:tc>
        <w:tc>
          <w:tcPr>
            <w:tcW w:w="18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disposal of equipment</w:t>
            </w:r>
          </w:p>
        </w:tc>
        <w:tc>
          <w:tcPr>
            <w:tcW w:w="180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r>
      <w:tr>
        <w:trPr>
          <w:trHeight w:val="196"/>
        </w:trPr>
        <w:tc>
          <w:tcPr>
            <w:tcW w:w="6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9" w:name="page40"/>
    <w:bookmarkEnd w:id="39"/>
    <w:p>
      <w:pPr>
        <w:ind w:left="360" w:hanging="352"/>
        <w:spacing w:after="0" w:line="269" w:lineRule="auto"/>
        <w:tabs>
          <w:tab w:leader="none" w:pos="31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$2.3 million restructuring and restructuring related charges, $1.8 million and $624,000 were classified within restructuring expense and cost of sales, respectively, in the Consolidated Statement of Net Loss for the three-month period ended January 26, 2025.</w:t>
      </w:r>
    </w:p>
    <w:p>
      <w:pPr>
        <w:spacing w:after="0" w:line="172" w:lineRule="exact"/>
        <w:rPr>
          <w:rFonts w:ascii="Times New Roman" w:cs="Times New Roman" w:eastAsia="Times New Roman" w:hAnsi="Times New Roman"/>
          <w:sz w:val="20"/>
          <w:szCs w:val="20"/>
          <w:color w:val="auto"/>
        </w:rPr>
      </w:pPr>
    </w:p>
    <w:p>
      <w:pPr>
        <w:ind w:left="360" w:hanging="352"/>
        <w:spacing w:after="0" w:line="295" w:lineRule="auto"/>
        <w:tabs>
          <w:tab w:leader="none" w:pos="2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$7.7 million restructuring and restructuring related charges, $6.2 million and $1.5 million were classified within restructuring expense and cost of sales, respectively, in the Consolidated Statement of Net Loss for the nine-month period ended January 26,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138430</wp:posOffset>
            </wp:positionV>
            <wp:extent cx="93980" cy="1708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138430</wp:posOffset>
            </wp:positionV>
            <wp:extent cx="93980" cy="1708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08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11,463</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70,773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-145415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accounts receivable increased by $144,000, or 1.3%, compared with January 28, 2024. This increase in accounts receivable is mostly due to longer payment trends during the third quarter of fiscal 2025 compared with the third quarter of fiscal 2024, as we experienced a higher sales mix with customers with longer credit terms. Accordingly, days’ sales outstanding increased to 37 days for the third quarter of fiscal 2025, as compared to 35 days for the third quarter of fiscal 2024.</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26, 2025, accounts receivable increased by $1.6 million, or 16.0%, compared with April 28, 2024. This trend reflects an increase in net sales for the the third quarter of fiscal 2025 compared with the fourth quarter of fiscal 2024. Net sales for the third quarter were $28.6 million, an increase of $2.9 million, or 11.2%, compared with net sales of $25.8 million during the fourth quarter of fiscal 2024. In addition, the increase in accounts receivable was due to longer payment trends during the third quarter of fiscal 2025 compared with the fourth of fiscal 2024, as we experienced a higher sales mix with customers with longer credit terms. Accordingly, days’ sales outstanding increased to 37 days for the third quarter of fiscal 2025, as compared to 35 days for the fourth quarter of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26, 2025, inventory increased by $3.5 million, or 12.4%, compared with January 28, 2024. In connection with the restructuring activity described above in “Restructuring Activities,” this trend represents an increase in finished goods inventory to accommodate customers while the weaving operation was transitioned to a strategic sourcing model and knitting and finishing capacity was relocated from the manufacturing facility in Quebec, Canada, to our facility in Stokesdale, North Carolina. This increase in finished goods inventory was partially offset by lower raw material purchases related to the gradual discontinuation of operations at the company's manufacturing facility located in Quebec, Canada, as described above in “Restructuring Activities”.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inventory increased by $3.7 million, or 13.4%, compared with April 28, 2024. This trend reflects the effect of the restructuring activity described in the preceding paragraph. In addition, the increase in inventory represents an increase in net sales of $2.9 million, or 11.2%, during the third quarter of fiscal 2025, as compared with the fourth quarter of fiscal 2024.</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3.4 for the third quarter of fiscal 2025, as compared with 4.0 for the third quarter of fiscal 2024 and 3.6 for the fourth quarter of fiscal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fiscal 2024 and continuing through the third quarter of fiscal 2025, property, plant, and equipment has steadily decreased due to reduced capital spending stemming from current unfavorable macro-economic conditions within the home furnishings and bedding industries, as well as the actions taken as described above in “Restructuring Activities.”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$24.2 million as of January 26, 2025, represents property, plant, and equipment of $23.0 million, $221,000, and $973,000 located in the U.S., Canada, and Haiti, respectively. The $32.3 million as of January 28, 2024, represents property, plant, and equipment of $21.9 million, $9.8 million, and $600,000 located in the U.S., Canada, and Haiti, respectively. The $31.5 million as of April 28, 2024, represents property, plant, and equipment of $21.5 million, $9.4 million, and $555,000 located in the U.S., Canada,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fiscal 2024 and continuing through the third quarter of fiscal 2025, right of use assets have steadily decreased due to rent expense incurred over the terms of the existing lease agreements. In addition, in connection with the restructuring activity described above in “Restructuring Activities,” right of use assets (i) decreased due to the termination of an agreement to lease a facility located in Ouanaminthe, Haiti, and (ii) shortened the period of use associated with two leased facilities located in Quebec, Canada.</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$200,000 as of January 26, 2025, represents a right of use asset in Haiti. The $1.8 million as of January 28, 2024, represents right of use assets of $1.2 million and $604,000 located in Haiti and Canada, respectively. The $1.6 million as of April 28, 2024, represents right of use assets of $1.1 million and $545,000 located in Haiti and Canada,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and in connection with actions described above in “Restructuring Activities,” we classified a building and certain equipment relating to our Canadian operations in Quebec, Canada, as held for sale. Refer to Note 8 of the consolidated financial statements for further details.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8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January 26,</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January 28,</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99"/>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20,291</w:t>
            </w:r>
          </w:p>
        </w:tc>
        <w:tc>
          <w:tcPr>
            <w:tcW w:w="820" w:type="dxa"/>
            <w:vAlign w:val="bottom"/>
            <w:tcBorders>
              <w:left w:val="single" w:sz="8" w:color="CFF0FC"/>
              <w:righ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86 %</w:t>
            </w:r>
          </w:p>
        </w:tc>
        <w:tc>
          <w:tcPr>
            <w:tcW w:w="7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28,425</w:t>
            </w:r>
          </w:p>
        </w:tc>
        <w:tc>
          <w:tcPr>
            <w:tcW w:w="800" w:type="dxa"/>
            <w:vAlign w:val="bottom"/>
            <w:tcBorders>
              <w:lef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(28.6 )%</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68.4 %</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2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7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800" w:type="dxa"/>
            <w:vAlign w:val="bottom"/>
            <w:tcBorders>
              <w:lef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23"/>
        </w:trPr>
        <w:tc>
          <w:tcPr>
            <w:tcW w:w="338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FF0FC"/>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FF0FC"/>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FF0FC"/>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40" w:type="dxa"/>
            <w:vAlign w:val="bottom"/>
            <w:vMerge w:val="restart"/>
          </w:tcPr>
          <w:p>
            <w:pPr>
              <w:jc w:val="center"/>
              <w:ind w:left="179"/>
              <w:spacing w:after="0"/>
              <w:rPr>
                <w:sz w:val="20"/>
                <w:szCs w:val="20"/>
                <w:color w:val="auto"/>
              </w:rPr>
            </w:pPr>
            <w:r>
              <w:rPr>
                <w:rFonts w:ascii="Times New Roman" w:cs="Times New Roman" w:eastAsia="Times New Roman" w:hAnsi="Times New Roman"/>
                <w:sz w:val="16"/>
                <w:szCs w:val="16"/>
                <w:color w:val="auto"/>
              </w:rPr>
              <w:t>January 26,</w:t>
            </w:r>
          </w:p>
        </w:tc>
        <w:tc>
          <w:tcPr>
            <w:tcW w:w="120" w:type="dxa"/>
            <w:vAlign w:val="bottom"/>
          </w:tcPr>
          <w:p>
            <w:pPr>
              <w:spacing w:after="0"/>
              <w:rPr>
                <w:sz w:val="17"/>
                <w:szCs w:val="17"/>
                <w:color w:val="auto"/>
              </w:rPr>
            </w:pPr>
          </w:p>
        </w:tc>
        <w:tc>
          <w:tcPr>
            <w:tcW w:w="1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Nine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January 28,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99"/>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2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68,000</w:t>
            </w:r>
          </w:p>
        </w:tc>
        <w:tc>
          <w:tcPr>
            <w:tcW w:w="820" w:type="dxa"/>
            <w:vAlign w:val="bottom"/>
            <w:tcBorders>
              <w:left w:val="single" w:sz="8" w:color="CFF0FC"/>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88 %</w:t>
            </w:r>
          </w:p>
        </w:tc>
        <w:tc>
          <w:tcPr>
            <w:tcW w:w="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77,187</w:t>
            </w:r>
          </w:p>
        </w:tc>
        <w:tc>
          <w:tcPr>
            <w:tcW w:w="80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9,672</w:t>
            </w: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12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80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-959485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-959485</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-959485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-959485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02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102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Upholstery fabrics sales decreased 22.3% in the third quarter of fiscal 2025 compared to the prior-year period. Upholstery fabrics sales decreased 8.8% in the first nine months of fiscal 2025 compared to the first nine months of fiscal 2024. While we were encouraged to see sales growth in certain channels of our upholstery fabrics segment during the quarter, the continued sluggish demand in our residential business driven by what remains a weakened home furnishings industry drove these year-over-year declines in overall sales in the segment. The impacts of this market dynamic were particularly acute in our residential business due to resulting lower ordering activity from a significant customer as it managed its inventory levels to better align with the soft industry demand. We were able to achieve sales increases in other areas of our residential business during the quarter and we saw growth trends in the luxury and value residential product channels. Moreover, market conditions and customer demand in our hospitality/contract business are more robust and we saw growth across all channels in that business, including Read, during the quarter.</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potential ongoing geopolitical disruptions related to conflicts in Ukraine and the Middle East, as well as the potential impact of future tariffs, depend on factors beyond our control and we cannot reasonably estimate the impact of these items on our upholstery fabrics segment. Moreover, we note that if these situations worsen and shipping disruptions occur or new tariffs are imposed on our products, the impact on our operations and/or on our suppliers, customers, consumers, and the global economy could adversely affect our financial performance.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Income from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26,</w:t>
            </w:r>
          </w:p>
        </w:tc>
        <w:tc>
          <w:tcPr>
            <w:tcW w:w="2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28,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2024</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19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(30.9)%</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17.9 %</w:t>
            </w: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20.1 %</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(220)bp</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(11.9)%</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 (credit)</w:t>
            </w:r>
          </w:p>
        </w:tc>
        <w:tc>
          <w:tcPr>
            <w:tcW w:w="2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(50 )</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(67.5)%</w:t>
            </w:r>
          </w:p>
        </w:tc>
        <w:tc>
          <w:tcPr>
            <w:tcW w:w="0" w:type="dxa"/>
            <w:vAlign w:val="bottom"/>
          </w:tcPr>
          <w:p>
            <w:pPr>
              <w:spacing w:after="0"/>
              <w:rPr>
                <w:sz w:val="1"/>
                <w:szCs w:val="1"/>
                <w:color w:val="auto"/>
              </w:rPr>
            </w:pPr>
          </w:p>
        </w:tc>
      </w:tr>
      <w:tr>
        <w:trPr>
          <w:trHeight w:val="202"/>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6.9 %</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(400)bp</w:t>
            </w:r>
          </w:p>
        </w:tc>
        <w:tc>
          <w:tcPr>
            <w:tcW w:w="0" w:type="dxa"/>
            <w:vAlign w:val="bottom"/>
          </w:tcPr>
          <w:p>
            <w:pPr>
              <w:spacing w:after="0"/>
              <w:rPr>
                <w:sz w:val="1"/>
                <w:szCs w:val="1"/>
                <w:color w:val="auto"/>
              </w:rPr>
            </w:pPr>
          </w:p>
        </w:tc>
      </w:tr>
      <w:tr>
        <w:trPr>
          <w:trHeight w:val="574"/>
        </w:trPr>
        <w:tc>
          <w:tcPr>
            <w:tcW w:w="500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2"/>
          </w:tcPr>
          <w:p>
            <w:pPr>
              <w:spacing w:after="0"/>
              <w:rPr>
                <w:sz w:val="24"/>
                <w:szCs w:val="24"/>
                <w:color w:val="auto"/>
              </w:rPr>
            </w:pPr>
          </w:p>
        </w:tc>
        <w:tc>
          <w:tcPr>
            <w:tcW w:w="160" w:type="dxa"/>
            <w:vAlign w:val="bottom"/>
            <w:vMerge w:val="restart"/>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00" w:type="dxa"/>
            <w:vAlign w:val="bottom"/>
            <w:gridSpan w:val="4"/>
          </w:tcPr>
          <w:p>
            <w:pPr>
              <w:jc w:val="right"/>
              <w:ind w:right="59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1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26,</w:t>
            </w:r>
          </w:p>
        </w:tc>
        <w:tc>
          <w:tcPr>
            <w:tcW w:w="2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28,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2024</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19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(16.2)%</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18.1 %</w:t>
            </w: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19.7 %</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(160)bp</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(7.6)%</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60" w:type="dxa"/>
            <w:vAlign w:val="bottom"/>
          </w:tcPr>
          <w:p>
            <w:pPr>
              <w:spacing w:after="0"/>
              <w:rPr>
                <w:sz w:val="17"/>
                <w:szCs w:val="17"/>
                <w:color w:val="auto"/>
              </w:rPr>
            </w:pP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(60.9)%</w:t>
            </w:r>
          </w:p>
        </w:tc>
        <w:tc>
          <w:tcPr>
            <w:tcW w:w="0" w:type="dxa"/>
            <w:vAlign w:val="bottom"/>
          </w:tcPr>
          <w:p>
            <w:pPr>
              <w:spacing w:after="0"/>
              <w:rPr>
                <w:sz w:val="1"/>
                <w:szCs w:val="1"/>
                <w:color w:val="auto"/>
              </w:rPr>
            </w:pPr>
          </w:p>
        </w:tc>
      </w:tr>
      <w:tr>
        <w:trPr>
          <w:trHeight w:val="202"/>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(37.5)%</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5.6 %</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(170)bp</w:t>
            </w:r>
          </w:p>
        </w:tc>
        <w:tc>
          <w:tcPr>
            <w:tcW w:w="0" w:type="dxa"/>
            <w:vAlign w:val="bottom"/>
          </w:tcPr>
          <w:p>
            <w:pPr>
              <w:spacing w:after="0"/>
              <w:rPr>
                <w:sz w:val="1"/>
                <w:szCs w:val="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Income from operations was $679,000 for the third quarter of fiscal 2025, compared to $2.1 million for the third quarter of fiscal 2024. Income from operations was $3.0 million for the first nine months of fiscal 2025, compared to income from operations of $4.8 million for the first nine months of fiscal 2024.</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declines in upholstery fabrics profitability for the third quarter and the first nine months of fiscal 2025, as compared to the prior-year periods, primarily reflect lower sales, which were offset somewhat by lower SG&amp;A expense and lower fixed costs during both periods. However, the actions we completed during the first quarter of fiscal 2025 to restructure our upholstery fabrics finishing operation in China and optimize our Asian platform continue to positively impact our operating performance (see “—Restructuring Activities—Shanghai, China —Upholstery Fabrics Finishing Operation” below). Despite the difficult demand environment in our residential business and resulting lower sales bases during our third quarter and first nine months of fiscal year 2025, these cost-structure and operational enhancements were instrumental in our ability to achieve profitability in each of those sales-pressured periods while also maintaining the service levels our customers rely upon and expect.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Looking ahead, we expect sales in our residential business to continue to be challenged by the muted conditions in the home furnishings industry and for that dynamic to impact profitability until macroeconomic conditions improve. However, our lower fixed cost and SG&amp;A expense structure should allow us to better navigate the difficult environment in our residential fabrics business and leverage the more robust demand we are seeing in our hospitality/commercial fabrics business. In addition, we believe that there are other meaningful opportunities to increase operational efficiency and reduce cost across our business, and we plan to continue pursuing measures to optimize our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fourth quarter of fiscal 2024, we closed our upholstery fabrics finishing operation in Shanghai, China, to align with demand trends and further leverage our strategic supply relationships to meet customer finishing needs. This restructuring activity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was completed during the first quarter of fiscal 2025 and resulted in cumulative restructuring and restructuring related charges totaling $218,000.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 Haiti, Ltd. ("CUF Haiti") entered into an agreement to terminate a lease agreement associated with one facility, and in turn moved the production of upholstery cut and sewn kits to another existing facility leased by Culp Home Fashions - Haiti, Ltd. ("CHF Haiti") during the fourth quarter of fiscal 2023. Both CUF Haiti and CHF Haiti are indirect wholly owned subsidiaries of the company. During the first quarter of fiscal 2024, demand for upholstery cut and sewn kits declined more than previously anticipated, resulting in the strategic action to discontinue the production of upholstery cut and sewn kits in Haiti. This restructuring activity was completed during the third quarter of fiscal 2024 and resulted in cumulative restructuring and restructuring related charges of $1.3 million.</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(credit) and restructuring related charge (credit) for all restructuring activities for the upholstery fabrics segment for the three months ended January 26, 2025, and January 28,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20" w:type="dxa"/>
            <w:vAlign w:val="bottom"/>
          </w:tcPr>
          <w:p>
            <w:pPr>
              <w:spacing w:after="0"/>
              <w:rPr>
                <w:sz w:val="20"/>
                <w:szCs w:val="20"/>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7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disposal of inventory</w:t>
            </w:r>
          </w:p>
        </w:tc>
        <w:tc>
          <w:tcPr>
            <w:tcW w:w="17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
        </w:trPr>
        <w:tc>
          <w:tcPr>
            <w:tcW w:w="6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 (credit) and restructuring related credit (3) (4)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6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280" w:hanging="272"/>
        <w:spacing w:after="0" w:line="269"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$8,000 relates to our U.S. upholstery fabrics operations under the Fiscal 2025 Restructuring Plan, which is described more fully in Note 10 of the consolidated financial statements.</w:t>
      </w:r>
    </w:p>
    <w:p>
      <w:pPr>
        <w:spacing w:after="0" w:line="159" w:lineRule="exact"/>
        <w:rPr>
          <w:rFonts w:ascii="Times New Roman" w:cs="Times New Roman" w:eastAsia="Times New Roman" w:hAnsi="Times New Roman"/>
          <w:sz w:val="18"/>
          <w:szCs w:val="18"/>
          <w:color w:val="auto"/>
        </w:rPr>
      </w:pPr>
    </w:p>
    <w:p>
      <w:pPr>
        <w:ind w:left="280" w:hanging="272"/>
        <w:spacing w:after="0" w:line="269" w:lineRule="auto"/>
        <w:tabs>
          <w:tab w:leader="none" w:pos="3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$(111,000) is related to the closure of our upholstery cut and sewn kits operation located in Ouanaminthe, Haiti, as described above.</w:t>
      </w:r>
    </w:p>
    <w:p>
      <w:pPr>
        <w:spacing w:after="0" w:line="172" w:lineRule="exact"/>
        <w:rPr>
          <w:rFonts w:ascii="Times New Roman" w:cs="Times New Roman" w:eastAsia="Times New Roman" w:hAnsi="Times New Roman"/>
          <w:sz w:val="20"/>
          <w:szCs w:val="20"/>
          <w:color w:val="auto"/>
        </w:rPr>
      </w:pPr>
    </w:p>
    <w:p>
      <w:pPr>
        <w:ind w:left="280" w:hanging="272"/>
        <w:spacing w:after="0" w:line="269"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total $8,000 was recorded within restructuring expense in the Consolidated Statement of Net Loss for the three-month period ended January 26, 2025.</w:t>
      </w:r>
    </w:p>
    <w:p>
      <w:pPr>
        <w:spacing w:after="0" w:line="172" w:lineRule="exact"/>
        <w:rPr>
          <w:rFonts w:ascii="Times New Roman" w:cs="Times New Roman" w:eastAsia="Times New Roman" w:hAnsi="Times New Roman"/>
          <w:sz w:val="18"/>
          <w:szCs w:val="18"/>
          <w:color w:val="auto"/>
        </w:rPr>
      </w:pPr>
    </w:p>
    <w:p>
      <w:pPr>
        <w:ind w:left="280" w:hanging="272"/>
        <w:spacing w:after="0" w:line="269" w:lineRule="auto"/>
        <w:tabs>
          <w:tab w:leader="none" w:pos="29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$(111,000) total, $(50,000) and $(61,000) were recorded within restructuring expense (credit) and cost of sales, respectively, in the Consolidated Statement of Net Loss for the three-month period ended January 28, 2024.</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for all restructuring activities for the upholstery fabrics segment for the nine months ended January 26, 2025, and January 28,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60" w:type="dxa"/>
            <w:vAlign w:val="bottom"/>
          </w:tcPr>
          <w:p>
            <w:pPr>
              <w:spacing w:after="0"/>
              <w:rPr>
                <w:sz w:val="20"/>
                <w:szCs w:val="20"/>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auto"/>
            </w:tcBorders>
            <w:vMerge w:val="continue"/>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9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9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 (3) (4)</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both"/>
        <w:ind w:left="280" w:hanging="272"/>
        <w:spacing w:after="0" w:line="254" w:lineRule="auto"/>
        <w:tabs>
          <w:tab w:leader="none" w:pos="29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$169,000, $155,000 relates to our U.S. upholstery fabrics operations under the Fiscal 2025 Restructuring Plan, which is described more fully in Note 10 of the consolidated financial statements. In addition, the $169,000 includes $14,000 related to the closure of our upholstery fabrics finishing operation located in Shanghai, China, as described above.</w:t>
      </w:r>
    </w:p>
    <w:p>
      <w:pPr>
        <w:spacing w:after="0" w:line="187"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$472,000 related to the closure of our upholstery cut and sewn kits operation located in Ouanaminthe, Haiti, as described above.</w:t>
      </w:r>
    </w:p>
    <w:p>
      <w:pPr>
        <w:spacing w:after="0" w:line="240" w:lineRule="exact"/>
        <w:rPr>
          <w:rFonts w:ascii="Times New Roman" w:cs="Times New Roman" w:eastAsia="Times New Roman" w:hAnsi="Times New Roman"/>
          <w:sz w:val="19"/>
          <w:szCs w:val="19"/>
          <w:color w:val="auto"/>
        </w:rPr>
      </w:pPr>
    </w:p>
    <w:p>
      <w:pPr>
        <w:ind w:left="280" w:hanging="272"/>
        <w:spacing w:after="0" w:line="269" w:lineRule="auto"/>
        <w:tabs>
          <w:tab w:leader="none" w:pos="3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$169,000 was recorded within restructuring expense in the Consolidated Statement of Net Loss for the nine-month period ending January 26, 2025.</w:t>
      </w:r>
    </w:p>
    <w:p>
      <w:pPr>
        <w:spacing w:after="0" w:line="172" w:lineRule="exact"/>
        <w:rPr>
          <w:rFonts w:ascii="Times New Roman" w:cs="Times New Roman" w:eastAsia="Times New Roman" w:hAnsi="Times New Roman"/>
          <w:sz w:val="20"/>
          <w:szCs w:val="20"/>
          <w:color w:val="auto"/>
        </w:rPr>
      </w:pPr>
    </w:p>
    <w:p>
      <w:pPr>
        <w:ind w:left="280" w:hanging="272"/>
        <w:spacing w:after="0" w:line="269" w:lineRule="auto"/>
        <w:tabs>
          <w:tab w:leader="none" w:pos="34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$472,000 total, $432,000 and $40,000 were recorded within restructuring expense and cost of sales, respectively, in the Consolidated Statement of Net Loss for the nine-month period ended January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138430</wp:posOffset>
            </wp:positionV>
            <wp:extent cx="93980" cy="1708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138430</wp:posOffset>
            </wp:positionV>
            <wp:extent cx="93980" cy="1708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08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26, 2025</w:t>
            </w:r>
          </w:p>
        </w:tc>
        <w:tc>
          <w:tcPr>
            <w:tcW w:w="1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11,552</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17,172</w:t>
            </w: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9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9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7"/>
                <w:szCs w:val="17"/>
                <w:color w:val="auto"/>
              </w:rPr>
            </w:pPr>
          </w:p>
        </w:tc>
      </w:tr>
      <w:tr>
        <w:trPr>
          <w:trHeight w:val="196"/>
        </w:trPr>
        <w:tc>
          <w:tcPr>
            <w:tcW w:w="4400" w:type="dxa"/>
            <w:vAlign w:val="bottom"/>
            <w:tcBorders>
              <w:bottom w:val="single" w:sz="8" w:color="auto"/>
            </w:tcBorders>
            <w:shd w:val="clear" w:color="auto" w:fill="CFF0FC"/>
          </w:tcPr>
          <w:p>
            <w:pPr>
              <w:spacing w:after="0"/>
              <w:rPr>
                <w:sz w:val="17"/>
                <w:szCs w:val="17"/>
                <w:color w:val="auto"/>
              </w:rPr>
            </w:pPr>
          </w:p>
        </w:tc>
        <w:tc>
          <w:tcPr>
            <w:tcW w:w="298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32,538</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26, 2025, accounts receivable decreased by $671,000, or 5.5%, as compared with January 28, 2024. This decrease in accounts receivable was due to a decline in net sales of 22.3% during the third quarter of fiscal 2025 compared with the third quarter of fiscal 2024, as described in the section above titled "Segment Analysis-Upholstery Fabrics-Net Sales." The decrease in accounts receivable due to the decline in net sales was mostly offset by longer payment trends during the third quarter of fiscal 2025 compared with the third quarter of fiscal 2024, due to a higher sales mix with customers with longer credit terms. Additionally, a timing difference in cash receipts from certain significant customers during the last week of the third quarter of fiscal 2024 relative to cash receipts during the third quarter of fiscal 2025 also affected our accounts receivable. Accordingly, days’ sales outstanding for this segment increased to 42 days for the third quarter of fiscal 2025, compared with 31 days for the third quarter of fiscal 2024.</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accounts receivable increased by $417,000, or 3.7%, compared with April 28, 2024. This increase in accounts receivable is mostly due to longer payment trends during the third quarter of fiscal 2025 compared with the fourth quarter of fiscal 2024, as we experienced a higher sales mix with customers with longer credit terms. Accordingly, days’ sales outstanding for this segment increased to 42 days for the third quarter of fiscal 2025, compared with 37 days for the fourth quarter of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inventory decreased by $1.7 million, or 9.1%, compared with January 28, 2024. This decrease in inventory primarily represents the decrease in net sales during the third quarter of fiscal 2025 compared with the prior-year period, as described in the above section titled "Segment Analysis-Upholstery Fabrics-Net Sales."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inventory remained flat compared with April 28, 2024. This trend reflects net sales for the third quarter of fiscal 2025 of $23.6 million, which remained flat as compared with net sales of $23.8 million for the fourth quarter of fiscal 2024.</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4.2 for the third quarter of fiscal 2025, compared with 5.1 for the third quarter of fiscal 2024 and 4.4 for the fourth quarter of fiscal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property, plant, and equipment remained relatively flat compared with January 28, 2024, and April 28, 2024, respectively. This trend is mainly due to a reduced level of capital spending commensurate with current unfavorable macro-economic conditions within the home furnishings industry.</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$1.1 million as of January 26, 2025, represents property, plant, and equipment of $1.0 million and $83,000 located in the U.S. and China, respectively. The $1.2 million as of January 28, 2024, represents property, plant, and equipment of $1.1 million and $134,000 located in the U.S. and China, respectively. The $1.1 million as of April 28, 2024, represents property, plant, and equipment of $1.0 million and $120,000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right of use assets increased compared with January 28, 2024, and April 28, 2024, respectively. This increase represents the renewal of certain lease agreements associated with our operations located in China totaling $1.9 million, partially offset by rent expense incurred over the terms of the existing respective lease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$2.6 million as of January 26, 2025, represents right of use assets of $1.9 million and $764,000 located in China and U.S.,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$2.3 million as of January 28, 2024, represents right of use assets of $944,000 and $1.4 million located in China and U.S., respectively.</w:t>
      </w:r>
    </w:p>
    <w:p>
      <w:pPr>
        <w:spacing w:after="0"/>
        <w:rPr>
          <w:sz w:val="20"/>
          <w:szCs w:val="20"/>
          <w:color w:val="auto"/>
        </w:rPr>
      </w:pPr>
      <w:r>
        <w:rPr>
          <w:rFonts w:ascii="Times New Roman" w:cs="Times New Roman" w:eastAsia="Times New Roman" w:hAnsi="Times New Roman"/>
          <w:sz w:val="19"/>
          <w:szCs w:val="19"/>
          <w:color w:val="auto"/>
        </w:rPr>
        <w:t>The $2.0 million as of April 28, 2024, represents right of use assets of $1.3 million and $709,000 located in the U.S. and China,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January 28, 2024</w:t>
            </w:r>
          </w:p>
        </w:tc>
        <w:tc>
          <w:tcPr>
            <w:tcW w:w="120" w:type="dxa"/>
            <w:vAlign w:val="bottom"/>
          </w:tcPr>
          <w:p>
            <w:pPr>
              <w:spacing w:after="0"/>
              <w:rPr>
                <w:sz w:val="18"/>
                <w:szCs w:val="18"/>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5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5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5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453"/>
        </w:trPr>
        <w:tc>
          <w:tcPr>
            <w:tcW w:w="408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80" w:type="dxa"/>
            <w:vAlign w:val="bottom"/>
          </w:tcPr>
          <w:p>
            <w:pPr>
              <w:spacing w:after="0"/>
              <w:rPr>
                <w:sz w:val="15"/>
                <w:szCs w:val="15"/>
                <w:color w:val="auto"/>
              </w:rPr>
            </w:pPr>
          </w:p>
        </w:tc>
        <w:tc>
          <w:tcPr>
            <w:tcW w:w="2780" w:type="dxa"/>
            <w:vAlign w:val="bottom"/>
            <w:gridSpan w:val="4"/>
          </w:tcPr>
          <w:p>
            <w:pPr>
              <w:jc w:val="right"/>
              <w:ind w:right="69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January 28, 2024</w:t>
            </w:r>
          </w:p>
        </w:tc>
        <w:tc>
          <w:tcPr>
            <w:tcW w:w="120" w:type="dxa"/>
            <w:vAlign w:val="bottom"/>
          </w:tcPr>
          <w:p>
            <w:pPr>
              <w:spacing w:after="0"/>
              <w:rPr>
                <w:sz w:val="18"/>
                <w:szCs w:val="18"/>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5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5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60.4 %</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 ("SG&amp;A")</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third quarter and the first nine months of fiscal 2025, as compared to the third quarter and first nine months of fiscal 2024, is primarily due to (i) lower incentive compensation that mostly relates to annual bonuses reflecting unfavorable financial results in relation to pre-established performance targets; (ii) lower employee compensation due to the company's restructuring activities described in the section titled "- Segment Analysis-Mattress Fabrics Segment-Restructuring Activities"; and (iii) lower professional and consulting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Interest expense mostly represents our borrowings totaling $5.4 million under our lines of credit agreement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decreases in interest income are due to lower average cash balances during the third quarter and first nine months of fiscal 2025, compared with the third quarter and first nine months of fiscal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change in other income (expense) during the third quarter and first nine months of fiscal 2025, compared with prior-year periods, were due mostly to changes in the foreign currency exchange rates applied against our balance sheet accounts denominated in Chinese Renminbi to determine the corresponding U.S. dollar financial reporting amounts. During the third quarter of fiscal 2025, we reported a foreign currency exchange gain associated with our operations located in China totaling $305,000, compared with a foreign currency exchange loss of $(290,000) during the third quarter of fiscal 2024. During the first nine months of fiscal 2025, we reported a foreign currency exchange gain associated with our operations located in China totaling $74,000, compared with a foreign currency exchange gain of $389,000 during the first nine months of fiscal 2024.</w:t>
      </w:r>
    </w:p>
    <w:p>
      <w:pPr>
        <w:spacing w:after="0" w:line="1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$74,000 foreign currency exchange gain related to our operations in China was mostly non-cash and was partially offset by $23,000 of income tax expense, which will increase our income tax payments and withholding tax payments associated with future earnings and profits repatriated from our operations located in China to the company's U.S. parent. The income tax expense of $23,000 was associated with taxable foreign currency exchange gains based on more favorable foreign currency exchange rates applied against balance sheet accounts denominated in U.S. dollars to determine the corresponding Chinese Renminbi local currency amounts. The foreign currency exchange rate gains (losses) related to our U.S. dollar denominated balance sheet accounts associated with our operations located in China are considered taxable income or tax deductible, as we incur income tax expense (benefit) and pay income taxes in China's local currency.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$635,000, or (3.9%) of loss before income taxes, for the nine-month period ended January 26, 2025, compared with income tax expense of $2.2 million, or (33.4%) of loss before income taxes, for the nine-month period ended January 28, 2024.</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26, 2025, and January 28, 2024, were based upon the estimated effective income tax rate applicable for the full year after giving effect to any significant items related specifically to interim periods. When calculating the annual estimated effective income tax rates for the nine-month periods ended January 26, 2025, and January 28, 2024,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ended January 26, 2025, and January 28,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26,</w:t>
            </w:r>
          </w:p>
        </w:tc>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January 28,</w:t>
            </w:r>
          </w:p>
        </w:tc>
      </w:tr>
      <w:tr>
        <w:trPr>
          <w:trHeight w:val="213"/>
        </w:trPr>
        <w:tc>
          <w:tcPr>
            <w:tcW w:w="7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r>
      <w:tr>
        <w:trPr>
          <w:trHeight w:val="199"/>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(42.0 )</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spacing w:after="0"/>
              <w:rPr>
                <w:sz w:val="17"/>
                <w:szCs w:val="17"/>
                <w:color w:val="auto"/>
              </w:rPr>
            </w:pPr>
          </w:p>
        </w:tc>
      </w:tr>
      <w:tr>
        <w:trPr>
          <w:trHeight w:val="202"/>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Captial expenditure deduction - Quebec Canada</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(0.8 )</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(5.2 )</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(2.9 )</w:t>
            </w:r>
          </w:p>
        </w:tc>
      </w:tr>
      <w:tr>
        <w:trPr>
          <w:trHeight w:val="203"/>
        </w:trPr>
        <w:tc>
          <w:tcPr>
            <w:tcW w:w="7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FF0FC"/>
            </w:tcBorders>
            <w:shd w:val="clear" w:color="auto" w:fill="CFF0FC"/>
          </w:tcPr>
          <w:p>
            <w:pPr>
              <w:spacing w:after="0"/>
              <w:rPr>
                <w:sz w:val="17"/>
                <w:szCs w:val="17"/>
                <w:color w:val="auto"/>
              </w:rPr>
            </w:pPr>
          </w:p>
        </w:tc>
      </w:tr>
      <w:tr>
        <w:trPr>
          <w:trHeight w:val="236"/>
        </w:trPr>
        <w:tc>
          <w:tcPr>
            <w:tcW w:w="74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-161925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102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02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consolidated effective income tax rates for the first nine months of fiscal 2025 and 2024 were both adversely affected by the mix of earnings between our U.S. operations and foreign subsidiaries, as our taxable income stems mostly from our operations located in China, which has a higher income tax rate than the U.S. In addition, during the first nine months of fiscal 2025 and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6" w:name="page47"/>
    <w:bookmarkEnd w:id="46"/>
    <w:p>
      <w:pPr>
        <w:jc w:val="both"/>
        <w:spacing w:after="0" w:line="246" w:lineRule="auto"/>
        <w:rPr>
          <w:sz w:val="20"/>
          <w:szCs w:val="20"/>
          <w:color w:val="auto"/>
        </w:rPr>
      </w:pPr>
      <w:r>
        <w:rPr>
          <w:rFonts w:ascii="Times New Roman" w:cs="Times New Roman" w:eastAsia="Times New Roman" w:hAnsi="Times New Roman"/>
          <w:sz w:val="20"/>
          <w:szCs w:val="20"/>
          <w:color w:val="auto"/>
        </w:rPr>
        <w:t>first nine months of 2024, we incurred pre-tax losses associated with our U.S. operations, for which an income tax benefit was not recorded due to a full valuation allowance applied against our U.S. net deferred income tax assets. The income tax charge associated with the full valuation allowance applied against our U.S. net deferred income tax assets was higher during the first nine months of fiscal 2025 compared with the first nine months of fiscal 2024, as our $(16.8) million U.S. pre-tax loss incurred during the first nine months of fiscal 2025 was greater than the $(11.3) million U.S. pre-tax loss incurred during the first nine months of fiscal 2024.</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2025, we incurred a greater consolidated pre-tax loss totaling $(16.4) million, compared with $(6.7) million during the first nine months of fiscal 2024.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26, 2025,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currently expect significant U.S. pre-tax losses to continue during fiscal 2025. As a result of the significant weight of this negative evidence, we believe it is more likely than not that our U.S. net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26, 2025, January 28, 2024, and April 28, 2024,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102870</wp:posOffset>
            </wp:positionV>
            <wp:extent cx="939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102870</wp:posOffset>
            </wp:positionV>
            <wp:extent cx="939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102870</wp:posOffset>
            </wp:positionV>
            <wp:extent cx="10287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28, 2024</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19,674</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January 26, 2025,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January 26, 2025, January 28, 2024, and April 28, 2024, we recorded a deferred income tax liability of $5.1 million, $4.7 million, and $4.8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January 28, 2024, and April 28, 2024, we had a total of $1.4 million, $1.2 million, and $1.3 million, respectively, of gross unrecognized income tax benefits, of which the entire amount was classified as income taxes payable – long-term in the accompanying Consolidated Balance Sheets. As of January 26, 2025, the unrecognized tax benefit would favorably affect income tax expense in future periods by $1.4 million.</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as of January 26, 2025, relates to income tax positions for which significant change could occur within the next year if the statute of limitations for relevant taxing authorities to examine and challenge the tax position expires.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9"/>
              </w:rPr>
              <w:t>Nine Months</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24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January 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(219 )</w:t>
            </w:r>
          </w:p>
        </w:tc>
        <w:tc>
          <w:tcPr>
            <w:tcW w:w="7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Based on the restructuring plan approved by our board of directors on April 29, 2024, the timing and success of the closure of our Canadian operation, along with the sale of associated real estate, could have a significant effect on (i) the amount and timing of when and if fiscal 2025 income tax payments will be required; (ii) the amount and timing of withholding tax payments to the Canadian government associated with the repatriation of earnings and profits to the U.S. parent; and (iii) the respective tax rates that will be applied on the sale of equipment. Accordingly, we believe we cannot provide a reasonable estimate of our fiscal 2025 income tax payments associated with our Canadian operation at this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are projecting annual cash income tax payments of approximately $1.8 million associated with our operations located in China. This estimate is management's current projection only and can be affected by actual earnings versus annual projections, changes in the foreign exchange rates in relation to the U.S. dollar, and the timing of when we will repatriate earnings and profits from China to our U.S. parent.</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do not expect to incur any income taxes in the U.S. on a cash basis during fiscal 2025 due to (i) the accelerated expensing of U.S. capital expenditures and our existing U.S. federal net operating loss carryforwards totaling $69.0 million as of April 28, 2024. As of January 26, 2025, we will be required to pay a U.S. federal transition tax payment, in accordance with the 2017 Tax Cuts and Jobs Act, of $831,000 by August 15,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(collectively, "cash"), cash flow from operations, and amounts available under our revolving credit lines. As of January 26, 2025, we believe our cash of $5.3 million and the current availability under our revolving credit lines totaling $23.2 million will be sufficient to fund our foreseeable business needs, restructuring activities, capital expenditures, commitments, and contractual obligations. Refer to Note 11 of the consolidated financial statements for further information regarding our revolving credit lines.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26, 2025, our cash totaled $5.3 million, which represents a decrease of $4.7 million compared with cash of $10.0 million as of April 28, 2024. This decrease was mostly due to (i) net cash used in operating activities totaling $9.4 million, and (ii) capital expenditures totaling $2.4 million, partially offset by (iii) net borrowings from our lines of credit totaling $5.4 million and (iv) proceeds from the sale of equipment of $1.5 million.</w:t>
      </w:r>
    </w:p>
    <w:p>
      <w:pPr>
        <w:spacing w:after="0" w:line="15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net cash used in operating activities was $9.4 million during the first nine months of fiscal 2025, an increase of $3.4 million compared with net cash used in operating activities of $6.0 million during the first nine months of fiscal 2024. This trend mostly reflects (i) a significant decrease in cash earnings, (ii) an increase in inventory purchases to maintain an appropriate level during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restructuring activities, as described above in the section titled “—Segment Analysis—Mattress Fabrics Segment— Restructuring Activities,” and (iii) an increase in accounts receivable primarily due to longer payment trends related to a higher sales mix with customers with longer credit terms, partially offset by an increase in accounts payable due to an increase in inventory purchases with significant vendors who extended their terms during the first nine months of fiscal 2025 compared with the first nine months fiscal 2024.</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we had outstanding borrowings totaling $5.4 million under lines of credit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Income Taxes Paid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for further detail.</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affecting net sales, (ii) supply chain disruptions, (iii) higher interest rates and inflation, (iv) the imposition of tariffs and other trade restrictions, and (v) geopolitical events (including conflicts in Ukraine and the Middle East). These factors could cause delays in receipt of payment on accounts receivable and could increase cash disbursements due to rising prices.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548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8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January 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January 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vMerge w:val="continue"/>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9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Vietnam</w:t>
            </w:r>
          </w:p>
        </w:tc>
        <w:tc>
          <w:tcPr>
            <w:tcW w:w="29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9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shd w:val="clear" w:color="auto" w:fill="CFF0FC"/>
          </w:tcPr>
          <w:p>
            <w:pPr>
              <w:spacing w:after="0"/>
              <w:rPr>
                <w:sz w:val="17"/>
                <w:szCs w:val="17"/>
                <w:color w:val="auto"/>
              </w:rPr>
            </w:pPr>
          </w:p>
        </w:tc>
        <w:tc>
          <w:tcPr>
            <w:tcW w:w="2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nine-month periods ended January 26, 2025, or January 28,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26, 2025, $3.2 million is available for additional repurchases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On June 29, 2022, our board of directors announced the decision to suspend the company’s quarterly cash dividend, believing that preserving capital and managing our liquidity were in the company’s best interest to support future growth and the long-term interests of our shareholders. Accordingly, we did not make any dividend payments during the first nine months of fiscal 2025, fiscal 2024, and fiscal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$37.9 million as of January 26, 2025, compared with $39.0 million as of January 28, 2024, and $38.5 million as of April 28, 2024. Operating working capital turnover was 5.8 during the third quarter of fiscal 2025, compared with 5.9 during the third quarter of fiscal 2024 and 5.8 during the fourth quarter of fiscal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receivable was $23.2 million as of January 26, 2025, a decrease of $527,000, or 2.2%, compared with $23.7 million as of January 28, 2024. This decrease in accounts receivable represents a decline in net sales of 13.5% during the third quarter of fiscal 2025 compared with the third quarter of fiscal 2024, as described in the section titled "Executive Summary-Net Sales". The decrease in accounts receivable due to the decline net sales was mostly offset by longer payment trends during the third quarter of fiscal 2025 compared with the third quarter of fiscal 2024, as we experienced a higher sales mix with customers with longer credit terms as well as a timing difference in cash receipts from certain significant customers associated with upholstery fabrics segment during the last week of the third quarter of fiscal 2024 relative to cash receipts during the third quarter of fiscal 2025. Accordingly, days’ sales outstanding increased to 39 days for the third quarter of fiscal 2025, compared with 33 days for the third quarter of fiscal 2024.</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Accounts receivable was $23.1 million as of January 26, 2025, an increase of $2.0 million, or 9.6%, compared with $21.1 million as of April 28, 2024. This trend was due to an increase in net sales during the third quarter of fiscal 2025, as compared to the fourth quarter of fiscal 2024. Net sales for the third quarter of fiscal 2025 were $52.3 million, an increase of $2.7 million, or 5.5%, compared with $49.5 million for the fourth quarter of fiscal 2024. In addition, the increase in accounts receivable was due to longer payment trends during the third quarter of fiscal 2025 compared with the fourth quarter of fiscal 2024, as we experienced a higher sales mix with customers with longer credit terms in both the mattress and upholstery fabrics segments. Accordingly, days’ sales outstanding increased to 39 days for the third quarter of fiscal 2025, compared with 36 days for the fourth quarter of fiscal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Inventory was $48.6 million as of January 26, 2025, compared with $46.9 million and $44.8 million as of January 28, 2024, and April 28, 2024, respectively. This increase primarily represents purchases of inventory needed maintain an appropriate level of inventory during the company's Fiscal 2025 Restructuring Plan as described above in the section titled “—Segment Analysis — Mattress Fabrics Segment — Restructuring Activities".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3.8 for the third quarter of fiscal 2025, as compared with 4.5 for the third quarter of fiscal 2024 and 3.9 for the fourth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26, 2025, accounts payable - trade was $32.7 million, which represents an increase compared with $29.7 million and $25.6 million as of January 28, 2024, and April 28, 2024, respectively. This trend mostly represents an increase in inventory purchases from significant vendors who extended credit terms during fiscal 2025, as compared with fiscal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As of January 26, 2025, we had outstanding borrowings totaling $5.4 million under our lines of credit related to our operations located in China. Our loan agreements require, among other things, that we maintain compliance with certain financial covenants. As of January 26, 2025, we were in compliance with these financial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11 of the consolidated financial statements for further disclosure regarding our revolving credit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during the first nine months of fiscal 2025 totaled $2.4 million, compared with $3.2 million during the first nine months of fiscal 2024. These levels of capital spending reflect reduced capital spending during the current unfavorable macro-economic conditions within the home furnishings and bedding industries.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Depreciation expense was $5.6 million for the first nine months of fiscal 2025, compared with $4.9 million for the same period a year ago, and was mostly related to our mattress fabrics segment for both periods. In addition, for the first nine months of fiscal 2025, depreciation expense for the mattress fabrics segment included $1.3 million of additional depreciation expense related to the shortening of useful lives of equipment associated with the closure of our manufacturing facility located in Quebec, Canada. This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20"/>
          <w:szCs w:val="20"/>
          <w:color w:val="auto"/>
        </w:rPr>
        <w:t>$1.3 million of additional depreciation expense was classified as restructuring expense in the Consolidated Statement of Net Loss for the nine-month period ended January 26, 2025.</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remainder of fiscal 2025, our capital spending will be centered on capital projects that will increase efficiencies and improve the quality of our products. Funding for capital expenditures is expected to be from cash provided by operating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we had amounts due regarding capital expenditures totaling $439,000 that pertained to outstanding vendor invoices, none of which were financed. The total amount outstanding of $439,000 is required to be paid based on normal credit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26, 2025, we had open purchase commitments to acquire equipment for our mattress fabrics segment totaling $600,000.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26, 2025, there were no changes in our significant accounting policies or the application of those policies from those reported in our Annual Report on Form 10-K for the year ended April 28, 2024.</w:t>
      </w:r>
    </w:p>
    <w:p>
      <w:pPr>
        <w:spacing w:after="0" w:line="1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28, 2024</w:t>
      </w:r>
      <w:r>
        <w:rPr>
          <w:rFonts w:ascii="Times New Roman" w:cs="Times New Roman" w:eastAsia="Times New Roman" w:hAnsi="Times New Roman"/>
          <w:sz w:val="20"/>
          <w:szCs w:val="20"/>
          <w:color w:val="FF0000"/>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may limit our ability to pass significant operating cost increases on to customers.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fiscal 2024 and continuing through the third quarter of fiscal 2025, raw material costs started to decline due to slowing global demand; however, the cost of labor remained challenging during fiscal 2024 and continuing through the third quarter of fiscal 2025.</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Inflationary pressures also affected consumer spending during fiscal 2024 and continuing through the third quarter of fiscal 2025, causing a slowdown in business in both the mattress industry and the residential home furnishings industry. This slowdown has caused reduced demand from producers of home furnishings for our mattress fabrics and residential upholstery fabrics products during fiscal 2024 and continuing through the third quarter of fiscal 2025.</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1" w:name="page52"/>
    <w:bookmarkEnd w:id="51"/>
    <w:p>
      <w:pPr>
        <w:ind w:right="3620"/>
        <w:spacing w:after="0" w:line="450" w:lineRule="auto"/>
        <w:rPr>
          <w:sz w:val="20"/>
          <w:szCs w:val="20"/>
          <w:color w:val="auto"/>
        </w:rPr>
      </w:pPr>
      <w:r>
        <w:rPr>
          <w:rFonts w:ascii="Times New Roman" w:cs="Times New Roman" w:eastAsia="Times New Roman" w:hAnsi="Times New Roman"/>
          <w:sz w:val="20"/>
          <w:szCs w:val="20"/>
          <w:u w:val="single" w:color="auto"/>
          <w:color w:val="auto"/>
        </w:rPr>
        <w:t xml:space="preserve">ITEM 3. QUANTITATIVE AND QUALITATIVE DISCLOSURES ABOUT MARKET RISK </w:t>
      </w:r>
      <w:r>
        <w:rPr>
          <w:rFonts w:ascii="Times New Roman" w:cs="Times New Roman" w:eastAsia="Times New Roman" w:hAnsi="Times New Roman"/>
          <w:sz w:val="20"/>
          <w:szCs w:val="20"/>
          <w:i w:val="1"/>
          <w:iCs w:val="1"/>
          <w:color w:val="auto"/>
        </w:rPr>
        <w:t>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on our revolving credit agreements.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to establish an asset-based revolving credit facility that required interest to be charged at a rate calculated using an applicable margin over the Federal Reserve Bank of New York's secured overnight fund rate (SOFR), as defined in the Amended Agreement. The interest rate under the Amended Agreement as of January 26, 2025, was 5.8%. As of January 26, 2025, there were no outstanding borrowings under the Amended Agreement.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March 20, 2024, we entered into an unsecured credit agreement with a financial institution in China denominated in RMB that requires interest to be charged at a rate based on the Loan Prime Rate ("LPR") in China minus 50 basis points at the time of borrowing, which represents 2.95%. There were outstanding borrowings under this agreement totaling $4.0 million as of January 26, 2025.</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5, 2024, we entered into an unsecured credit agreement with another financial institution in China denominated in RMB that requires interest to be charged at a rate based on the Loan Prime Rate ("LPR") in China minus 50 basis points at the time of borrowing, which represents 2.60%. There were outstanding borrowings under this agreement totaling $1.4 million as of January 26,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January 26, 2025, would not have materially affected our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26, 2025,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January 26, 2025,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January 26, 2025. Our legal proceedings are disclosed in the company’s Annual Report on Form 10-K filed with the Securities and Exchange Commission on July 12, 2024, for the fiscal year ended April 28,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Except as set forth below, there have not been any material changes to our risk factors during the three months ended January 26, 2025, from the risk factors disclosed in Item 1A “Risk Factors” of the company’s Annual Report on Form 10-K filed with the Securities and Exchange Commission on July 12, 2024, for the fiscal year ended April 28, 2024.</w:t>
      </w:r>
    </w:p>
    <w:p>
      <w:pPr>
        <w:spacing w:after="0" w:line="14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Our business may be adversely affected by increased tariffs or other changes in U.S. trade policy related to imported products, as well as violations of existing trade policies.</w:t>
      </w:r>
    </w:p>
    <w:p>
      <w:pPr>
        <w:spacing w:after="0" w:line="1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Many of our products are manufactured or sourced outside of the United States. The U.S. government has imposed certain tariffs on imports from various countries, including China, where a significant amount of our products is produced. Recently, the U.S. government significantly increased tariffs on imports from China, and has indicated a willingness to impose additional tariffs on imports from China and other countries. Any tariffs that result in increased costs of imported products and materials could require us to increase prices to our domestic customers. Moreover, if other countries enact retaliatory tariffs in response to U.S. trade policy, our sales, and the economy in general, may be adversely affected. If we are unable to pass along these additional costs, our gross margins on products sold may be adversely affected. As a result, the tariffs could have a material adverse effect on our results of operations.</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tariffs, the U.S. government considers other proposals for substantial changes to its trade and tax policies, which could include import restrictions,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There are also a number of trade regulations and duties currently in place to protect the U.S. textile industry against competition from low-priced foreign producers, such as those in China and Vietnam, but violations of these trade regulations and duties by foreign producers has had, and may 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occurred,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In response to low-priced mattress imports that moved out of China to other countries in an effort to circumvent U.S. duties, the U.S. Department of Commerce has imposed anti-dumping duties on mattress imports from countries other than China. While we believe the domestic mattress industry and, in turn, our business, began to realize some benefits from these duties starting in 2021, low-priced imports continue to adversely affect our sales. We can offer no assurance that such trends will abate, nor can we offer assurance that the U.S. Department of Commerce can effectively limit the dumping of low-priced imports into the U.S. market.</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8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3"/>
                <w:szCs w:val="13"/>
                <w:color w:val="auto"/>
                <w:w w:val="96"/>
              </w:rPr>
              <w:t>(c)</w:t>
            </w:r>
          </w:p>
        </w:tc>
        <w:tc>
          <w:tcPr>
            <w:tcW w:w="14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color w:val="auto"/>
                <w:w w:val="92"/>
              </w:rPr>
              <w: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Total Number of</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Approximate</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6"/>
              </w:rPr>
              <w:t>(a)</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Dollar Value of</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Total</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rPr>
              <w:t>(b)</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7"/>
              </w:rPr>
              <w:t>as Part of</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Shares that May</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Number</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9"/>
              </w:rPr>
              <w:t>Average</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Publicly</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Yet Be Purchased</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vMerge w:val="restart"/>
          </w:tcPr>
          <w:p>
            <w:pPr>
              <w:ind w:left="2620"/>
              <w:spacing w:after="0"/>
              <w:rPr>
                <w:sz w:val="20"/>
                <w:szCs w:val="20"/>
                <w:color w:val="auto"/>
              </w:rPr>
            </w:pPr>
            <w:r>
              <w:rPr>
                <w:rFonts w:ascii="Times New Roman" w:cs="Times New Roman" w:eastAsia="Times New Roman" w:hAnsi="Times New Roman"/>
                <w:sz w:val="16"/>
                <w:szCs w:val="16"/>
                <w:color w:val="auto"/>
              </w:rPr>
              <w:t>Period</w:t>
            </w: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of Shares</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7"/>
              </w:rPr>
              <w:t>Price Paid</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Announced Plans</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Under the Plans or</w:t>
            </w:r>
          </w:p>
        </w:tc>
        <w:tc>
          <w:tcPr>
            <w:tcW w:w="0" w:type="dxa"/>
            <w:vAlign w:val="bottom"/>
          </w:tcPr>
          <w:p>
            <w:pPr>
              <w:spacing w:after="0"/>
              <w:rPr>
                <w:sz w:val="1"/>
                <w:szCs w:val="1"/>
                <w:color w:val="auto"/>
              </w:rPr>
            </w:pPr>
          </w:p>
        </w:tc>
      </w:tr>
      <w:tr>
        <w:trPr>
          <w:trHeight w:val="192"/>
        </w:trPr>
        <w:tc>
          <w:tcPr>
            <w:tcW w:w="5640" w:type="dxa"/>
            <w:vAlign w:val="bottom"/>
            <w:tcBorders>
              <w:left w:val="single" w:sz="8" w:color="auto"/>
              <w:right w:val="single" w:sz="8" w:color="auto"/>
            </w:tcBorders>
            <w:vMerge w:val="continue"/>
          </w:tcPr>
          <w:p>
            <w:pPr>
              <w:spacing w:after="0"/>
              <w:rPr>
                <w:sz w:val="16"/>
                <w:szCs w:val="16"/>
                <w:color w:val="auto"/>
              </w:rPr>
            </w:pPr>
          </w:p>
        </w:tc>
        <w:tc>
          <w:tcPr>
            <w:tcW w:w="106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7"/>
              </w:rPr>
              <w:t>Purchased</w:t>
            </w:r>
          </w:p>
        </w:tc>
        <w:tc>
          <w:tcPr>
            <w:tcW w:w="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6"/>
              </w:rPr>
              <w:t>per Share</w:t>
            </w:r>
          </w:p>
        </w:tc>
        <w:tc>
          <w:tcPr>
            <w:tcW w:w="140" w:type="dxa"/>
            <w:vAlign w:val="bottom"/>
            <w:tcBorders>
              <w:right w:val="single" w:sz="8" w:color="auto"/>
            </w:tcBorders>
          </w:tcPr>
          <w:p>
            <w:pPr>
              <w:spacing w:after="0"/>
              <w:rPr>
                <w:sz w:val="16"/>
                <w:szCs w:val="16"/>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or Programs</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Programs (1)</w:t>
            </w:r>
          </w:p>
        </w:tc>
        <w:tc>
          <w:tcPr>
            <w:tcW w:w="0" w:type="dxa"/>
            <w:vAlign w:val="bottom"/>
          </w:tcPr>
          <w:p>
            <w:pPr>
              <w:spacing w:after="0"/>
              <w:rPr>
                <w:sz w:val="1"/>
                <w:szCs w:val="1"/>
                <w:color w:val="auto"/>
              </w:rPr>
            </w:pPr>
          </w:p>
        </w:tc>
      </w:tr>
      <w:tr>
        <w:trPr>
          <w:trHeight w:val="196"/>
        </w:trPr>
        <w:tc>
          <w:tcPr>
            <w:tcW w:w="564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October 28, 2024 to December 1, 2024</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December 2, 2024 to December 29, 2024</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December 30, 2024 to January 26, 2025</w:t>
            </w:r>
          </w:p>
        </w:tc>
        <w:tc>
          <w:tcPr>
            <w:tcW w:w="10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-419100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-419100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-419100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-144780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-144780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5.</w:t>
      </w:r>
      <w:r>
        <w:rPr>
          <w:sz w:val="20"/>
          <w:szCs w:val="20"/>
          <w:color w:val="auto"/>
        </w:rPr>
        <w:tab/>
      </w:r>
      <w:r>
        <w:rPr>
          <w:rFonts w:ascii="Times New Roman" w:cs="Times New Roman" w:eastAsia="Times New Roman" w:hAnsi="Times New Roman"/>
          <w:sz w:val="19"/>
          <w:szCs w:val="19"/>
          <w:u w:val="single" w:color="auto"/>
          <w:color w:val="auto"/>
        </w:rPr>
        <w:t>Other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January 26, 2025,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Appointment of Principal Accounting Officer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March 5, 2025, the Board of Directors of the company appointed Ronald S. Chandler as the company’s Vice President and Corporate Controller and to serve as the company’s principal accounting officer. Mr. Chandler will report to Kenneth R. Bowling, the company’s Executive Vice President, Chief Financial Officer, and Treasurer, and, in connection with Mr. Chandler’s appointment, Mr. Bowling will no longer serve as the Company’s principal accounting officer.</w:t>
      </w:r>
    </w:p>
    <w:p>
      <w:pPr>
        <w:spacing w:after="0" w:line="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Mr. Chandler, age 46, previously served as the company’s Corporate Controller since July 2021, and began his tenure with the company as Assistant Corporate Controller in January 2014. Prior to joining the company, Mr. Chandler served as Accounting Manager for Inmar, Inc. from 2010 to 2014 and in audit associate roles with Grant Thornton LLP from 2006 to 2010. Mr. Chandler earned a bachelor’s degree in Business Administration, with a concentration in Finance, from Western Carolina University and a master’s degree in Accounting from the University of North Carolina at Greensboro. Mr. Chandler is a certified public accountant.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 connection with his appointment, Mr. Chandler’s annual salary was increased from $149,900 to $175,000.</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is no arrangement or understanding pursuant to which Mr. Chandler was appointed as principal accounting officer of the company. There are no family relationships between Mr. Chandler and any of the company’s directors or executive officers, and there are no related party transactions involving Mr. Chandler that are reportable under Item 404(a)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34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59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5986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Rule 13a-14(a)/15d-14(a)</w:t>
      </w:r>
      <w:r>
        <w:rPr>
          <w:rFonts w:ascii="Times New Roman" w:cs="Times New Roman" w:eastAsia="Times New Roman" w:hAnsi="Times New Roman"/>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192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91922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588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58895"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239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2397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Inline XBRL Taxonomy Extension Calculation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Inline XBRL Taxonomy Extension Presentation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2260" w:right="1459" w:hanging="2252"/>
        <w:spacing w:after="0" w:line="269" w:lineRule="auto"/>
        <w:tabs>
          <w:tab w:leader="none" w:pos="9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CULP, INC.</w:t>
            </w:r>
          </w:p>
        </w:tc>
      </w:tr>
      <w:tr>
        <w:trPr>
          <w:trHeight w:val="262"/>
        </w:trPr>
        <w:tc>
          <w:tcPr>
            <w:tcW w:w="36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426"/>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March 7, 2025</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20"/>
                <w:szCs w:val="20"/>
                <w:color w:val="auto"/>
              </w:rPr>
              <w:t>By:   /s/ Kenneth R. Bowling</w:t>
            </w:r>
          </w:p>
        </w:tc>
      </w:tr>
      <w:tr>
        <w:trPr>
          <w:trHeight w:val="200"/>
        </w:trPr>
        <w:tc>
          <w:tcPr>
            <w:tcW w:w="3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Kenneth R. Bowling</w:t>
            </w:r>
          </w:p>
        </w:tc>
      </w:tr>
      <w:tr>
        <w:trPr>
          <w:trHeight w:val="230"/>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29"/>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6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-119380</wp:posOffset>
            </wp:positionV>
            <wp:extent cx="24771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-119380</wp:posOffset>
            </wp:positionV>
            <wp:extent cx="24771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26, 2025,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26, 2025,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Roman"/>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lvl w:ilvl="1">
      <w:lvlJc w:val="left"/>
      <w:lvlText w:val="(%2)"/>
      <w:numFmt w:val="decimal"/>
      <w:start w:val="1"/>
    </w:lvl>
  </w:abstractNum>
  <w:abstractNum w:abstractNumId="7">
    <w:nsid w:val="257130A3"/>
    <w:multiLevelType w:val="hybridMultilevel"/>
    <w:lvl w:ilvl="0">
      <w:lvlJc w:val="left"/>
      <w:lvlText w:val="(%1)"/>
      <w:numFmt w:val="decimal"/>
      <w:start w:val="2"/>
    </w:lvl>
    <w:lvl w:ilvl="1">
      <w:lvlJc w:val="left"/>
      <w:lvlText w:val="%2"/>
      <w:numFmt w:val="decimal"/>
      <w:start w:val="1"/>
    </w:lvl>
  </w:abstractNum>
  <w:abstractNum w:abstractNumId="8">
    <w:nsid w:val="62BBD95A"/>
    <w:multiLevelType w:val="hybridMultilevel"/>
    <w:lvl w:ilvl="0">
      <w:lvlJc w:val="left"/>
      <w:lvlText w:val="•"/>
      <w:numFmt w:val="bullet"/>
      <w:start w:val="1"/>
    </w:lvl>
    <w:lvl w:ilvl="1">
      <w:lvlJc w:val="left"/>
      <w:lvlText w:val="▪"/>
      <w:numFmt w:val="bullet"/>
      <w:start w:val="1"/>
    </w:lvl>
  </w:abstractNum>
  <w:abstractNum w:abstractNumId="9">
    <w:nsid w:val="436C6125"/>
    <w:multiLevelType w:val="hybridMultilevel"/>
    <w:lvl w:ilvl="0">
      <w:lvlJc w:val="left"/>
      <w:lvlText w:val="o"/>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decimal"/>
      <w:start w:val="4"/>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7"/>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6"/>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2025-03-07T09:18:23Z</dcterms:created>
  <dcterms:modified xsi:type="dcterms:W3CDTF">2025-03-07T09:18:23Z</dcterms:modified>
</cp:coreProperties>
</file>