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line="238" w:lineRule="auto"/>
        <w:rPr>
          <w:sz w:val="20"/>
          <w:szCs w:val="20"/>
          <w:color w:val="auto"/>
        </w:rPr>
      </w:pPr>
      <w:r>
        <w:rPr>
          <w:rFonts w:ascii="Times New Roman" w:cs="Times New Roman" w:eastAsia="Times New Roman" w:hAnsi="Times New Roman"/>
          <w:sz w:val="26"/>
          <w:szCs w:val="26"/>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QUARTERLY REPORT PURSUANT TO SECTION 13 OR 15(d)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quarterly period ended January 28, 2024</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No. 1-12597</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CULP,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rPr>
              <w:t>NORTH CAROLINA</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b w:val="1"/>
                <w:bCs w:val="1"/>
                <w:color w:val="auto"/>
              </w:rPr>
              <w:t>56-1001967</w:t>
            </w:r>
          </w:p>
        </w:tc>
      </w:tr>
      <w:tr>
        <w:trPr>
          <w:trHeight w:val="222"/>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(I.R.S. Employer</w:t>
            </w:r>
          </w:p>
        </w:tc>
      </w:tr>
      <w:tr>
        <w:trPr>
          <w:trHeight w:val="243"/>
        </w:trPr>
        <w:tc>
          <w:tcPr>
            <w:tcW w:w="4920" w:type="dxa"/>
            <w:vAlign w:val="bottom"/>
            <w:gridSpan w:val="3"/>
          </w:tcPr>
          <w:p>
            <w:pPr>
              <w:jc w:val="center"/>
              <w:ind w:left="614"/>
              <w:spacing w:after="0"/>
              <w:rPr>
                <w:sz w:val="20"/>
                <w:szCs w:val="20"/>
                <w:color w:val="auto"/>
              </w:rPr>
            </w:pPr>
            <w:r>
              <w:rPr>
                <w:rFonts w:ascii="Times New Roman" w:cs="Times New Roman" w:eastAsia="Times New Roman" w:hAnsi="Times New Roman"/>
                <w:sz w:val="18"/>
                <w:szCs w:val="18"/>
                <w:color w:val="auto"/>
                <w:w w:val="99"/>
              </w:rPr>
              <w:t>incorporation or other organization)</w:t>
            </w: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72"/>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rPr>
              <w:t>1823 Eastchester Drive</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30"/>
        </w:trPr>
        <w:tc>
          <w:tcPr>
            <w:tcW w:w="4920" w:type="dxa"/>
            <w:vAlign w:val="bottom"/>
            <w:gridSpan w:val="3"/>
          </w:tcPr>
          <w:p>
            <w:pPr>
              <w:jc w:val="center"/>
              <w:ind w:left="614"/>
              <w:spacing w:after="0"/>
              <w:rPr>
                <w:sz w:val="20"/>
                <w:szCs w:val="20"/>
                <w:color w:val="auto"/>
              </w:rPr>
            </w:pPr>
            <w:r>
              <w:rPr>
                <w:rFonts w:ascii="Times New Roman" w:cs="Times New Roman" w:eastAsia="Times New Roman" w:hAnsi="Times New Roman"/>
                <w:sz w:val="16"/>
                <w:szCs w:val="16"/>
                <w:b w:val="1"/>
                <w:bCs w:val="1"/>
                <w:color w:val="auto"/>
              </w:rPr>
              <w:t>High Point, North Carolina</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b w:val="1"/>
                <w:bCs w:val="1"/>
                <w:color w:val="auto"/>
              </w:rPr>
              <w:t>27265-1402</w:t>
            </w:r>
          </w:p>
        </w:tc>
      </w:tr>
      <w:tr>
        <w:trPr>
          <w:trHeight w:val="229"/>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(zip code)</w:t>
            </w:r>
          </w:p>
        </w:tc>
      </w:tr>
      <w:tr>
        <w:trPr>
          <w:trHeight w:val="375"/>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0" w:type="dxa"/>
            <w:vAlign w:val="bottom"/>
          </w:tcPr>
          <w:p>
            <w:pPr>
              <w:jc w:val="center"/>
              <w:ind w:right="1113"/>
              <w:spacing w:after="0"/>
              <w:rPr>
                <w:sz w:val="20"/>
                <w:szCs w:val="20"/>
                <w:color w:val="auto"/>
              </w:rPr>
            </w:pPr>
            <w:r>
              <w:rPr>
                <w:rFonts w:ascii="Times New Roman" w:cs="Times New Roman" w:eastAsia="Times New Roman" w:hAnsi="Times New Roman"/>
                <w:sz w:val="20"/>
                <w:szCs w:val="20"/>
                <w:b w:val="1"/>
                <w:bCs w:val="1"/>
                <w:color w:val="auto"/>
                <w:w w:val="99"/>
              </w:rPr>
              <w:t>(336) 889-5161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58"/>
        </w:trPr>
        <w:tc>
          <w:tcPr>
            <w:tcW w:w="7760" w:type="dxa"/>
            <w:vAlign w:val="bottom"/>
            <w:gridSpan w:val="6"/>
          </w:tcPr>
          <w:p>
            <w:pPr>
              <w:jc w:val="center"/>
              <w:ind w:left="3394"/>
              <w:spacing w:after="0"/>
              <w:rPr>
                <w:sz w:val="20"/>
                <w:szCs w:val="20"/>
                <w:color w:val="auto"/>
              </w:rPr>
            </w:pPr>
            <w:r>
              <w:rPr>
                <w:rFonts w:ascii="Times New Roman" w:cs="Times New Roman" w:eastAsia="Times New Roman" w:hAnsi="Times New Roman"/>
                <w:sz w:val="20"/>
                <w:szCs w:val="20"/>
                <w:color w:val="auto"/>
                <w:w w:val="98"/>
              </w:rPr>
              <w:t>(Registrant's telephone number, including area code)</w:t>
            </w:r>
          </w:p>
        </w:tc>
        <w:tc>
          <w:tcPr>
            <w:tcW w:w="3480" w:type="dxa"/>
            <w:vAlign w:val="bottom"/>
          </w:tcPr>
          <w:p>
            <w:pPr>
              <w:spacing w:after="0"/>
              <w:rPr>
                <w:sz w:val="22"/>
                <w:szCs w:val="22"/>
                <w:color w:val="auto"/>
              </w:rPr>
            </w:pPr>
          </w:p>
        </w:tc>
      </w:tr>
      <w:tr>
        <w:trPr>
          <w:trHeight w:val="378"/>
        </w:trPr>
        <w:tc>
          <w:tcPr>
            <w:tcW w:w="49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66"/>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43"/>
        </w:trPr>
        <w:tc>
          <w:tcPr>
            <w:tcW w:w="4920" w:type="dxa"/>
            <w:vAlign w:val="bottom"/>
            <w:gridSpan w:val="3"/>
          </w:tcPr>
          <w:p>
            <w:pPr>
              <w:jc w:val="center"/>
              <w:ind w:right="12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840" w:type="dxa"/>
            <w:vAlign w:val="bottom"/>
            <w:gridSpan w:val="3"/>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12"/>
        </w:trPr>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$.05/ Share</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jc w:val="center"/>
              <w:ind w:right="1073"/>
              <w:spacing w:after="0"/>
              <w:rPr>
                <w:sz w:val="20"/>
                <w:szCs w:val="20"/>
                <w:color w:val="auto"/>
              </w:rPr>
            </w:pPr>
            <w:r>
              <w:rPr>
                <w:rFonts w:ascii="Times New Roman" w:cs="Times New Roman" w:eastAsia="Times New Roman" w:hAnsi="Times New Roman"/>
                <w:sz w:val="16"/>
                <w:szCs w:val="16"/>
                <w:b w:val="1"/>
                <w:bCs w:val="1"/>
                <w:color w:val="auto"/>
              </w:rPr>
              <w:t>CULP</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139" w:lineRule="exact"/>
        <w:rPr>
          <w:sz w:val="24"/>
          <w:szCs w:val="24"/>
          <w:color w:val="auto"/>
        </w:rPr>
      </w:pPr>
    </w:p>
    <w:p>
      <w:pPr>
        <w:jc w:val="both"/>
        <w:spacing w:after="0" w:line="255"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72" w:lineRule="exact"/>
        <w:rPr>
          <w:sz w:val="24"/>
          <w:szCs w:val="24"/>
          <w:color w:val="auto"/>
        </w:rPr>
      </w:pPr>
    </w:p>
    <w:p>
      <w:pPr>
        <w:jc w:val="both"/>
        <w:spacing w:after="0" w:line="255"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after the registrant was required to submit such files).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86"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20" w:type="dxa"/>
        <w:tblCellMar>
          <w:top w:w="0" w:type="dxa"/>
          <w:left w:w="0" w:type="dxa"/>
          <w:bottom w:w="0" w:type="dxa"/>
          <w:right w:w="0" w:type="dxa"/>
        </w:tblCellMar>
      </w:tblPr>
      <w:tr>
        <w:trPr>
          <w:trHeight w:val="334"/>
        </w:trPr>
        <w:tc>
          <w:tcPr>
            <w:tcW w:w="2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Large accelerated filer</w:t>
            </w:r>
          </w:p>
        </w:tc>
        <w:tc>
          <w:tcPr>
            <w:tcW w:w="2900" w:type="dxa"/>
            <w:vAlign w:val="bottom"/>
          </w:tcPr>
          <w:p>
            <w:pPr>
              <w:ind w:left="46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80"/>
              <w:spacing w:after="0"/>
              <w:rPr>
                <w:sz w:val="20"/>
                <w:szCs w:val="20"/>
                <w:color w:val="auto"/>
              </w:rPr>
            </w:pPr>
            <w:r>
              <w:rPr>
                <w:rFonts w:ascii="Times New Roman" w:cs="Times New Roman" w:eastAsia="Times New Roman" w:hAnsi="Times New Roman"/>
                <w:sz w:val="20"/>
                <w:szCs w:val="20"/>
                <w:b w:val="1"/>
                <w:bCs w:val="1"/>
                <w:color w:val="auto"/>
              </w:rPr>
              <w:t>Accelerated filer</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86"/>
        </w:trPr>
        <w:tc>
          <w:tcPr>
            <w:tcW w:w="2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Non-accelerated filer</w:t>
            </w:r>
          </w:p>
        </w:tc>
        <w:tc>
          <w:tcPr>
            <w:tcW w:w="2900" w:type="dxa"/>
            <w:vAlign w:val="bottom"/>
          </w:tcPr>
          <w:p>
            <w:pPr>
              <w:ind w:left="46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80"/>
              <w:spacing w:after="0"/>
              <w:rPr>
                <w:sz w:val="20"/>
                <w:szCs w:val="20"/>
                <w:color w:val="auto"/>
              </w:rPr>
            </w:pPr>
            <w:r>
              <w:rPr>
                <w:rFonts w:ascii="Times New Roman" w:cs="Times New Roman" w:eastAsia="Times New Roman" w:hAnsi="Times New Roman"/>
                <w:sz w:val="20"/>
                <w:szCs w:val="20"/>
                <w:b w:val="1"/>
                <w:bCs w:val="1"/>
                <w:color w:val="auto"/>
              </w:rPr>
              <w:t>Smaller Reporting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86"/>
        </w:trPr>
        <w:tc>
          <w:tcPr>
            <w:tcW w:w="2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20" w:type="dxa"/>
            <w:vAlign w:val="bottom"/>
          </w:tcPr>
          <w:p>
            <w:pPr>
              <w:ind w:left="2280"/>
              <w:spacing w:after="0"/>
              <w:rPr>
                <w:sz w:val="20"/>
                <w:szCs w:val="20"/>
                <w:color w:val="auto"/>
              </w:rPr>
            </w:pPr>
            <w:r>
              <w:rPr>
                <w:rFonts w:ascii="Times New Roman" w:cs="Times New Roman" w:eastAsia="Times New Roman" w:hAnsi="Times New Roman"/>
                <w:sz w:val="20"/>
                <w:szCs w:val="20"/>
                <w:b w:val="1"/>
                <w:bCs w:val="1"/>
                <w:color w:val="auto"/>
              </w:rPr>
              <w:t>Emerging Growth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bl>
    <w:p>
      <w:pPr>
        <w:spacing w:after="0" w:line="86"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20"/>
          <w:szCs w:val="20"/>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highlight w:val="black"/>
        </w:rPr>
        <w:t>☐</w:t>
      </w:r>
    </w:p>
    <w:p>
      <w:pPr>
        <w:spacing w:after="0" w:line="58"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is a shell company (as defined in Rule 12b-2 of the Exchange Act).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Indicate the number of shares outstanding of each of the issuer’s classes of common stock, as of the latest practicable date:</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shares outstanding as of March 6, 2024: 12,469,903</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0" w:type="dxa"/>
            <w:vAlign w:val="bottom"/>
            <w:gridSpan w:val="10"/>
          </w:tcPr>
          <w:p>
            <w:pPr>
              <w:ind w:left="40"/>
              <w:spacing w:after="0"/>
              <w:rPr>
                <w:sz w:val="20"/>
                <w:szCs w:val="20"/>
                <w:color w:val="auto"/>
              </w:rPr>
            </w:pPr>
            <w:r>
              <w:rPr>
                <w:rFonts w:ascii="Times New Roman" w:cs="Times New Roman" w:eastAsia="Times New Roman" w:hAnsi="Times New Roman"/>
                <w:sz w:val="20"/>
                <w:szCs w:val="20"/>
                <w:b w:val="1"/>
                <w:bCs w:val="1"/>
                <w:color w:val="auto"/>
              </w:rPr>
              <w:t>INDEX TO FORM 10-Q</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60" w:type="dxa"/>
            <w:vAlign w:val="bottom"/>
            <w:gridSpan w:val="12"/>
          </w:tcPr>
          <w:p>
            <w:pPr>
              <w:ind w:left="300"/>
              <w:spacing w:after="0"/>
              <w:rPr>
                <w:sz w:val="20"/>
                <w:szCs w:val="20"/>
                <w:color w:val="auto"/>
              </w:rPr>
            </w:pPr>
            <w:r>
              <w:rPr>
                <w:rFonts w:ascii="Times New Roman" w:cs="Times New Roman" w:eastAsia="Times New Roman" w:hAnsi="Times New Roman"/>
                <w:sz w:val="20"/>
                <w:szCs w:val="20"/>
                <w:b w:val="1"/>
                <w:bCs w:val="1"/>
                <w:color w:val="auto"/>
              </w:rPr>
              <w:t>For the period ended January 28, 2024</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0" w:type="dxa"/>
            <w:vAlign w:val="bottom"/>
            <w:gridSpan w:val="10"/>
          </w:tcPr>
          <w:p>
            <w:pPr>
              <w:spacing w:after="0"/>
              <w:rPr>
                <w:sz w:val="20"/>
                <w:szCs w:val="20"/>
                <w:color w:val="auto"/>
              </w:rPr>
            </w:pPr>
            <w:r>
              <w:rPr>
                <w:rFonts w:ascii="Times New Roman" w:cs="Times New Roman" w:eastAsia="Times New Roman" w:hAnsi="Times New Roman"/>
                <w:sz w:val="20"/>
                <w:szCs w:val="20"/>
                <w:b w:val="1"/>
                <w:bCs w:val="1"/>
                <w:color w:val="auto"/>
              </w:rPr>
              <w:t>Part I - Financial Statements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35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Financial Statements: (Unaudited)</w:t>
            </w:r>
          </w:p>
        </w:tc>
        <w:tc>
          <w:tcPr>
            <w:tcW w:w="2440" w:type="dxa"/>
            <w:vAlign w:val="bottom"/>
            <w:tcBorders>
              <w:top w:val="single" w:sz="8" w:color="auto"/>
            </w:tcBorders>
            <w:gridSpan w:val="5"/>
          </w:tcPr>
          <w:p>
            <w:pPr>
              <w:spacing w:after="0"/>
              <w:rPr>
                <w:sz w:val="24"/>
                <w:szCs w:val="24"/>
                <w:color w:val="auto"/>
              </w:rPr>
            </w:pPr>
          </w:p>
        </w:tc>
        <w:tc>
          <w:tcPr>
            <w:tcW w:w="3560" w:type="dxa"/>
            <w:vAlign w:val="bottom"/>
            <w:gridSpan w:val="5"/>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w w:val="99"/>
              </w:rPr>
              <w:t>Consolidated Statements of Net Loss — Three Months and Nine Months Ended January 28, 2024, and January 29, 2023</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tcBorders>
              <w:left w:val="single" w:sz="8" w:color="0000EE"/>
              <w:right w:val="single" w:sz="8" w:color="0000FF"/>
            </w:tcBorders>
            <w:shd w:val="clear" w:color="auto" w:fill="0000EE"/>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560" w:type="dxa"/>
            <w:vAlign w:val="bottom"/>
            <w:gridSpan w:val="18"/>
            <w:vMerge w:val="restart"/>
          </w:tcPr>
          <w:p>
            <w:pPr>
              <w:spacing w:after="0"/>
              <w:rPr>
                <w:sz w:val="20"/>
                <w:szCs w:val="20"/>
                <w:color w:val="auto"/>
              </w:rPr>
            </w:pPr>
            <w:r>
              <w:rPr>
                <w:rFonts w:ascii="Times New Roman" w:cs="Times New Roman" w:eastAsia="Times New Roman" w:hAnsi="Times New Roman"/>
                <w:sz w:val="20"/>
                <w:szCs w:val="20"/>
                <w:color w:val="0000FF"/>
              </w:rPr>
              <w:t>Consolidated Statements of Comprehensive Loss – Three Months and Nine Months Ended January 28, 2024, and</w:t>
            </w: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60" w:type="dxa"/>
            <w:vAlign w:val="bottom"/>
            <w:gridSpan w:val="18"/>
            <w:vMerge w:val="continue"/>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I-3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60" w:type="dxa"/>
            <w:vAlign w:val="bottom"/>
            <w:gridSpan w:val="18"/>
          </w:tcPr>
          <w:p>
            <w:pPr>
              <w:spacing w:after="0" w:line="209" w:lineRule="exact"/>
              <w:rPr>
                <w:sz w:val="20"/>
                <w:szCs w:val="20"/>
                <w:color w:val="auto"/>
              </w:rPr>
            </w:pPr>
            <w:r>
              <w:rPr>
                <w:rFonts w:ascii="Times New Roman" w:cs="Times New Roman" w:eastAsia="Times New Roman" w:hAnsi="Times New Roman"/>
                <w:sz w:val="20"/>
                <w:szCs w:val="20"/>
                <w:color w:val="0000FF"/>
              </w:rPr>
              <w:t>January 29, 2023</w:t>
            </w: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Balance Sheets — January 28, 2024, January 29, 2023, and April 30, 2023</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Statements of Cash Flows — Nine Months Ended January 28, 2024, and January 29, 2023</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Statements of Shareholders’ Equity – Nine Months Ended January 28, 2024</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500" w:type="dxa"/>
            <w:vAlign w:val="bottom"/>
            <w:tcBorders>
              <w:left w:val="single" w:sz="8" w:color="0000FF"/>
            </w:tcBorders>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 xml:space="preserve">Consolidated Statements of Shareholders’ Equity – Nine Months Ended </w:t>
            </w:r>
            <w:r>
              <w:rPr>
                <w:rFonts w:ascii="Times New Roman" w:cs="Times New Roman" w:eastAsia="Times New Roman" w:hAnsi="Times New Roman"/>
                <w:sz w:val="17"/>
                <w:szCs w:val="17"/>
                <w:color w:val="0000FF"/>
              </w:rPr>
              <w:t>January 29, 2023</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Cautionary Statement Concerning Forward-Looking Information</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3.</w:t>
            </w: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2"/>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4.</w:t>
            </w: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I-47</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w w:val="98"/>
              </w:rPr>
              <w:t>Part II - Other Information</w:t>
            </w:r>
          </w:p>
        </w:tc>
        <w:tc>
          <w:tcPr>
            <w:tcW w:w="3600" w:type="dxa"/>
            <w:vAlign w:val="bottom"/>
            <w:gridSpan w:val="6"/>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Legal Proceedings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1A.</w:t>
            </w: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Risk Factors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780" w:type="dxa"/>
            <w:vAlign w:val="bottom"/>
            <w:gridSpan w:val="8"/>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Unregistered Sales of Equity Securities and Use of Proceeds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120" w:type="dxa"/>
            <w:vAlign w:val="bottom"/>
            <w:gridSpan w:val="9"/>
            <w:shd w:val="clear" w:color="auto" w:fill="0000FF"/>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6.</w:t>
            </w: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Exhibits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II-2</w:t>
            </w:r>
          </w:p>
        </w:tc>
        <w:tc>
          <w:tcPr>
            <w:tcW w:w="0" w:type="dxa"/>
            <w:vAlign w:val="bottom"/>
          </w:tcPr>
          <w:p>
            <w:pPr>
              <w:spacing w:after="0"/>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Signatures</w:t>
            </w:r>
          </w:p>
        </w:tc>
        <w:tc>
          <w:tcPr>
            <w:tcW w:w="6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II-3</w:t>
            </w:r>
          </w:p>
        </w:tc>
        <w:tc>
          <w:tcPr>
            <w:tcW w:w="0" w:type="dxa"/>
            <w:vAlign w:val="bottom"/>
          </w:tcPr>
          <w:p>
            <w:pPr>
              <w:spacing w:after="0"/>
              <w:rPr>
                <w:sz w:val="1"/>
                <w:szCs w:val="1"/>
                <w:color w:val="auto"/>
              </w:rPr>
            </w:pPr>
          </w:p>
        </w:tc>
      </w:tr>
      <w:tr>
        <w:trPr>
          <w:trHeight w:val="2093"/>
        </w:trPr>
        <w:tc>
          <w:tcPr>
            <w:tcW w:w="2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 Financial Statements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NET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MONTHS ENDED JANUARY 28, 2024, AND JANUARY 29, 2023</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for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58"/>
        </w:trPr>
        <w:tc>
          <w:tcPr>
            <w:tcW w:w="7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ind w:right="448"/>
              <w:spacing w:after="0" w:line="158"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488"/>
              <w:spacing w:after="0" w:line="158" w:lineRule="exact"/>
              <w:rPr>
                <w:sz w:val="20"/>
                <w:szCs w:val="20"/>
                <w:color w:val="auto"/>
              </w:rPr>
            </w:pPr>
            <w:r>
              <w:rPr>
                <w:rFonts w:ascii="Times New Roman" w:cs="Times New Roman" w:eastAsia="Times New Roman" w:hAnsi="Times New Roman"/>
                <w:sz w:val="14"/>
                <w:szCs w:val="14"/>
                <w:color w:val="auto"/>
              </w:rPr>
              <w:t>January 29,</w:t>
            </w:r>
          </w:p>
        </w:tc>
      </w:tr>
      <w:tr>
        <w:trPr>
          <w:trHeight w:val="187"/>
        </w:trPr>
        <w:tc>
          <w:tcPr>
            <w:tcW w:w="7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2023</w:t>
            </w: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60,418</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52,523</w:t>
            </w: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(52,715 )</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(50,430 )</w:t>
            </w:r>
          </w:p>
        </w:tc>
      </w:tr>
      <w:tr>
        <w:trPr>
          <w:trHeight w:val="16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Gross profit</w:t>
            </w: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7,703</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2,093</w:t>
            </w: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(9,493 )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(9,165 )</w:t>
            </w:r>
          </w:p>
        </w:tc>
      </w:tr>
      <w:tr>
        <w:trPr>
          <w:trHeight w:val="175"/>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Restructuring credit (expense)</w:t>
            </w:r>
          </w:p>
        </w:tc>
        <w:tc>
          <w:tcPr>
            <w:tcW w:w="26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50</w:t>
            </w:r>
          </w:p>
        </w:tc>
        <w:tc>
          <w:tcPr>
            <w:tcW w:w="1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(711 )</w:t>
            </w:r>
          </w:p>
        </w:tc>
      </w:tr>
      <w:tr>
        <w:trPr>
          <w:trHeight w:val="169"/>
        </w:trPr>
        <w:tc>
          <w:tcPr>
            <w:tcW w:w="7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from operations</w:t>
            </w:r>
          </w:p>
        </w:tc>
        <w:tc>
          <w:tcPr>
            <w:tcW w:w="2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(1,740 )</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(7,783 )</w:t>
            </w: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284</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196</w:t>
            </w: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w:t>
            </w: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(705 )</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(1,095 )</w:t>
            </w:r>
          </w:p>
        </w:tc>
      </w:tr>
      <w:tr>
        <w:trPr>
          <w:trHeight w:val="16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Loss before income taxes</w:t>
            </w: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(2,161 )</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(8,682 )</w:t>
            </w: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(1,027 )</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(286 )</w:t>
            </w: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(3,188 )</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(8,968 )</w:t>
            </w:r>
          </w:p>
        </w:tc>
      </w:tr>
      <w:tr>
        <w:trPr>
          <w:trHeight w:val="33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share - basic</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(0.26 )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(0.73 )</w:t>
            </w: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 per share - diluted</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(0.26 )</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(0.73 )</w:t>
            </w: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shares outstanding, basic</w:t>
            </w:r>
          </w:p>
        </w:tc>
        <w:tc>
          <w:tcPr>
            <w:tcW w:w="2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12,470</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12,299</w:t>
            </w: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shares outstanding, diluted</w:t>
            </w:r>
          </w:p>
        </w:tc>
        <w:tc>
          <w:tcPr>
            <w:tcW w:w="2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12,470</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12,299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-1276985</wp:posOffset>
            </wp:positionV>
            <wp:extent cx="102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-582295</wp:posOffset>
            </wp:positionV>
            <wp:extent cx="102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-565150</wp:posOffset>
            </wp:positionV>
            <wp:extent cx="102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04040"/>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NET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NINE MONTHS ENDED JANUARY 28, 2024, AND JANUARY 29, 2023</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for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6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58"/>
        </w:trPr>
        <w:tc>
          <w:tcPr>
            <w:tcW w:w="77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jc w:val="right"/>
              <w:ind w:right="520"/>
              <w:spacing w:after="0" w:line="158"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388"/>
              <w:spacing w:after="0" w:line="158" w:lineRule="exact"/>
              <w:rPr>
                <w:sz w:val="20"/>
                <w:szCs w:val="20"/>
                <w:color w:val="auto"/>
              </w:rPr>
            </w:pPr>
            <w:r>
              <w:rPr>
                <w:rFonts w:ascii="Times New Roman" w:cs="Times New Roman" w:eastAsia="Times New Roman" w:hAnsi="Times New Roman"/>
                <w:sz w:val="14"/>
                <w:szCs w:val="14"/>
                <w:color w:val="auto"/>
              </w:rPr>
              <w:t>January 29,</w:t>
            </w:r>
          </w:p>
        </w:tc>
        <w:tc>
          <w:tcPr>
            <w:tcW w:w="100" w:type="dxa"/>
            <w:vAlign w:val="bottom"/>
          </w:tcPr>
          <w:p>
            <w:pPr>
              <w:spacing w:after="0"/>
              <w:rPr>
                <w:sz w:val="13"/>
                <w:szCs w:val="13"/>
                <w:color w:val="auto"/>
              </w:rPr>
            </w:pPr>
          </w:p>
        </w:tc>
      </w:tr>
      <w:tr>
        <w:trPr>
          <w:trHeight w:val="187"/>
        </w:trPr>
        <w:tc>
          <w:tcPr>
            <w:tcW w:w="7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175,804</w:t>
            </w:r>
          </w:p>
        </w:tc>
        <w:tc>
          <w:tcPr>
            <w:tcW w:w="10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173,508</w:t>
            </w:r>
          </w:p>
        </w:tc>
        <w:tc>
          <w:tcPr>
            <w:tcW w:w="100" w:type="dxa"/>
            <w:vAlign w:val="bottom"/>
            <w:shd w:val="clear" w:color="auto" w:fill="CFF0FC"/>
          </w:tcPr>
          <w:p>
            <w:pPr>
              <w:spacing w:after="0"/>
              <w:rPr>
                <w:sz w:val="14"/>
                <w:szCs w:val="14"/>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60" w:type="dxa"/>
            <w:vAlign w:val="bottom"/>
          </w:tcPr>
          <w:p>
            <w:pPr>
              <w:spacing w:after="0"/>
              <w:rPr>
                <w:sz w:val="15"/>
                <w:szCs w:val="15"/>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(153,067 )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(169,500 )</w:t>
            </w:r>
          </w:p>
        </w:tc>
      </w:tr>
      <w:tr>
        <w:trPr>
          <w:trHeight w:val="16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Gross profit</w:t>
            </w:r>
          </w:p>
        </w:tc>
        <w:tc>
          <w:tcPr>
            <w:tcW w:w="26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22,737</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4,008</w:t>
            </w:r>
          </w:p>
        </w:tc>
        <w:tc>
          <w:tcPr>
            <w:tcW w:w="100" w:type="dxa"/>
            <w:vAlign w:val="bottom"/>
            <w:shd w:val="clear" w:color="auto" w:fill="CFF0FC"/>
          </w:tcPr>
          <w:p>
            <w:pPr>
              <w:spacing w:after="0"/>
              <w:rPr>
                <w:sz w:val="14"/>
                <w:szCs w:val="14"/>
                <w:color w:val="auto"/>
              </w:rPr>
            </w:pP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60" w:type="dxa"/>
            <w:vAlign w:val="bottom"/>
          </w:tcPr>
          <w:p>
            <w:pPr>
              <w:spacing w:after="0"/>
              <w:rPr>
                <w:sz w:val="15"/>
                <w:szCs w:val="15"/>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(29,366 )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(27,133 )</w:t>
            </w: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Restructuring expense</w:t>
            </w:r>
          </w:p>
        </w:tc>
        <w:tc>
          <w:tcPr>
            <w:tcW w:w="2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(432 )</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(1,326 )</w:t>
            </w:r>
          </w:p>
        </w:tc>
      </w:tr>
      <w:tr>
        <w:trPr>
          <w:trHeight w:val="20"/>
        </w:trPr>
        <w:tc>
          <w:tcPr>
            <w:tcW w:w="77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from operations</w:t>
            </w:r>
          </w:p>
        </w:tc>
        <w:tc>
          <w:tcPr>
            <w:tcW w:w="260" w:type="dxa"/>
            <w:vAlign w:val="bottom"/>
          </w:tcPr>
          <w:p>
            <w:pPr>
              <w:spacing w:after="0"/>
              <w:rPr>
                <w:sz w:val="14"/>
                <w:szCs w:val="14"/>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(7,061 )</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(24,451 )</w:t>
            </w: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911</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w:t>
            </w:r>
          </w:p>
        </w:tc>
        <w:tc>
          <w:tcPr>
            <w:tcW w:w="260" w:type="dxa"/>
            <w:vAlign w:val="bottom"/>
          </w:tcPr>
          <w:p>
            <w:pPr>
              <w:spacing w:after="0"/>
              <w:rPr>
                <w:sz w:val="15"/>
                <w:szCs w:val="15"/>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(560 )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(348 )</w:t>
            </w:r>
          </w:p>
        </w:tc>
      </w:tr>
      <w:tr>
        <w:trPr>
          <w:trHeight w:val="20"/>
        </w:trPr>
        <w:tc>
          <w:tcPr>
            <w:tcW w:w="7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Loss before income taxes</w:t>
            </w: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(6,710 )</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(24,507 )</w:t>
            </w: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Pr>
          <w:p>
            <w:pPr>
              <w:spacing w:after="0"/>
              <w:rPr>
                <w:sz w:val="15"/>
                <w:szCs w:val="15"/>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(2,244 )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(2,332 )</w:t>
            </w:r>
          </w:p>
        </w:tc>
      </w:tr>
      <w:tr>
        <w:trPr>
          <w:trHeight w:val="20"/>
        </w:trPr>
        <w:tc>
          <w:tcPr>
            <w:tcW w:w="7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(8,954 )</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(26,839 )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32"/>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share - basic</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(0.72 )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(2.19 )</w:t>
            </w: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 per share - diluted</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(0.72 )</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(2.19 )</w:t>
            </w: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shares outstanding, basic</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12,419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12,272</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shares outstanding, diluted</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12,419</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12,272</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-1276985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-582295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-565150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04040"/>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AND NINE MONTHS ENDED JANUARY 28, 2024, AND JANUARY 29, 2023</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8"/>
              </w:rPr>
              <w:t>January 28,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79"/>
              <w:spacing w:after="0"/>
              <w:rPr>
                <w:sz w:val="20"/>
                <w:szCs w:val="20"/>
                <w:color w:val="auto"/>
              </w:rPr>
            </w:pPr>
            <w:r>
              <w:rPr>
                <w:rFonts w:ascii="Times New Roman" w:cs="Times New Roman" w:eastAsia="Times New Roman" w:hAnsi="Times New Roman"/>
                <w:sz w:val="16"/>
                <w:szCs w:val="16"/>
                <w:color w:val="auto"/>
              </w:rPr>
              <w:t>January 29,</w:t>
            </w:r>
          </w:p>
        </w:tc>
      </w:tr>
      <w:tr>
        <w:trPr>
          <w:trHeight w:val="240"/>
        </w:trPr>
        <w:tc>
          <w:tcPr>
            <w:tcW w:w="7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Borders>
              <w:bottom w:val="single" w:sz="8" w:color="auto"/>
            </w:tcBorders>
          </w:tcPr>
          <w:p>
            <w:pPr>
              <w:spacing w:after="0"/>
              <w:rPr>
                <w:sz w:val="20"/>
                <w:szCs w:val="20"/>
                <w:color w:val="auto"/>
              </w:rPr>
            </w:pPr>
          </w:p>
        </w:tc>
      </w:tr>
      <w:tr>
        <w:trPr>
          <w:trHeight w:val="23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(3,188 )</w:t>
            </w:r>
          </w:p>
        </w:tc>
        <w:tc>
          <w:tcPr>
            <w:tcW w:w="4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(8,968 )</w:t>
            </w:r>
          </w:p>
        </w:tc>
      </w:tr>
      <w:tr>
        <w:trPr>
          <w:trHeight w:val="223"/>
        </w:trPr>
        <w:tc>
          <w:tcPr>
            <w:tcW w:w="77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Unrealized holding gain on investments, net of tax</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auto"/>
            </w:tcBorders>
          </w:tcPr>
          <w:p>
            <w:pPr>
              <w:spacing w:after="0"/>
              <w:rPr>
                <w:sz w:val="19"/>
                <w:szCs w:val="19"/>
                <w:color w:val="auto"/>
              </w:rPr>
            </w:pPr>
          </w:p>
        </w:tc>
      </w:tr>
      <w:tr>
        <w:trPr>
          <w:trHeight w:val="263"/>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(3,094 )</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(8,926 )</w:t>
            </w:r>
          </w:p>
        </w:tc>
      </w:tr>
      <w:tr>
        <w:trPr>
          <w:trHeight w:val="493"/>
        </w:trPr>
        <w:tc>
          <w:tcPr>
            <w:tcW w:w="7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40" w:type="dxa"/>
            <w:vAlign w:val="bottom"/>
            <w:gridSpan w:val="6"/>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77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8"/>
              </w:rPr>
              <w:t>January 28,</w:t>
            </w: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January 29,</w:t>
            </w:r>
          </w:p>
        </w:tc>
        <w:tc>
          <w:tcPr>
            <w:tcW w:w="100" w:type="dxa"/>
            <w:vAlign w:val="bottom"/>
          </w:tcPr>
          <w:p>
            <w:pPr>
              <w:spacing w:after="0"/>
              <w:rPr>
                <w:sz w:val="18"/>
                <w:szCs w:val="18"/>
                <w:color w:val="auto"/>
              </w:rPr>
            </w:pPr>
          </w:p>
        </w:tc>
      </w:tr>
      <w:tr>
        <w:trPr>
          <w:trHeight w:val="240"/>
        </w:trPr>
        <w:tc>
          <w:tcPr>
            <w:tcW w:w="7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20"/>
                <w:szCs w:val="20"/>
                <w:color w:val="auto"/>
              </w:rPr>
            </w:pPr>
          </w:p>
        </w:tc>
      </w:tr>
      <w:tr>
        <w:trPr>
          <w:trHeight w:val="22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(8,954 )</w:t>
            </w:r>
          </w:p>
        </w:tc>
        <w:tc>
          <w:tcPr>
            <w:tcW w:w="4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(26,839 )</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holding gain (loss) on investments, net of tax</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63"/>
        </w:trPr>
        <w:tc>
          <w:tcPr>
            <w:tcW w:w="77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(8,885</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FF0FC"/>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(26,850</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-1130935</wp:posOffset>
            </wp:positionV>
            <wp:extent cx="1028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-1113790</wp:posOffset>
            </wp:positionV>
            <wp:extent cx="1028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-1285240</wp:posOffset>
            </wp:positionV>
            <wp:extent cx="1028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-179070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JANUARY 28, 2024, JANUARY 29, 2023, AND APRIL 30, 2023</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January 28,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January 29,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April 30,</w:t>
            </w:r>
          </w:p>
        </w:tc>
        <w:tc>
          <w:tcPr>
            <w:tcW w:w="0" w:type="dxa"/>
            <w:vAlign w:val="bottom"/>
          </w:tcPr>
          <w:p>
            <w:pPr>
              <w:spacing w:after="0"/>
              <w:rPr>
                <w:sz w:val="1"/>
                <w:szCs w:val="1"/>
                <w:color w:val="auto"/>
              </w:rPr>
            </w:pPr>
          </w:p>
        </w:tc>
      </w:tr>
      <w:tr>
        <w:trPr>
          <w:trHeight w:val="242"/>
        </w:trPr>
        <w:tc>
          <w:tcPr>
            <w:tcW w:w="66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12,585</w:t>
            </w:r>
          </w:p>
        </w:tc>
        <w:tc>
          <w:tcPr>
            <w:tcW w:w="3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16,725</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20,964</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Short-term investments - rabbi trust</w:t>
            </w: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937</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2,420</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1,404</w:t>
            </w: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23,686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21,241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24,778</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46,877</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47,627</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45,080</w:t>
            </w: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note receivable</w:t>
            </w:r>
          </w:p>
        </w:tc>
        <w:tc>
          <w:tcPr>
            <w:tcW w:w="1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260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Assets held for sale</w:t>
            </w: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1,950</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1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476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4,237</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2,839</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3,071</w:t>
            </w:r>
          </w:p>
        </w:tc>
        <w:tc>
          <w:tcPr>
            <w:tcW w:w="0" w:type="dxa"/>
            <w:vAlign w:val="bottom"/>
          </w:tcPr>
          <w:p>
            <w:pPr>
              <w:spacing w:after="0"/>
              <w:rPr>
                <w:sz w:val="1"/>
                <w:szCs w:val="1"/>
                <w:color w:val="auto"/>
              </w:rPr>
            </w:pPr>
          </w:p>
        </w:tc>
      </w:tr>
      <w:tr>
        <w:trPr>
          <w:trHeight w:val="221"/>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89,058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93,040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95,516</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34,021</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37,192</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36,111</w:t>
            </w:r>
          </w:p>
        </w:tc>
        <w:tc>
          <w:tcPr>
            <w:tcW w:w="0" w:type="dxa"/>
            <w:vAlign w:val="bottom"/>
          </w:tcPr>
          <w:p>
            <w:pPr>
              <w:spacing w:after="0"/>
              <w:rPr>
                <w:sz w:val="1"/>
                <w:szCs w:val="1"/>
                <w:color w:val="auto"/>
              </w:rPr>
            </w:pPr>
          </w:p>
        </w:tc>
      </w:t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1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6,952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8,913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8,191</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1,970</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2,346</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2,252</w:t>
            </w:r>
          </w:p>
        </w:tc>
        <w:tc>
          <w:tcPr>
            <w:tcW w:w="0" w:type="dxa"/>
            <w:vAlign w:val="bottom"/>
          </w:tcPr>
          <w:p>
            <w:pPr>
              <w:spacing w:after="0"/>
              <w:rPr>
                <w:sz w:val="1"/>
                <w:szCs w:val="1"/>
                <w:color w:val="auto"/>
              </w:rPr>
            </w:pPr>
          </w:p>
        </w:tc>
      </w:t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1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7,083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7,725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7,067</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note receivable</w:t>
            </w: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1,530</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1,726</w:t>
            </w:r>
          </w:p>
        </w:tc>
        <w:tc>
          <w:tcPr>
            <w:tcW w:w="0" w:type="dxa"/>
            <w:vAlign w:val="bottom"/>
          </w:tcPr>
          <w:p>
            <w:pPr>
              <w:spacing w:after="0"/>
              <w:rPr>
                <w:sz w:val="1"/>
                <w:szCs w:val="1"/>
                <w:color w:val="auto"/>
              </w:rPr>
            </w:pPr>
          </w:p>
        </w:tc>
      </w:t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232"/>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853</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919</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840</w:t>
            </w:r>
          </w:p>
        </w:tc>
        <w:tc>
          <w:tcPr>
            <w:tcW w:w="0" w:type="dxa"/>
            <w:vAlign w:val="bottom"/>
          </w:tcPr>
          <w:p>
            <w:pPr>
              <w:spacing w:after="0"/>
              <w:rPr>
                <w:sz w:val="1"/>
                <w:szCs w:val="1"/>
                <w:color w:val="auto"/>
              </w:rPr>
            </w:pPr>
          </w:p>
        </w:tc>
      </w:tr>
      <w:tr>
        <w:trPr>
          <w:trHeight w:val="223"/>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141,998</w:t>
            </w:r>
          </w:p>
        </w:tc>
        <w:tc>
          <w:tcPr>
            <w:tcW w:w="3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150,598</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152,183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 trade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29,793</w:t>
            </w:r>
          </w:p>
        </w:tc>
        <w:tc>
          <w:tcPr>
            <w:tcW w:w="3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22,540</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29,442</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 - capital expenditures</w:t>
            </w: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1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2,524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2,785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2,640</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compensation - current</w:t>
            </w: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937</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2,420</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1,404</w:t>
            </w: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1,798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1,430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1,192</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7,300</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6,701</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8,533</w:t>
            </w:r>
          </w:p>
        </w:tc>
        <w:tc>
          <w:tcPr>
            <w:tcW w:w="0" w:type="dxa"/>
            <w:vAlign w:val="bottom"/>
          </w:tcPr>
          <w:p>
            <w:pPr>
              <w:spacing w:after="0"/>
              <w:rPr>
                <w:sz w:val="1"/>
                <w:szCs w:val="1"/>
                <w:color w:val="auto"/>
              </w:rPr>
            </w:pPr>
          </w:p>
        </w:tc>
      </w:tr>
      <w:tr>
        <w:trPr>
          <w:trHeight w:val="223"/>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payable - current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1,070</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467</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753</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43,441</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36,368</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44,020</w:t>
            </w:r>
          </w:p>
        </w:tc>
        <w:tc>
          <w:tcPr>
            <w:tcW w:w="0" w:type="dxa"/>
            <w:vAlign w:val="bottom"/>
          </w:tcPr>
          <w:p>
            <w:pPr>
              <w:spacing w:after="0"/>
              <w:rPr>
                <w:sz w:val="1"/>
                <w:szCs w:val="1"/>
                <w:color w:val="auto"/>
              </w:rPr>
            </w:pPr>
          </w:p>
        </w:tc>
      </w:t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 - long-term</w:t>
            </w:r>
          </w:p>
        </w:tc>
        <w:tc>
          <w:tcPr>
            <w:tcW w:w="1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2,656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4,399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3,612</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taxes payable - long-term</w:t>
            </w: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2,072</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2,648</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2,675</w:t>
            </w:r>
          </w:p>
        </w:tc>
        <w:tc>
          <w:tcPr>
            <w:tcW w:w="0" w:type="dxa"/>
            <w:vAlign w:val="bottom"/>
          </w:tcPr>
          <w:p>
            <w:pPr>
              <w:spacing w:after="0"/>
              <w:rPr>
                <w:sz w:val="1"/>
                <w:szCs w:val="1"/>
                <w:color w:val="auto"/>
              </w:rPr>
            </w:pPr>
          </w:p>
        </w:tc>
      </w:t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6,177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6,089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5,954</w:t>
            </w:r>
          </w:p>
        </w:tc>
        <w:tc>
          <w:tcPr>
            <w:tcW w:w="0" w:type="dxa"/>
            <w:vAlign w:val="bottom"/>
          </w:tcPr>
          <w:p>
            <w:pPr>
              <w:spacing w:after="0"/>
              <w:rPr>
                <w:sz w:val="1"/>
                <w:szCs w:val="1"/>
                <w:color w:val="auto"/>
              </w:rPr>
            </w:pPr>
          </w:p>
        </w:tc>
      </w:tr>
      <w:tr>
        <w:trPr>
          <w:trHeight w:val="232"/>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compensation - long-term</w:t>
            </w:r>
          </w:p>
        </w:tc>
        <w:tc>
          <w:tcPr>
            <w:tcW w:w="1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6,856</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7,590</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6,842</w:t>
            </w:r>
          </w:p>
        </w:tc>
        <w:tc>
          <w:tcPr>
            <w:tcW w:w="0" w:type="dxa"/>
            <w:vAlign w:val="bottom"/>
          </w:tcPr>
          <w:p>
            <w:pPr>
              <w:spacing w:after="0"/>
              <w:rPr>
                <w:sz w:val="1"/>
                <w:szCs w:val="1"/>
                <w:color w:val="auto"/>
              </w:rPr>
            </w:pPr>
          </w:p>
        </w:tc>
      </w:tr>
      <w:tr>
        <w:trPr>
          <w:trHeight w:val="223"/>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61,202</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57,094</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63,103</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10, 16, and 17)</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Preferred stock, $0.05 par value, authorized 10,000,000</w:t>
            </w: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$0.05 par value, authorized 40,000,000 shares, issued</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and outstanding 12,469,903 at January 28, 2024; 12,311,583 at January 29, 2023,</w:t>
            </w:r>
          </w:p>
        </w:tc>
        <w:tc>
          <w:tcPr>
            <w:tcW w:w="180" w:type="dxa"/>
            <w:vAlign w:val="bottom"/>
          </w:tcPr>
          <w:p>
            <w:pPr>
              <w:spacing w:after="0"/>
              <w:rPr>
                <w:sz w:val="17"/>
                <w:szCs w:val="17"/>
                <w:color w:val="auto"/>
              </w:rPr>
            </w:pPr>
          </w:p>
        </w:tc>
        <w:tc>
          <w:tcPr>
            <w:tcW w:w="12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624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and 12,327,414 at April 30, 2023</w:t>
            </w: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Capital contributed in excess of par value</w:t>
            </w: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44,843</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43,992</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44,250</w:t>
            </w: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earnings</w:t>
            </w:r>
          </w:p>
        </w:tc>
        <w:tc>
          <w:tcPr>
            <w:tcW w:w="1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35,241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48,875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44,195</w:t>
            </w:r>
          </w:p>
        </w:tc>
        <w:tc>
          <w:tcPr>
            <w:tcW w:w="0" w:type="dxa"/>
            <w:vAlign w:val="bottom"/>
          </w:tcPr>
          <w:p>
            <w:pPr>
              <w:spacing w:after="0"/>
              <w:rPr>
                <w:sz w:val="1"/>
                <w:szCs w:val="1"/>
                <w:color w:val="auto"/>
              </w:rPr>
            </w:pPr>
          </w:p>
        </w:tc>
      </w:tr>
      <w:tr>
        <w:trPr>
          <w:trHeight w:val="232"/>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88</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23"/>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80,796</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93,504</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89,080</w:t>
            </w:r>
          </w:p>
        </w:tc>
        <w:tc>
          <w:tcPr>
            <w:tcW w:w="0" w:type="dxa"/>
            <w:vAlign w:val="bottom"/>
          </w:tcPr>
          <w:p>
            <w:pPr>
              <w:spacing w:after="0"/>
              <w:rPr>
                <w:sz w:val="1"/>
                <w:szCs w:val="1"/>
                <w:color w:val="auto"/>
              </w:rPr>
            </w:pPr>
          </w:p>
        </w:tc>
      </w:tr>
      <w:tr>
        <w:trPr>
          <w:trHeight w:val="263"/>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141,998</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150,598</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152,183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-5031105</wp:posOffset>
            </wp:positionV>
            <wp:extent cx="939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-5031105</wp:posOffset>
            </wp:positionV>
            <wp:extent cx="946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-3856990</wp:posOffset>
            </wp:positionV>
            <wp:extent cx="939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-3856990</wp:posOffset>
            </wp:positionV>
            <wp:extent cx="946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-1773555</wp:posOffset>
            </wp:positionV>
            <wp:extent cx="93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-1773555</wp:posOffset>
            </wp:positionV>
            <wp:extent cx="946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-333375</wp:posOffset>
            </wp:positionV>
            <wp:extent cx="93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-333375</wp:posOffset>
            </wp:positionV>
            <wp:extent cx="946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93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93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946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946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73" w:lineRule="exact"/>
        <w:rPr>
          <w:sz w:val="20"/>
          <w:szCs w:val="20"/>
          <w:color w:val="auto"/>
        </w:rPr>
      </w:pPr>
    </w:p>
    <w:p>
      <w:pPr>
        <w:ind w:right="6340" w:firstLine="8"/>
        <w:spacing w:after="0" w:line="488" w:lineRule="auto"/>
        <w:tabs>
          <w:tab w:leader="none" w:pos="148"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Derived from audited consolidated financial statements. See accompanying notes to consolidated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NINE MONTHS ENDED JANUARY 28, 2024, AND JANUARY 29, 2023</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7"/>
        </w:trPr>
        <w:tc>
          <w:tcPr>
            <w:tcW w:w="7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360" w:type="dxa"/>
            <w:vAlign w:val="bottom"/>
          </w:tcPr>
          <w:p>
            <w:pPr>
              <w:spacing w:after="0"/>
              <w:rPr>
                <w:sz w:val="19"/>
                <w:szCs w:val="19"/>
                <w:color w:val="auto"/>
              </w:rPr>
            </w:pPr>
          </w:p>
        </w:tc>
        <w:tc>
          <w:tcPr>
            <w:tcW w:w="13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January 29,</w:t>
            </w:r>
          </w:p>
        </w:tc>
      </w:tr>
      <w:tr>
        <w:trPr>
          <w:trHeight w:val="213"/>
        </w:trPr>
        <w:tc>
          <w:tcPr>
            <w:tcW w:w="7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color w:val="auto"/>
              </w:rPr>
              <w:t>2023</w:t>
            </w:r>
          </w:p>
        </w:tc>
      </w:tr>
      <w:tr>
        <w:trPr>
          <w:trHeight w:val="169"/>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r>
      <w:tr>
        <w:trPr>
          <w:trHeight w:val="176"/>
        </w:trPr>
        <w:tc>
          <w:tcPr>
            <w:tcW w:w="7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(8,954 )</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(26,839 )</w:t>
            </w:r>
          </w:p>
        </w:tc>
      </w:tr>
      <w:tr>
        <w:trPr>
          <w:trHeight w:val="139"/>
        </w:trPr>
        <w:tc>
          <w:tcPr>
            <w:tcW w:w="78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Adjustments to reconcile net loss to net cash (used in)</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r>
      <w:tr>
        <w:trPr>
          <w:trHeight w:val="185"/>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provided by operating activities:</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r>
      <w:tr>
        <w:trPr>
          <w:trHeight w:val="176"/>
        </w:trPr>
        <w:tc>
          <w:tcPr>
            <w:tcW w:w="78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Depreciation</w:t>
            </w:r>
          </w:p>
        </w:tc>
        <w:tc>
          <w:tcPr>
            <w:tcW w:w="240" w:type="dxa"/>
            <w:vAlign w:val="bottom"/>
          </w:tcPr>
          <w:p>
            <w:pPr>
              <w:spacing w:after="0"/>
              <w:rPr>
                <w:sz w:val="15"/>
                <w:szCs w:val="15"/>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4,897</w:t>
            </w:r>
          </w:p>
        </w:tc>
        <w:tc>
          <w:tcPr>
            <w:tcW w:w="360" w:type="dxa"/>
            <w:vAlign w:val="bottom"/>
          </w:tcPr>
          <w:p>
            <w:pPr>
              <w:spacing w:after="0"/>
              <w:rPr>
                <w:sz w:val="15"/>
                <w:szCs w:val="15"/>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5,228</w:t>
            </w:r>
          </w:p>
        </w:tc>
      </w:tr>
      <w:tr>
        <w:trPr>
          <w:trHeight w:val="176"/>
        </w:trPr>
        <w:tc>
          <w:tcPr>
            <w:tcW w:w="7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Non-cash inventory (credit) charge</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(1,978 )</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6,301</w:t>
            </w:r>
          </w:p>
        </w:tc>
      </w:tr>
      <w:tr>
        <w:trPr>
          <w:trHeight w:val="175"/>
        </w:trPr>
        <w:tc>
          <w:tcPr>
            <w:tcW w:w="78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tcPr>
          <w:p>
            <w:pPr>
              <w:spacing w:after="0"/>
              <w:rPr>
                <w:sz w:val="15"/>
                <w:szCs w:val="15"/>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291</w:t>
            </w:r>
          </w:p>
        </w:tc>
        <w:tc>
          <w:tcPr>
            <w:tcW w:w="360" w:type="dxa"/>
            <w:vAlign w:val="bottom"/>
          </w:tcPr>
          <w:p>
            <w:pPr>
              <w:spacing w:after="0"/>
              <w:rPr>
                <w:sz w:val="15"/>
                <w:szCs w:val="15"/>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323</w:t>
            </w:r>
          </w:p>
        </w:tc>
      </w:tr>
      <w:tr>
        <w:trPr>
          <w:trHeight w:val="176"/>
        </w:trPr>
        <w:tc>
          <w:tcPr>
            <w:tcW w:w="7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747</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887</w:t>
            </w:r>
          </w:p>
        </w:tc>
      </w:tr>
      <w:tr>
        <w:trPr>
          <w:trHeight w:val="175"/>
        </w:trPr>
        <w:tc>
          <w:tcPr>
            <w:tcW w:w="78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5"/>
                <w:szCs w:val="15"/>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172</w:t>
            </w:r>
          </w:p>
        </w:tc>
        <w:tc>
          <w:tcPr>
            <w:tcW w:w="360" w:type="dxa"/>
            <w:vAlign w:val="bottom"/>
          </w:tcPr>
          <w:p>
            <w:pPr>
              <w:spacing w:after="0"/>
              <w:rPr>
                <w:sz w:val="15"/>
                <w:szCs w:val="15"/>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150</w:t>
            </w:r>
          </w:p>
        </w:tc>
      </w:tr>
      <w:tr>
        <w:trPr>
          <w:trHeight w:val="176"/>
        </w:trPr>
        <w:tc>
          <w:tcPr>
            <w:tcW w:w="7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Gain on sale of equipment</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(284 )</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(312 )</w:t>
            </w:r>
          </w:p>
        </w:tc>
      </w:tr>
      <w:tr>
        <w:trPr>
          <w:trHeight w:val="175"/>
        </w:trPr>
        <w:tc>
          <w:tcPr>
            <w:tcW w:w="78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Non-cash restructuring expenses</w:t>
            </w:r>
          </w:p>
        </w:tc>
        <w:tc>
          <w:tcPr>
            <w:tcW w:w="240" w:type="dxa"/>
            <w:vAlign w:val="bottom"/>
          </w:tcPr>
          <w:p>
            <w:pPr>
              <w:spacing w:after="0"/>
              <w:rPr>
                <w:sz w:val="15"/>
                <w:szCs w:val="15"/>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330</w:t>
            </w:r>
          </w:p>
        </w:tc>
        <w:tc>
          <w:tcPr>
            <w:tcW w:w="360" w:type="dxa"/>
            <w:vAlign w:val="bottom"/>
          </w:tcPr>
          <w:p>
            <w:pPr>
              <w:spacing w:after="0"/>
              <w:rPr>
                <w:sz w:val="15"/>
                <w:szCs w:val="15"/>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791</w:t>
            </w:r>
          </w:p>
        </w:tc>
      </w:tr>
      <w:tr>
        <w:trPr>
          <w:trHeight w:val="176"/>
        </w:trPr>
        <w:tc>
          <w:tcPr>
            <w:tcW w:w="7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Foreign currency exchange gain</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(347 )</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(362 )</w:t>
            </w:r>
          </w:p>
        </w:tc>
      </w:tr>
      <w:tr>
        <w:trPr>
          <w:trHeight w:val="176"/>
        </w:trPr>
        <w:tc>
          <w:tcPr>
            <w:tcW w:w="78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5"/>
        </w:trPr>
        <w:tc>
          <w:tcPr>
            <w:tcW w:w="78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1,040</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954</w:t>
            </w:r>
          </w:p>
        </w:tc>
      </w:tr>
      <w:tr>
        <w:trPr>
          <w:trHeight w:val="176"/>
        </w:trPr>
        <w:tc>
          <w:tcPr>
            <w:tcW w:w="78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tcPr>
          <w:p>
            <w:pPr>
              <w:spacing w:after="0"/>
              <w:rPr>
                <w:sz w:val="15"/>
                <w:szCs w:val="15"/>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12,477</w:t>
            </w:r>
          </w:p>
        </w:tc>
      </w:tr>
      <w:tr>
        <w:trPr>
          <w:trHeight w:val="175"/>
        </w:trPr>
        <w:tc>
          <w:tcPr>
            <w:tcW w:w="78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(1,190 )</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(39 )</w:t>
            </w:r>
          </w:p>
        </w:tc>
      </w:tr>
      <w:tr>
        <w:trPr>
          <w:trHeight w:val="176"/>
        </w:trPr>
        <w:tc>
          <w:tcPr>
            <w:tcW w:w="78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15"/>
                <w:szCs w:val="15"/>
                <w:color w:val="auto"/>
              </w:rPr>
            </w:pP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(107 )</w:t>
            </w: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(76 )</w:t>
            </w:r>
          </w:p>
        </w:tc>
      </w:tr>
      <w:tr>
        <w:trPr>
          <w:trHeight w:val="176"/>
        </w:trPr>
        <w:tc>
          <w:tcPr>
            <w:tcW w:w="78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Accounts payable – trade</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963</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3,051</w:t>
            </w:r>
          </w:p>
        </w:tc>
      </w:tr>
      <w:tr>
        <w:trPr>
          <w:trHeight w:val="175"/>
        </w:trPr>
        <w:tc>
          <w:tcPr>
            <w:tcW w:w="78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tcPr>
          <w:p>
            <w:pPr>
              <w:spacing w:after="0"/>
              <w:rPr>
                <w:sz w:val="15"/>
                <w:szCs w:val="15"/>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606</w:t>
            </w:r>
          </w:p>
        </w:tc>
        <w:tc>
          <w:tcPr>
            <w:tcW w:w="360" w:type="dxa"/>
            <w:vAlign w:val="bottom"/>
          </w:tcPr>
          <w:p>
            <w:pPr>
              <w:spacing w:after="0"/>
              <w:rPr>
                <w:sz w:val="15"/>
                <w:szCs w:val="15"/>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910</w:t>
            </w:r>
          </w:p>
        </w:tc>
      </w:tr>
      <w:tr>
        <w:trPr>
          <w:trHeight w:val="176"/>
        </w:trPr>
        <w:tc>
          <w:tcPr>
            <w:tcW w:w="78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Accrued expenses and deferred compensation</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(1,437 )</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885</w:t>
            </w:r>
          </w:p>
        </w:tc>
      </w:tr>
      <w:tr>
        <w:trPr>
          <w:trHeight w:val="175"/>
        </w:trPr>
        <w:tc>
          <w:tcPr>
            <w:tcW w:w="78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Income taxes</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(719 )</w:t>
            </w: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254</w:t>
            </w:r>
          </w:p>
        </w:tc>
      </w:tr>
      <w:tr>
        <w:trPr>
          <w:trHeight w:val="169"/>
        </w:trPr>
        <w:tc>
          <w:tcPr>
            <w:tcW w:w="7860" w:type="dxa"/>
            <w:vAlign w:val="bottom"/>
            <w:tcBorders>
              <w:bottom w:val="single" w:sz="8" w:color="CFF0FC"/>
            </w:tcBorders>
            <w:shd w:val="clear" w:color="auto" w:fill="CFF0FC"/>
          </w:tcPr>
          <w:p>
            <w:pPr>
              <w:ind w:left="9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(5,970 )</w:t>
            </w:r>
          </w:p>
        </w:tc>
        <w:tc>
          <w:tcPr>
            <w:tcW w:w="36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4,583</w:t>
            </w:r>
          </w:p>
        </w:tc>
      </w:tr>
      <w:tr>
        <w:trPr>
          <w:trHeight w:val="169"/>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5"/>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Capital expenditures</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(3,249 )</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(1,602 )</w:t>
            </w:r>
          </w:p>
        </w:tc>
      </w:tr>
      <w:tr>
        <w:trPr>
          <w:trHeight w:val="175"/>
        </w:trPr>
        <w:tc>
          <w:tcPr>
            <w:tcW w:w="7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the sale of equipment</w:t>
            </w:r>
          </w:p>
        </w:tc>
        <w:tc>
          <w:tcPr>
            <w:tcW w:w="240" w:type="dxa"/>
            <w:vAlign w:val="bottom"/>
          </w:tcPr>
          <w:p>
            <w:pPr>
              <w:spacing w:after="0"/>
              <w:rPr>
                <w:sz w:val="15"/>
                <w:szCs w:val="15"/>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363</w:t>
            </w:r>
          </w:p>
        </w:tc>
        <w:tc>
          <w:tcPr>
            <w:tcW w:w="360" w:type="dxa"/>
            <w:vAlign w:val="bottom"/>
          </w:tcPr>
          <w:p>
            <w:pPr>
              <w:spacing w:after="0"/>
              <w:rPr>
                <w:sz w:val="15"/>
                <w:szCs w:val="15"/>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465</w:t>
            </w:r>
          </w:p>
        </w:tc>
      </w:tr>
      <w:tr>
        <w:trPr>
          <w:trHeight w:val="175"/>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note receivable</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240</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the sale of investments (rabbi trust)</w:t>
            </w:r>
          </w:p>
        </w:tc>
        <w:tc>
          <w:tcPr>
            <w:tcW w:w="240" w:type="dxa"/>
            <w:vAlign w:val="bottom"/>
          </w:tcPr>
          <w:p>
            <w:pPr>
              <w:spacing w:after="0"/>
              <w:rPr>
                <w:sz w:val="15"/>
                <w:szCs w:val="15"/>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1,224</w:t>
            </w:r>
          </w:p>
        </w:tc>
        <w:tc>
          <w:tcPr>
            <w:tcW w:w="360" w:type="dxa"/>
            <w:vAlign w:val="bottom"/>
          </w:tcPr>
          <w:p>
            <w:pPr>
              <w:spacing w:after="0"/>
              <w:rPr>
                <w:sz w:val="15"/>
                <w:szCs w:val="15"/>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w:t>
            </w:r>
          </w:p>
        </w:tc>
      </w:tr>
      <w:tr>
        <w:trPr>
          <w:trHeight w:val="176"/>
        </w:trPr>
        <w:tc>
          <w:tcPr>
            <w:tcW w:w="7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 of investments (rabbi trust)</w:t>
            </w:r>
          </w:p>
        </w:tc>
        <w:tc>
          <w:tcPr>
            <w:tcW w:w="2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(704 )</w:t>
            </w:r>
          </w:p>
        </w:tc>
        <w:tc>
          <w:tcPr>
            <w:tcW w:w="3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(870 )</w:t>
            </w:r>
          </w:p>
        </w:tc>
      </w:tr>
      <w:tr>
        <w:trPr>
          <w:trHeight w:val="169"/>
        </w:trPr>
        <w:tc>
          <w:tcPr>
            <w:tcW w:w="786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(2,126 )</w:t>
            </w: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(1,937 )</w:t>
            </w:r>
          </w:p>
        </w:tc>
      </w:tr>
      <w:tr>
        <w:trPr>
          <w:trHeight w:val="169"/>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r>
      <w:tr>
        <w:trPr>
          <w:trHeight w:val="175"/>
        </w:trPr>
        <w:tc>
          <w:tcPr>
            <w:tcW w:w="7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Common stock surrendered for withholding taxes payable</w:t>
            </w:r>
          </w:p>
        </w:tc>
        <w:tc>
          <w:tcPr>
            <w:tcW w:w="240" w:type="dxa"/>
            <w:vAlign w:val="bottom"/>
          </w:tcPr>
          <w:p>
            <w:pPr>
              <w:spacing w:after="0"/>
              <w:rPr>
                <w:sz w:val="15"/>
                <w:szCs w:val="15"/>
                <w:color w:val="auto"/>
              </w:rPr>
            </w:pP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(146 )</w:t>
            </w: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75"/>
        </w:trPr>
        <w:tc>
          <w:tcPr>
            <w:tcW w:w="7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2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(289 )</w:t>
            </w:r>
          </w:p>
        </w:tc>
      </w:tr>
      <w:tr>
        <w:trPr>
          <w:trHeight w:val="169"/>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(146 )</w:t>
            </w: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(322 )</w:t>
            </w:r>
          </w:p>
        </w:tc>
      </w:tr>
      <w:tr>
        <w:trPr>
          <w:trHeight w:val="169"/>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(137 )</w:t>
            </w:r>
          </w:p>
        </w:tc>
        <w:tc>
          <w:tcPr>
            <w:tcW w:w="36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(149 )</w:t>
            </w:r>
          </w:p>
        </w:tc>
      </w:tr>
      <w:tr>
        <w:trPr>
          <w:trHeight w:val="175"/>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 increase in cash and cash equivalents</w:t>
            </w:r>
          </w:p>
        </w:tc>
        <w:tc>
          <w:tcPr>
            <w:tcW w:w="240" w:type="dxa"/>
            <w:vAlign w:val="bottom"/>
          </w:tcPr>
          <w:p>
            <w:pPr>
              <w:spacing w:after="0"/>
              <w:rPr>
                <w:sz w:val="15"/>
                <w:szCs w:val="15"/>
                <w:color w:val="auto"/>
              </w:rPr>
            </w:pP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(8,379 )</w:t>
            </w:r>
          </w:p>
        </w:tc>
        <w:tc>
          <w:tcPr>
            <w:tcW w:w="360" w:type="dxa"/>
            <w:vAlign w:val="bottom"/>
          </w:tcPr>
          <w:p>
            <w:pPr>
              <w:spacing w:after="0"/>
              <w:rPr>
                <w:sz w:val="15"/>
                <w:szCs w:val="15"/>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2,175</w:t>
            </w:r>
          </w:p>
        </w:tc>
      </w:tr>
      <w:tr>
        <w:trPr>
          <w:trHeight w:val="175"/>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20,964</w:t>
            </w:r>
          </w:p>
        </w:tc>
        <w:tc>
          <w:tcPr>
            <w:tcW w:w="3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14,550</w:t>
            </w:r>
          </w:p>
        </w:tc>
      </w:tr>
      <w:tr>
        <w:trPr>
          <w:trHeight w:val="169"/>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12,585</w:t>
            </w:r>
          </w:p>
        </w:tc>
        <w:tc>
          <w:tcPr>
            <w:tcW w:w="3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16,725</w:t>
            </w: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NINE MONTHS ENDED JANUARY 28, 2024</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ind w:right="157"/>
              <w:spacing w:after="0"/>
              <w:rPr>
                <w:sz w:val="20"/>
                <w:szCs w:val="20"/>
                <w:color w:val="auto"/>
              </w:rPr>
            </w:pPr>
            <w:r>
              <w:rPr>
                <w:rFonts w:ascii="Times New Roman" w:cs="Times New Roman" w:eastAsia="Times New Roman" w:hAnsi="Times New Roman"/>
                <w:sz w:val="13"/>
                <w:szCs w:val="13"/>
                <w:color w:val="auto"/>
              </w:rPr>
              <w:t>Capital</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158"/>
              <w:spacing w:after="0"/>
              <w:rPr>
                <w:sz w:val="20"/>
                <w:szCs w:val="20"/>
                <w:color w:val="auto"/>
              </w:rPr>
            </w:pPr>
            <w:r>
              <w:rPr>
                <w:rFonts w:ascii="Times New Roman" w:cs="Times New Roman" w:eastAsia="Times New Roman" w:hAnsi="Times New Roman"/>
                <w:sz w:val="12"/>
                <w:szCs w:val="12"/>
                <w:color w:val="auto"/>
                <w:w w:val="99"/>
              </w:rPr>
              <w:t>Accumulated</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100" w:type="dxa"/>
            <w:vAlign w:val="bottom"/>
          </w:tcPr>
          <w:p>
            <w:pPr>
              <w:spacing w:after="0"/>
              <w:rPr>
                <w:sz w:val="14"/>
                <w:szCs w:val="14"/>
                <w:color w:val="auto"/>
              </w:rPr>
            </w:pPr>
          </w:p>
        </w:tc>
        <w:tc>
          <w:tcPr>
            <w:tcW w:w="2040" w:type="dxa"/>
            <w:vAlign w:val="bottom"/>
            <w:gridSpan w:val="3"/>
            <w:vMerge w:val="restart"/>
          </w:tcPr>
          <w:p>
            <w:pPr>
              <w:jc w:val="right"/>
              <w:ind w:right="637"/>
              <w:spacing w:after="0"/>
              <w:rPr>
                <w:sz w:val="20"/>
                <w:szCs w:val="20"/>
                <w:color w:val="auto"/>
              </w:rPr>
            </w:pPr>
            <w:r>
              <w:rPr>
                <w:rFonts w:ascii="Times New Roman" w:cs="Times New Roman" w:eastAsia="Times New Roman" w:hAnsi="Times New Roman"/>
                <w:sz w:val="13"/>
                <w:szCs w:val="13"/>
                <w:color w:val="auto"/>
              </w:rPr>
              <w:t>Common Stock</w:t>
            </w:r>
          </w:p>
        </w:tc>
        <w:tc>
          <w:tcPr>
            <w:tcW w:w="200" w:type="dxa"/>
            <w:vAlign w:val="bottom"/>
          </w:tcPr>
          <w:p>
            <w:pPr>
              <w:spacing w:after="0"/>
              <w:rPr>
                <w:sz w:val="14"/>
                <w:szCs w:val="14"/>
                <w:color w:val="auto"/>
              </w:rPr>
            </w:pPr>
          </w:p>
        </w:tc>
        <w:tc>
          <w:tcPr>
            <w:tcW w:w="840" w:type="dxa"/>
            <w:vAlign w:val="bottom"/>
          </w:tcPr>
          <w:p>
            <w:pPr>
              <w:jc w:val="center"/>
              <w:ind w:right="177"/>
              <w:spacing w:after="0"/>
              <w:rPr>
                <w:sz w:val="20"/>
                <w:szCs w:val="20"/>
                <w:color w:val="auto"/>
              </w:rPr>
            </w:pPr>
            <w:r>
              <w:rPr>
                <w:rFonts w:ascii="Times New Roman" w:cs="Times New Roman" w:eastAsia="Times New Roman" w:hAnsi="Times New Roman"/>
                <w:sz w:val="13"/>
                <w:szCs w:val="13"/>
                <w:color w:val="auto"/>
                <w:w w:val="96"/>
              </w:rPr>
              <w:t>Contributed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158"/>
              <w:spacing w:after="0"/>
              <w:rPr>
                <w:sz w:val="20"/>
                <w:szCs w:val="20"/>
                <w:color w:val="auto"/>
              </w:rPr>
            </w:pPr>
            <w:r>
              <w:rPr>
                <w:rFonts w:ascii="Times New Roman" w:cs="Times New Roman" w:eastAsia="Times New Roman" w:hAnsi="Times New Roman"/>
                <w:sz w:val="12"/>
                <w:szCs w:val="12"/>
                <w:color w:val="auto"/>
              </w:rPr>
              <w:t>Other</w:t>
            </w:r>
          </w:p>
        </w:tc>
        <w:tc>
          <w:tcPr>
            <w:tcW w:w="240" w:type="dxa"/>
            <w:vAlign w:val="bottom"/>
          </w:tcPr>
          <w:p>
            <w:pPr>
              <w:spacing w:after="0"/>
              <w:rPr>
                <w:sz w:val="14"/>
                <w:szCs w:val="14"/>
                <w:color w:val="auto"/>
              </w:rPr>
            </w:pPr>
          </w:p>
        </w:tc>
        <w:tc>
          <w:tcPr>
            <w:tcW w:w="760" w:type="dxa"/>
            <w:vAlign w:val="bottom"/>
          </w:tcPr>
          <w:p>
            <w:pPr>
              <w:jc w:val="center"/>
              <w:ind w:right="197"/>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2040" w:type="dxa"/>
            <w:vAlign w:val="bottom"/>
            <w:tcBorders>
              <w:bottom w:val="single" w:sz="8" w:color="auto"/>
            </w:tcBorders>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ind w:right="177"/>
              <w:spacing w:after="0"/>
              <w:rPr>
                <w:sz w:val="20"/>
                <w:szCs w:val="20"/>
                <w:color w:val="auto"/>
              </w:rPr>
            </w:pPr>
            <w:r>
              <w:rPr>
                <w:rFonts w:ascii="Times New Roman" w:cs="Times New Roman" w:eastAsia="Times New Roman" w:hAnsi="Times New Roman"/>
                <w:sz w:val="13"/>
                <w:szCs w:val="13"/>
                <w:color w:val="auto"/>
                <w:w w:val="96"/>
              </w:rPr>
              <w:t>in Excess</w:t>
            </w:r>
          </w:p>
        </w:tc>
        <w:tc>
          <w:tcPr>
            <w:tcW w:w="100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Accumulated</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Comprehensive</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6"/>
              </w:rPr>
              <w:t>Shareholders'</w:t>
            </w: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10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color w:val="auto"/>
              </w:rPr>
              <w:t>Shares</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rPr>
              <w:t>Amount</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color w:val="auto"/>
                <w:w w:val="94"/>
              </w:rPr>
              <w:t>of Par Value</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Earnings</w:t>
            </w: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2"/>
                <w:szCs w:val="12"/>
                <w:color w:val="auto"/>
                <w:w w:val="97"/>
              </w:rPr>
              <w:t>Income (Loss)</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5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April 30, 2023 *</w:t>
            </w:r>
          </w:p>
        </w:tc>
        <w:tc>
          <w:tcPr>
            <w:tcW w:w="10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12,327,414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616</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44,250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44,195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19</w:t>
            </w:r>
          </w:p>
        </w:tc>
        <w:tc>
          <w:tcPr>
            <w:tcW w:w="2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89,080</w:t>
            </w:r>
          </w:p>
        </w:tc>
        <w:tc>
          <w:tcPr>
            <w:tcW w:w="0" w:type="dxa"/>
            <w:vAlign w:val="bottom"/>
          </w:tcPr>
          <w:p>
            <w:pPr>
              <w:spacing w:after="0"/>
              <w:rPr>
                <w:sz w:val="1"/>
                <w:szCs w:val="1"/>
                <w:color w:val="auto"/>
              </w:rPr>
            </w:pPr>
          </w:p>
        </w:tc>
      </w:tr>
      <w:tr>
        <w:trPr>
          <w:trHeight w:val="162"/>
        </w:trPr>
        <w:tc>
          <w:tcPr>
            <w:tcW w:w="51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(3,342 )</w:t>
            </w:r>
          </w:p>
        </w:tc>
        <w:tc>
          <w:tcPr>
            <w:tcW w:w="160" w:type="dxa"/>
            <w:vAlign w:val="bottom"/>
          </w:tcPr>
          <w:p>
            <w:pPr>
              <w:spacing w:after="0"/>
              <w:rPr>
                <w:sz w:val="14"/>
                <w:szCs w:val="14"/>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(3,342 )</w:t>
            </w:r>
          </w:p>
        </w:tc>
        <w:tc>
          <w:tcPr>
            <w:tcW w:w="0" w:type="dxa"/>
            <w:vAlign w:val="bottom"/>
          </w:tcPr>
          <w:p>
            <w:pPr>
              <w:spacing w:after="0"/>
              <w:rPr>
                <w:sz w:val="1"/>
                <w:szCs w:val="1"/>
                <w:color w:val="auto"/>
              </w:rPr>
            </w:pPr>
          </w:p>
        </w:tc>
      </w:tr>
      <w:tr>
        <w:trPr>
          <w:trHeight w:val="162"/>
        </w:trPr>
        <w:tc>
          <w:tcPr>
            <w:tcW w:w="5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322</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322</w:t>
            </w:r>
          </w:p>
        </w:tc>
        <w:tc>
          <w:tcPr>
            <w:tcW w:w="0" w:type="dxa"/>
            <w:vAlign w:val="bottom"/>
          </w:tcPr>
          <w:p>
            <w:pPr>
              <w:spacing w:after="0"/>
              <w:rPr>
                <w:sz w:val="1"/>
                <w:szCs w:val="1"/>
                <w:color w:val="auto"/>
              </w:rPr>
            </w:pPr>
          </w:p>
        </w:tc>
      </w:tr>
      <w:tr>
        <w:trPr>
          <w:trHeight w:val="162"/>
        </w:trPr>
        <w:tc>
          <w:tcPr>
            <w:tcW w:w="51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Unrealized gain on investments</w:t>
            </w: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57</w:t>
            </w:r>
          </w:p>
        </w:tc>
        <w:tc>
          <w:tcPr>
            <w:tcW w:w="2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62"/>
        </w:trPr>
        <w:tc>
          <w:tcPr>
            <w:tcW w:w="51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Immediately vested common stock award</w:t>
            </w:r>
          </w:p>
        </w:tc>
        <w:tc>
          <w:tcPr>
            <w:tcW w:w="102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16,616</w:t>
            </w: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(1 )</w:t>
            </w: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July 30, 2023</w:t>
            </w: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12,344,030</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617</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44,571</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40,853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76</w:t>
            </w:r>
          </w:p>
        </w:tc>
        <w:tc>
          <w:tcPr>
            <w:tcW w:w="2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86,117</w:t>
            </w:r>
          </w:p>
        </w:tc>
        <w:tc>
          <w:tcPr>
            <w:tcW w:w="0" w:type="dxa"/>
            <w:vAlign w:val="bottom"/>
          </w:tcPr>
          <w:p>
            <w:pPr>
              <w:spacing w:after="0"/>
              <w:rPr>
                <w:sz w:val="1"/>
                <w:szCs w:val="1"/>
                <w:color w:val="auto"/>
              </w:rPr>
            </w:pPr>
          </w:p>
        </w:tc>
      </w:tr>
      <w:tr>
        <w:trPr>
          <w:trHeight w:val="162"/>
        </w:trPr>
        <w:tc>
          <w:tcPr>
            <w:tcW w:w="5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(2,424 )</w:t>
            </w: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(2,424 )</w:t>
            </w:r>
          </w:p>
        </w:tc>
        <w:tc>
          <w:tcPr>
            <w:tcW w:w="0" w:type="dxa"/>
            <w:vAlign w:val="bottom"/>
          </w:tcPr>
          <w:p>
            <w:pPr>
              <w:spacing w:after="0"/>
              <w:rPr>
                <w:sz w:val="1"/>
                <w:szCs w:val="1"/>
                <w:color w:val="auto"/>
              </w:rPr>
            </w:pPr>
          </w:p>
        </w:tc>
      </w:tr>
      <w:tr>
        <w:trPr>
          <w:trHeight w:val="162"/>
        </w:trPr>
        <w:tc>
          <w:tcPr>
            <w:tcW w:w="51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163</w:t>
            </w:r>
          </w:p>
        </w:tc>
        <w:tc>
          <w:tcPr>
            <w:tcW w:w="200" w:type="dxa"/>
            <w:vAlign w:val="bottom"/>
          </w:tcPr>
          <w:p>
            <w:pPr>
              <w:spacing w:after="0"/>
              <w:rPr>
                <w:sz w:val="14"/>
                <w:szCs w:val="14"/>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163</w:t>
            </w:r>
          </w:p>
        </w:tc>
        <w:tc>
          <w:tcPr>
            <w:tcW w:w="0" w:type="dxa"/>
            <w:vAlign w:val="bottom"/>
          </w:tcPr>
          <w:p>
            <w:pPr>
              <w:spacing w:after="0"/>
              <w:rPr>
                <w:sz w:val="1"/>
                <w:szCs w:val="1"/>
                <w:color w:val="auto"/>
              </w:rPr>
            </w:pPr>
          </w:p>
        </w:tc>
      </w:tr>
      <w:tr>
        <w:trPr>
          <w:trHeight w:val="162"/>
        </w:trPr>
        <w:tc>
          <w:tcPr>
            <w:tcW w:w="5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Unrealized loss on investments</w:t>
            </w:r>
          </w:p>
        </w:tc>
        <w:tc>
          <w:tcPr>
            <w:tcW w:w="10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(82 )</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(82 )</w:t>
            </w:r>
          </w:p>
        </w:tc>
        <w:tc>
          <w:tcPr>
            <w:tcW w:w="0" w:type="dxa"/>
            <w:vAlign w:val="bottom"/>
          </w:tcPr>
          <w:p>
            <w:pPr>
              <w:spacing w:after="0"/>
              <w:rPr>
                <w:sz w:val="1"/>
                <w:szCs w:val="1"/>
                <w:color w:val="auto"/>
              </w:rPr>
            </w:pPr>
          </w:p>
        </w:tc>
      </w:tr>
      <w:tr>
        <w:trPr>
          <w:trHeight w:val="130"/>
        </w:trPr>
        <w:tc>
          <w:tcPr>
            <w:tcW w:w="5100" w:type="dxa"/>
            <w:vAlign w:val="bottom"/>
          </w:tcPr>
          <w:p>
            <w:pPr>
              <w:ind w:left="160"/>
              <w:spacing w:after="0" w:line="131" w:lineRule="exact"/>
              <w:rPr>
                <w:sz w:val="20"/>
                <w:szCs w:val="20"/>
                <w:color w:val="auto"/>
              </w:rPr>
            </w:pPr>
            <w:r>
              <w:rPr>
                <w:rFonts w:ascii="Times New Roman" w:cs="Times New Roman" w:eastAsia="Times New Roman" w:hAnsi="Times New Roman"/>
                <w:sz w:val="13"/>
                <w:szCs w:val="13"/>
                <w:color w:val="auto"/>
              </w:rPr>
              <w:t>Common stock issued in connection with the</w:t>
            </w: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vesting of time-based restricted stock units</w:t>
            </w: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151,653</w:t>
            </w:r>
          </w:p>
        </w:tc>
        <w:tc>
          <w:tcPr>
            <w:tcW w:w="22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w:t>
            </w:r>
          </w:p>
        </w:tc>
        <w:tc>
          <w:tcPr>
            <w:tcW w:w="20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(8 )</w:t>
            </w:r>
          </w:p>
        </w:tc>
        <w:tc>
          <w:tcPr>
            <w:tcW w:w="200" w:type="dxa"/>
            <w:vAlign w:val="bottom"/>
          </w:tcPr>
          <w:p>
            <w:pPr>
              <w:spacing w:after="0"/>
              <w:rPr>
                <w:sz w:val="14"/>
                <w:szCs w:val="14"/>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5100" w:type="dxa"/>
            <w:vAlign w:val="bottom"/>
            <w:shd w:val="clear" w:color="auto" w:fill="CFF0FC"/>
          </w:tcPr>
          <w:p>
            <w:pPr>
              <w:ind w:left="160"/>
              <w:spacing w:after="0" w:line="132" w:lineRule="exact"/>
              <w:rPr>
                <w:sz w:val="20"/>
                <w:szCs w:val="20"/>
                <w:color w:val="auto"/>
              </w:rPr>
            </w:pPr>
            <w:r>
              <w:rPr>
                <w:rFonts w:ascii="Times New Roman" w:cs="Times New Roman" w:eastAsia="Times New Roman" w:hAnsi="Times New Roman"/>
                <w:sz w:val="13"/>
                <w:szCs w:val="13"/>
                <w:color w:val="auto"/>
              </w:rPr>
              <w:t>Common stock surrendered in connection with</w:t>
            </w:r>
          </w:p>
        </w:tc>
        <w:tc>
          <w:tcPr>
            <w:tcW w:w="102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(25,780 )</w:t>
            </w:r>
          </w:p>
        </w:tc>
        <w:tc>
          <w:tcPr>
            <w:tcW w:w="22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20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(145 )</w:t>
            </w:r>
          </w:p>
        </w:tc>
        <w:tc>
          <w:tcPr>
            <w:tcW w:w="20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900" w:type="dxa"/>
            <w:vAlign w:val="bottom"/>
            <w:vMerge w:val="restart"/>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(146 )</w:t>
            </w:r>
          </w:p>
        </w:tc>
        <w:tc>
          <w:tcPr>
            <w:tcW w:w="0" w:type="dxa"/>
            <w:vAlign w:val="bottom"/>
          </w:tcPr>
          <w:p>
            <w:pPr>
              <w:spacing w:after="0"/>
              <w:rPr>
                <w:sz w:val="1"/>
                <w:szCs w:val="1"/>
                <w:color w:val="auto"/>
              </w:rPr>
            </w:pPr>
          </w:p>
        </w:tc>
      </w:tr>
      <w:tr>
        <w:trPr>
          <w:trHeight w:val="153"/>
        </w:trPr>
        <w:tc>
          <w:tcPr>
            <w:tcW w:w="510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payroll withholding taxes</w:t>
            </w:r>
          </w:p>
        </w:tc>
        <w:tc>
          <w:tcPr>
            <w:tcW w:w="10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vMerge w:val="continue"/>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October 29, 2023</w:t>
            </w: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12,469,903</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624</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44,581</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38,429</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(6 )</w:t>
            </w:r>
          </w:p>
        </w:tc>
        <w:tc>
          <w:tcPr>
            <w:tcW w:w="2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83,628</w:t>
            </w:r>
          </w:p>
        </w:tc>
        <w:tc>
          <w:tcPr>
            <w:tcW w:w="0" w:type="dxa"/>
            <w:vAlign w:val="bottom"/>
          </w:tcPr>
          <w:p>
            <w:pPr>
              <w:spacing w:after="0"/>
              <w:rPr>
                <w:sz w:val="1"/>
                <w:szCs w:val="1"/>
                <w:color w:val="auto"/>
              </w:rPr>
            </w:pPr>
          </w:p>
        </w:tc>
      </w:tr>
      <w:tr>
        <w:trPr>
          <w:trHeight w:val="162"/>
        </w:trPr>
        <w:tc>
          <w:tcPr>
            <w:tcW w:w="5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(3,188 )</w:t>
            </w: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(3,188 )</w:t>
            </w:r>
          </w:p>
        </w:tc>
        <w:tc>
          <w:tcPr>
            <w:tcW w:w="0" w:type="dxa"/>
            <w:vAlign w:val="bottom"/>
          </w:tcPr>
          <w:p>
            <w:pPr>
              <w:spacing w:after="0"/>
              <w:rPr>
                <w:sz w:val="1"/>
                <w:szCs w:val="1"/>
                <w:color w:val="auto"/>
              </w:rPr>
            </w:pPr>
          </w:p>
        </w:tc>
      </w:tr>
      <w:tr>
        <w:trPr>
          <w:trHeight w:val="162"/>
        </w:trPr>
        <w:tc>
          <w:tcPr>
            <w:tcW w:w="51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262</w:t>
            </w:r>
          </w:p>
        </w:tc>
        <w:tc>
          <w:tcPr>
            <w:tcW w:w="200" w:type="dxa"/>
            <w:vAlign w:val="bottom"/>
          </w:tcPr>
          <w:p>
            <w:pPr>
              <w:spacing w:after="0"/>
              <w:rPr>
                <w:sz w:val="14"/>
                <w:szCs w:val="14"/>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262</w:t>
            </w:r>
          </w:p>
        </w:tc>
        <w:tc>
          <w:tcPr>
            <w:tcW w:w="0" w:type="dxa"/>
            <w:vAlign w:val="bottom"/>
          </w:tcPr>
          <w:p>
            <w:pPr>
              <w:spacing w:after="0"/>
              <w:rPr>
                <w:sz w:val="1"/>
                <w:szCs w:val="1"/>
                <w:color w:val="auto"/>
              </w:rPr>
            </w:pPr>
          </w:p>
        </w:tc>
      </w:tr>
      <w:tr>
        <w:trPr>
          <w:trHeight w:val="162"/>
        </w:trPr>
        <w:tc>
          <w:tcPr>
            <w:tcW w:w="51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Unrealized gain on investments</w:t>
            </w:r>
          </w:p>
        </w:tc>
        <w:tc>
          <w:tcPr>
            <w:tcW w:w="102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94</w:t>
            </w:r>
          </w:p>
        </w:tc>
        <w:tc>
          <w:tcPr>
            <w:tcW w:w="2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94</w:t>
            </w:r>
          </w:p>
        </w:tc>
        <w:tc>
          <w:tcPr>
            <w:tcW w:w="0" w:type="dxa"/>
            <w:vAlign w:val="bottom"/>
          </w:tcPr>
          <w:p>
            <w:pPr>
              <w:spacing w:after="0"/>
              <w:rPr>
                <w:sz w:val="1"/>
                <w:szCs w:val="1"/>
                <w:color w:val="auto"/>
              </w:rPr>
            </w:pPr>
          </w:p>
        </w:tc>
      </w:tr>
      <w:tr>
        <w:trPr>
          <w:trHeight w:val="155"/>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January 28, 2024</w:t>
            </w:r>
          </w:p>
        </w:tc>
        <w:tc>
          <w:tcPr>
            <w:tcW w:w="10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12,469,903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624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44,843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35,241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88</w:t>
            </w:r>
          </w:p>
        </w:tc>
        <w:tc>
          <w:tcPr>
            <w:tcW w:w="2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80,796</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right="6400" w:firstLine="8"/>
        <w:spacing w:after="0" w:line="488" w:lineRule="auto"/>
        <w:tabs>
          <w:tab w:leader="none" w:pos="396"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Derived from audited consolidated financial statements. See accompanying notes to consolidated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SHAREHOLDERS’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NINE MONTHS ENDED JANUARY 29, 2023</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ectPr>
          <w:pgSz w:w="11900" w:h="16838" w:orient="portrait"/>
          <w:cols w:equalWidth="0" w:num="1">
            <w:col w:w="11240"/>
          </w:cols>
          <w:pgMar w:left="320" w:top="9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Balance, May 1, 2022 *</w:t>
      </w:r>
    </w:p>
    <w:p>
      <w:pPr>
        <w:spacing w:after="0" w:line="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Net loss</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Unrealized loss on investments</w:t>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Common stock issued in connection with the</w:t>
      </w:r>
    </w:p>
    <w:p>
      <w:pPr>
        <w:ind w:left="320"/>
        <w:spacing w:after="0" w:line="216" w:lineRule="auto"/>
        <w:rPr>
          <w:sz w:val="20"/>
          <w:szCs w:val="20"/>
          <w:color w:val="auto"/>
        </w:rPr>
      </w:pPr>
      <w:r>
        <w:rPr>
          <w:rFonts w:ascii="Times New Roman" w:cs="Times New Roman" w:eastAsia="Times New Roman" w:hAnsi="Times New Roman"/>
          <w:sz w:val="13"/>
          <w:szCs w:val="13"/>
          <w:color w:val="auto"/>
        </w:rPr>
        <w:t>vesting of performance-based restricted</w:t>
      </w:r>
    </w:p>
    <w:p>
      <w:pPr>
        <w:ind w:left="320"/>
        <w:spacing w:after="0"/>
        <w:rPr>
          <w:sz w:val="20"/>
          <w:szCs w:val="20"/>
          <w:color w:val="auto"/>
        </w:rPr>
      </w:pPr>
      <w:r>
        <w:rPr>
          <w:rFonts w:ascii="Times New Roman" w:cs="Times New Roman" w:eastAsia="Times New Roman" w:hAnsi="Times New Roman"/>
          <w:sz w:val="13"/>
          <w:szCs w:val="13"/>
          <w:color w:val="auto"/>
        </w:rPr>
        <w:t>stock units</w:t>
      </w:r>
    </w:p>
    <w:p>
      <w:pPr>
        <w:jc w:val="right"/>
        <w:ind w:right="2460"/>
        <w:spacing w:after="0" w:line="236" w:lineRule="auto"/>
        <w:rPr>
          <w:sz w:val="20"/>
          <w:szCs w:val="20"/>
          <w:color w:val="auto"/>
        </w:rPr>
      </w:pPr>
      <w:r>
        <w:rPr>
          <w:rFonts w:ascii="Times New Roman" w:cs="Times New Roman" w:eastAsia="Times New Roman" w:hAnsi="Times New Roman"/>
          <w:sz w:val="13"/>
          <w:szCs w:val="13"/>
          <w:color w:val="auto"/>
        </w:rPr>
        <w:t>Common stock issued in connection with the</w:t>
      </w:r>
    </w:p>
    <w:p>
      <w:pPr>
        <w:spacing w:after="0" w:line="1" w:lineRule="exact"/>
        <w:rPr>
          <w:sz w:val="20"/>
          <w:szCs w:val="20"/>
          <w:color w:val="auto"/>
        </w:rPr>
      </w:pPr>
    </w:p>
    <w:p>
      <w:pPr>
        <w:jc w:val="right"/>
        <w:ind w:right="2460"/>
        <w:spacing w:after="0"/>
        <w:rPr>
          <w:sz w:val="20"/>
          <w:szCs w:val="20"/>
          <w:color w:val="auto"/>
        </w:rPr>
      </w:pPr>
      <w:r>
        <w:rPr>
          <w:rFonts w:ascii="Times New Roman" w:cs="Times New Roman" w:eastAsia="Times New Roman" w:hAnsi="Times New Roman"/>
          <w:sz w:val="13"/>
          <w:szCs w:val="13"/>
          <w:color w:val="auto"/>
        </w:rPr>
        <w:t>vesting of time-based restricted stock units</w:t>
      </w:r>
    </w:p>
    <w:p>
      <w:pPr>
        <w:ind w:left="160"/>
        <w:spacing w:after="0" w:line="236" w:lineRule="auto"/>
        <w:rPr>
          <w:sz w:val="20"/>
          <w:szCs w:val="20"/>
          <w:color w:val="auto"/>
        </w:rPr>
      </w:pPr>
      <w:r>
        <w:rPr>
          <w:rFonts w:ascii="Times New Roman" w:cs="Times New Roman" w:eastAsia="Times New Roman" w:hAnsi="Times New Roman"/>
          <w:sz w:val="13"/>
          <w:szCs w:val="13"/>
          <w:color w:val="auto"/>
        </w:rPr>
        <w:t>Common stock surrendered in connection</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with payroll withholding taxes</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Fully vested common stock award</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Balance, July 31, 2022</w:t>
      </w:r>
    </w:p>
    <w:p>
      <w:pPr>
        <w:spacing w:after="0" w:line="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Net loss</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Unrealized loss on investments</w:t>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Common stock issued in connection with the</w:t>
      </w:r>
    </w:p>
    <w:p>
      <w:pPr>
        <w:ind w:left="300"/>
        <w:spacing w:after="0" w:line="216" w:lineRule="auto"/>
        <w:rPr>
          <w:sz w:val="20"/>
          <w:szCs w:val="20"/>
          <w:color w:val="auto"/>
        </w:rPr>
      </w:pPr>
      <w:r>
        <w:rPr>
          <w:rFonts w:ascii="Times New Roman" w:cs="Times New Roman" w:eastAsia="Times New Roman" w:hAnsi="Times New Roman"/>
          <w:sz w:val="13"/>
          <w:szCs w:val="13"/>
          <w:color w:val="auto"/>
        </w:rPr>
        <w:t>vesting of performance-based restricted</w:t>
      </w:r>
    </w:p>
    <w:p>
      <w:pPr>
        <w:ind w:left="320"/>
        <w:spacing w:after="0"/>
        <w:rPr>
          <w:sz w:val="20"/>
          <w:szCs w:val="20"/>
          <w:color w:val="auto"/>
        </w:rPr>
      </w:pPr>
      <w:r>
        <w:rPr>
          <w:rFonts w:ascii="Times New Roman" w:cs="Times New Roman" w:eastAsia="Times New Roman" w:hAnsi="Times New Roman"/>
          <w:sz w:val="13"/>
          <w:szCs w:val="13"/>
          <w:color w:val="auto"/>
        </w:rPr>
        <w:t>stock units</w:t>
      </w:r>
    </w:p>
    <w:p>
      <w:pPr>
        <w:ind w:left="160"/>
        <w:spacing w:after="0" w:line="236" w:lineRule="auto"/>
        <w:rPr>
          <w:sz w:val="20"/>
          <w:szCs w:val="20"/>
          <w:color w:val="auto"/>
        </w:rPr>
      </w:pPr>
      <w:r>
        <w:rPr>
          <w:rFonts w:ascii="Times New Roman" w:cs="Times New Roman" w:eastAsia="Times New Roman" w:hAnsi="Times New Roman"/>
          <w:sz w:val="13"/>
          <w:szCs w:val="13"/>
          <w:color w:val="auto"/>
        </w:rPr>
        <w:t>Common stock surrendered in connection with</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payroll withholding taxes</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Fully vested common stock award</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Balance, October 30, 2022</w:t>
      </w:r>
    </w:p>
    <w:p>
      <w:pPr>
        <w:spacing w:after="0" w:line="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Net loss</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Unrealized gain on investments</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Fully vested common stock award</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Balance, January 29, 2023</w:t>
      </w:r>
    </w:p>
    <w:p>
      <w:pPr>
        <w:spacing w:after="0" w:line="251" w:lineRule="exact"/>
        <w:rPr>
          <w:sz w:val="20"/>
          <w:szCs w:val="20"/>
          <w:color w:val="auto"/>
        </w:rPr>
      </w:pPr>
    </w:p>
    <w:p>
      <w:pPr>
        <w:ind w:firstLine="8"/>
        <w:spacing w:after="0" w:line="488" w:lineRule="auto"/>
        <w:tabs>
          <w:tab w:leader="none" w:pos="148"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Derived from audited consolidated financial statements. See accompanying notes to consolidated financial statements.</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ind w:right="157"/>
              <w:spacing w:after="0"/>
              <w:rPr>
                <w:sz w:val="20"/>
                <w:szCs w:val="20"/>
                <w:color w:val="auto"/>
              </w:rPr>
            </w:pPr>
            <w:r>
              <w:rPr>
                <w:rFonts w:ascii="Times New Roman" w:cs="Times New Roman" w:eastAsia="Times New Roman" w:hAnsi="Times New Roman"/>
                <w:sz w:val="13"/>
                <w:szCs w:val="13"/>
                <w:color w:val="auto"/>
                <w:w w:val="95"/>
              </w:rPr>
              <w:t>Capital</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77"/>
              <w:spacing w:after="0"/>
              <w:rPr>
                <w:sz w:val="20"/>
                <w:szCs w:val="20"/>
                <w:color w:val="auto"/>
              </w:rPr>
            </w:pPr>
            <w:r>
              <w:rPr>
                <w:rFonts w:ascii="Times New Roman" w:cs="Times New Roman" w:eastAsia="Times New Roman" w:hAnsi="Times New Roman"/>
                <w:sz w:val="12"/>
                <w:szCs w:val="12"/>
                <w:color w:val="auto"/>
                <w:w w:val="93"/>
              </w:rPr>
              <w:t>Accumulated</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720" w:type="dxa"/>
            <w:vAlign w:val="bottom"/>
            <w:gridSpan w:val="2"/>
            <w:vMerge w:val="restart"/>
          </w:tcPr>
          <w:p>
            <w:pPr>
              <w:jc w:val="right"/>
              <w:ind w:right="317"/>
              <w:spacing w:after="0"/>
              <w:rPr>
                <w:sz w:val="20"/>
                <w:szCs w:val="20"/>
                <w:color w:val="auto"/>
              </w:rPr>
            </w:pPr>
            <w:r>
              <w:rPr>
                <w:rFonts w:ascii="Times New Roman" w:cs="Times New Roman" w:eastAsia="Times New Roman" w:hAnsi="Times New Roman"/>
                <w:sz w:val="13"/>
                <w:szCs w:val="13"/>
                <w:color w:val="auto"/>
              </w:rPr>
              <w:t>Common Stock</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ind w:right="157"/>
              <w:spacing w:after="0"/>
              <w:rPr>
                <w:sz w:val="20"/>
                <w:szCs w:val="20"/>
                <w:color w:val="auto"/>
              </w:rPr>
            </w:pPr>
            <w:r>
              <w:rPr>
                <w:rFonts w:ascii="Times New Roman" w:cs="Times New Roman" w:eastAsia="Times New Roman" w:hAnsi="Times New Roman"/>
                <w:sz w:val="13"/>
                <w:szCs w:val="13"/>
                <w:color w:val="auto"/>
                <w:w w:val="96"/>
              </w:rPr>
              <w:t>Contributed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57"/>
              <w:spacing w:after="0"/>
              <w:rPr>
                <w:sz w:val="20"/>
                <w:szCs w:val="20"/>
                <w:color w:val="auto"/>
              </w:rPr>
            </w:pPr>
            <w:r>
              <w:rPr>
                <w:rFonts w:ascii="Times New Roman" w:cs="Times New Roman" w:eastAsia="Times New Roman" w:hAnsi="Times New Roman"/>
                <w:sz w:val="12"/>
                <w:szCs w:val="12"/>
                <w:color w:val="auto"/>
              </w:rPr>
              <w:t>Other</w:t>
            </w:r>
          </w:p>
        </w:tc>
        <w:tc>
          <w:tcPr>
            <w:tcW w:w="240" w:type="dxa"/>
            <w:vAlign w:val="bottom"/>
          </w:tcPr>
          <w:p>
            <w:pPr>
              <w:spacing w:after="0"/>
              <w:rPr>
                <w:sz w:val="14"/>
                <w:szCs w:val="14"/>
                <w:color w:val="auto"/>
              </w:rPr>
            </w:pPr>
          </w:p>
        </w:tc>
        <w:tc>
          <w:tcPr>
            <w:tcW w:w="760" w:type="dxa"/>
            <w:vAlign w:val="bottom"/>
          </w:tcPr>
          <w:p>
            <w:pPr>
              <w:jc w:val="center"/>
              <w:ind w:right="197"/>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64"/>
        </w:trPr>
        <w:tc>
          <w:tcPr>
            <w:tcW w:w="172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ind w:right="157"/>
              <w:spacing w:after="0"/>
              <w:rPr>
                <w:sz w:val="20"/>
                <w:szCs w:val="20"/>
                <w:color w:val="auto"/>
              </w:rPr>
            </w:pPr>
            <w:r>
              <w:rPr>
                <w:rFonts w:ascii="Times New Roman" w:cs="Times New Roman" w:eastAsia="Times New Roman" w:hAnsi="Times New Roman"/>
                <w:sz w:val="13"/>
                <w:szCs w:val="13"/>
                <w:color w:val="auto"/>
                <w:w w:val="96"/>
              </w:rPr>
              <w:t>in Excess</w:t>
            </w:r>
          </w:p>
        </w:tc>
        <w:tc>
          <w:tcPr>
            <w:tcW w:w="100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Accumulated</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Comprehensive</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6"/>
              </w:rPr>
              <w:t>Shareholders'</w:t>
            </w:r>
          </w:p>
        </w:tc>
        <w:tc>
          <w:tcPr>
            <w:tcW w:w="0" w:type="dxa"/>
            <w:vAlign w:val="bottom"/>
          </w:tcPr>
          <w:p>
            <w:pPr>
              <w:spacing w:after="0"/>
              <w:rPr>
                <w:sz w:val="1"/>
                <w:szCs w:val="1"/>
                <w:color w:val="auto"/>
              </w:rPr>
            </w:pPr>
          </w:p>
        </w:tc>
      </w:tr>
      <w:tr>
        <w:trPr>
          <w:trHeight w:val="155"/>
        </w:trPr>
        <w:tc>
          <w:tcPr>
            <w:tcW w:w="10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color w:val="auto"/>
              </w:rPr>
              <w:t>Shares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Amount</w:t>
            </w: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4"/>
              </w:rPr>
              <w:t>of Par Value</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Earnings</w:t>
            </w:r>
          </w:p>
        </w:tc>
        <w:tc>
          <w:tcPr>
            <w:tcW w:w="10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Income (Loss)</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51"/>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12,228,629</w:t>
            </w:r>
          </w:p>
        </w:tc>
        <w:tc>
          <w:tcPr>
            <w:tcW w:w="700" w:type="dxa"/>
            <w:vAlign w:val="bottom"/>
          </w:tcPr>
          <w:p>
            <w:pPr>
              <w:jc w:val="right"/>
              <w:ind w:right="47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81"/>
              </w:rPr>
              <w:t>611</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43,143</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75,715</w:t>
            </w: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32</w:t>
            </w:r>
          </w:p>
        </w:tc>
        <w:tc>
          <w:tcPr>
            <w:tcW w:w="2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119,501</w:t>
            </w:r>
          </w:p>
        </w:tc>
        <w:tc>
          <w:tcPr>
            <w:tcW w:w="0" w:type="dxa"/>
            <w:vAlign w:val="bottom"/>
          </w:tcPr>
          <w:p>
            <w:pPr>
              <w:spacing w:after="0"/>
              <w:rPr>
                <w:sz w:val="1"/>
                <w:szCs w:val="1"/>
                <w:color w:val="auto"/>
              </w:rPr>
            </w:pPr>
          </w:p>
        </w:tc>
      </w:tr>
      <w:tr>
        <w:trPr>
          <w:trHeight w:val="162"/>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(5,699 )</w:t>
            </w:r>
          </w:p>
        </w:tc>
        <w:tc>
          <w:tcPr>
            <w:tcW w:w="18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(5,699 )</w:t>
            </w:r>
          </w:p>
        </w:tc>
        <w:tc>
          <w:tcPr>
            <w:tcW w:w="0" w:type="dxa"/>
            <w:vAlign w:val="bottom"/>
          </w:tcPr>
          <w:p>
            <w:pPr>
              <w:spacing w:after="0"/>
              <w:rPr>
                <w:sz w:val="1"/>
                <w:szCs w:val="1"/>
                <w:color w:val="auto"/>
              </w:rPr>
            </w:pPr>
          </w:p>
        </w:tc>
      </w:tr>
      <w:tr>
        <w:trPr>
          <w:trHeight w:val="162"/>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252</w:t>
            </w:r>
          </w:p>
        </w:tc>
        <w:tc>
          <w:tcPr>
            <w:tcW w:w="2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252</w:t>
            </w:r>
          </w:p>
        </w:tc>
        <w:tc>
          <w:tcPr>
            <w:tcW w:w="0" w:type="dxa"/>
            <w:vAlign w:val="bottom"/>
          </w:tcPr>
          <w:p>
            <w:pPr>
              <w:spacing w:after="0"/>
              <w:rPr>
                <w:sz w:val="1"/>
                <w:szCs w:val="1"/>
                <w:color w:val="auto"/>
              </w:rPr>
            </w:pPr>
          </w:p>
        </w:tc>
      </w:tr>
      <w:tr>
        <w:trPr>
          <w:trHeight w:val="164"/>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(7 )</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0" w:type="dxa"/>
            <w:vAlign w:val="bottom"/>
          </w:tcPr>
          <w:p>
            <w:pPr>
              <w:spacing w:after="0"/>
              <w:rPr>
                <w:sz w:val="1"/>
                <w:szCs w:val="1"/>
                <w:color w:val="auto"/>
              </w:rPr>
            </w:pPr>
          </w:p>
        </w:tc>
      </w:tr>
      <w:tr>
        <w:trPr>
          <w:trHeight w:val="432"/>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913</w:t>
            </w:r>
          </w:p>
        </w:tc>
        <w:tc>
          <w:tcPr>
            <w:tcW w:w="700" w:type="dxa"/>
            <w:vAlign w:val="bottom"/>
          </w:tcPr>
          <w:p>
            <w:pPr>
              <w:spacing w:after="0"/>
              <w:rPr>
                <w:sz w:val="24"/>
                <w:szCs w:val="24"/>
                <w:color w:val="auto"/>
              </w:rPr>
            </w:pP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7"/>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32,199</w:t>
            </w:r>
          </w:p>
        </w:tc>
        <w:tc>
          <w:tcPr>
            <w:tcW w:w="700" w:type="dxa"/>
            <w:vAlign w:val="bottom"/>
          </w:tcPr>
          <w:p>
            <w:pPr>
              <w:spacing w:after="0"/>
              <w:rPr>
                <w:sz w:val="24"/>
                <w:szCs w:val="24"/>
                <w:color w:val="auto"/>
              </w:rPr>
            </w:pP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(2 )</w:t>
            </w:r>
          </w:p>
        </w:tc>
        <w:tc>
          <w:tcPr>
            <w:tcW w:w="200" w:type="dxa"/>
            <w:vAlign w:val="bottom"/>
          </w:tcPr>
          <w:p>
            <w:pPr>
              <w:spacing w:after="0"/>
              <w:rPr>
                <w:sz w:val="24"/>
                <w:szCs w:val="2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5"/>
        </w:trPr>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(6,708 )</w:t>
            </w:r>
          </w:p>
        </w:tc>
        <w:tc>
          <w:tcPr>
            <w:tcW w:w="700" w:type="dxa"/>
            <w:vAlign w:val="bottom"/>
          </w:tcPr>
          <w:p>
            <w:pPr>
              <w:spacing w:after="0"/>
              <w:rPr>
                <w:sz w:val="24"/>
                <w:szCs w:val="24"/>
                <w:color w:val="auto"/>
              </w:rPr>
            </w:pP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(52 )</w:t>
            </w:r>
          </w:p>
        </w:tc>
        <w:tc>
          <w:tcPr>
            <w:tcW w:w="200" w:type="dxa"/>
            <w:vAlign w:val="bottom"/>
          </w:tcPr>
          <w:p>
            <w:pPr>
              <w:spacing w:after="0"/>
              <w:rPr>
                <w:sz w:val="24"/>
                <w:szCs w:val="2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(52 )</w:t>
            </w: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19,753</w:t>
            </w: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(1 )</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12,274,786</w:t>
            </w:r>
          </w:p>
        </w:tc>
        <w:tc>
          <w:tcPr>
            <w:tcW w:w="700" w:type="dxa"/>
            <w:vAlign w:val="bottom"/>
          </w:tcPr>
          <w:p>
            <w:pPr>
              <w:jc w:val="right"/>
              <w:ind w:right="47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81"/>
              </w:rPr>
              <w:t>614</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43,340</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70,016</w:t>
            </w: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113,995</w:t>
            </w:r>
          </w:p>
        </w:tc>
        <w:tc>
          <w:tcPr>
            <w:tcW w:w="0" w:type="dxa"/>
            <w:vAlign w:val="bottom"/>
          </w:tcPr>
          <w:p>
            <w:pPr>
              <w:spacing w:after="0"/>
              <w:rPr>
                <w:sz w:val="1"/>
                <w:szCs w:val="1"/>
                <w:color w:val="auto"/>
              </w:rPr>
            </w:pPr>
          </w:p>
        </w:tc>
      </w:tr>
      <w:tr>
        <w:trPr>
          <w:trHeight w:val="162"/>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(12,173 )</w:t>
            </w:r>
          </w:p>
        </w:tc>
        <w:tc>
          <w:tcPr>
            <w:tcW w:w="18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(12,173 )</w:t>
            </w:r>
          </w:p>
        </w:tc>
        <w:tc>
          <w:tcPr>
            <w:tcW w:w="0" w:type="dxa"/>
            <w:vAlign w:val="bottom"/>
          </w:tcPr>
          <w:p>
            <w:pPr>
              <w:spacing w:after="0"/>
              <w:rPr>
                <w:sz w:val="1"/>
                <w:szCs w:val="1"/>
                <w:color w:val="auto"/>
              </w:rPr>
            </w:pPr>
          </w:p>
        </w:tc>
      </w:tr>
      <w:tr>
        <w:trPr>
          <w:trHeight w:val="162"/>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313</w:t>
            </w:r>
          </w:p>
        </w:tc>
        <w:tc>
          <w:tcPr>
            <w:tcW w:w="2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313</w:t>
            </w:r>
          </w:p>
        </w:tc>
        <w:tc>
          <w:tcPr>
            <w:tcW w:w="0" w:type="dxa"/>
            <w:vAlign w:val="bottom"/>
          </w:tcPr>
          <w:p>
            <w:pPr>
              <w:spacing w:after="0"/>
              <w:rPr>
                <w:sz w:val="1"/>
                <w:szCs w:val="1"/>
                <w:color w:val="auto"/>
              </w:rPr>
            </w:pPr>
          </w:p>
        </w:tc>
      </w:tr>
      <w:tr>
        <w:trPr>
          <w:trHeight w:val="164"/>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(46 )</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(46 )</w:t>
            </w:r>
          </w:p>
        </w:tc>
        <w:tc>
          <w:tcPr>
            <w:tcW w:w="0" w:type="dxa"/>
            <w:vAlign w:val="bottom"/>
          </w:tcPr>
          <w:p>
            <w:pPr>
              <w:spacing w:after="0"/>
              <w:rPr>
                <w:sz w:val="1"/>
                <w:szCs w:val="1"/>
                <w:color w:val="auto"/>
              </w:rPr>
            </w:pPr>
          </w:p>
        </w:tc>
      </w:tr>
      <w:tr>
        <w:trPr>
          <w:trHeight w:val="432"/>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669</w:t>
            </w:r>
          </w:p>
        </w:tc>
        <w:tc>
          <w:tcPr>
            <w:tcW w:w="700" w:type="dxa"/>
            <w:vAlign w:val="bottom"/>
          </w:tcPr>
          <w:p>
            <w:pPr>
              <w:spacing w:after="0"/>
              <w:rPr>
                <w:sz w:val="24"/>
                <w:szCs w:val="24"/>
                <w:color w:val="auto"/>
              </w:rPr>
            </w:pP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5"/>
        </w:trPr>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(20 )</w:t>
            </w:r>
          </w:p>
        </w:tc>
        <w:tc>
          <w:tcPr>
            <w:tcW w:w="700" w:type="dxa"/>
            <w:vAlign w:val="bottom"/>
          </w:tcPr>
          <w:p>
            <w:pPr>
              <w:spacing w:after="0"/>
              <w:rPr>
                <w:sz w:val="24"/>
                <w:szCs w:val="24"/>
                <w:color w:val="auto"/>
              </w:rPr>
            </w:pP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19</w:t>
            </w:r>
          </w:p>
        </w:tc>
        <w:tc>
          <w:tcPr>
            <w:tcW w:w="200" w:type="dxa"/>
            <w:vAlign w:val="bottom"/>
          </w:tcPr>
          <w:p>
            <w:pPr>
              <w:spacing w:after="0"/>
              <w:rPr>
                <w:sz w:val="24"/>
                <w:szCs w:val="2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18,327</w:t>
            </w: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(1 )</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12,293,762</w:t>
            </w:r>
          </w:p>
        </w:tc>
        <w:tc>
          <w:tcPr>
            <w:tcW w:w="700" w:type="dxa"/>
            <w:vAlign w:val="bottom"/>
          </w:tcPr>
          <w:p>
            <w:pPr>
              <w:jc w:val="right"/>
              <w:ind w:right="47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81"/>
              </w:rPr>
              <w:t>615</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43,671</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57,843</w:t>
            </w: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(21 )</w:t>
            </w:r>
          </w:p>
        </w:tc>
        <w:tc>
          <w:tcPr>
            <w:tcW w:w="2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102,108</w:t>
            </w:r>
          </w:p>
        </w:tc>
        <w:tc>
          <w:tcPr>
            <w:tcW w:w="0" w:type="dxa"/>
            <w:vAlign w:val="bottom"/>
          </w:tcPr>
          <w:p>
            <w:pPr>
              <w:spacing w:after="0"/>
              <w:rPr>
                <w:sz w:val="1"/>
                <w:szCs w:val="1"/>
                <w:color w:val="auto"/>
              </w:rPr>
            </w:pPr>
          </w:p>
        </w:tc>
      </w:tr>
      <w:tr>
        <w:trPr>
          <w:trHeight w:val="162"/>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(8,968 )</w:t>
            </w:r>
          </w:p>
        </w:tc>
        <w:tc>
          <w:tcPr>
            <w:tcW w:w="18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(8,968 )</w:t>
            </w:r>
          </w:p>
        </w:tc>
        <w:tc>
          <w:tcPr>
            <w:tcW w:w="0" w:type="dxa"/>
            <w:vAlign w:val="bottom"/>
          </w:tcPr>
          <w:p>
            <w:pPr>
              <w:spacing w:after="0"/>
              <w:rPr>
                <w:sz w:val="1"/>
                <w:szCs w:val="1"/>
                <w:color w:val="auto"/>
              </w:rPr>
            </w:pPr>
          </w:p>
        </w:tc>
      </w:tr>
      <w:tr>
        <w:trPr>
          <w:trHeight w:val="162"/>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322</w:t>
            </w:r>
          </w:p>
        </w:tc>
        <w:tc>
          <w:tcPr>
            <w:tcW w:w="2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322</w:t>
            </w:r>
          </w:p>
        </w:tc>
        <w:tc>
          <w:tcPr>
            <w:tcW w:w="0" w:type="dxa"/>
            <w:vAlign w:val="bottom"/>
          </w:tcPr>
          <w:p>
            <w:pPr>
              <w:spacing w:after="0"/>
              <w:rPr>
                <w:sz w:val="1"/>
                <w:szCs w:val="1"/>
                <w:color w:val="auto"/>
              </w:rPr>
            </w:pPr>
          </w:p>
        </w:tc>
      </w:tr>
      <w:tr>
        <w:trPr>
          <w:trHeight w:val="162"/>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42</w:t>
            </w:r>
          </w:p>
        </w:tc>
        <w:tc>
          <w:tcPr>
            <w:tcW w:w="2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17,821</w:t>
            </w: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(1 )</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10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12,311,583</w:t>
            </w:r>
          </w:p>
        </w:tc>
        <w:tc>
          <w:tcPr>
            <w:tcW w:w="7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81"/>
              </w:rPr>
              <w:t>616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43,992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48,875</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21</w:t>
            </w:r>
          </w:p>
        </w:tc>
        <w:tc>
          <w:tcPr>
            <w:tcW w:w="2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93,504</w:t>
            </w:r>
          </w:p>
        </w:tc>
        <w:tc>
          <w:tcPr>
            <w:tcW w:w="0" w:type="dxa"/>
            <w:vAlign w:val="bottom"/>
          </w:tcPr>
          <w:p>
            <w:pPr>
              <w:spacing w:after="0"/>
              <w:rPr>
                <w:sz w:val="1"/>
                <w:szCs w:val="1"/>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-2811145</wp:posOffset>
            </wp:positionV>
            <wp:extent cx="7132320" cy="10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-2605405</wp:posOffset>
            </wp:positionV>
            <wp:extent cx="7132320"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-2399665</wp:posOffset>
            </wp:positionV>
            <wp:extent cx="713232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-1936750</wp:posOffset>
            </wp:positionV>
            <wp:extent cx="71323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-1636395</wp:posOffset>
            </wp:positionV>
            <wp:extent cx="713232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-1430655</wp:posOffset>
            </wp:positionV>
            <wp:extent cx="713232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-1225550</wp:posOffset>
            </wp:positionV>
            <wp:extent cx="7132320" cy="274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-762635</wp:posOffset>
            </wp:positionV>
            <wp:extent cx="7132320" cy="111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-548005</wp:posOffset>
            </wp:positionV>
            <wp:extent cx="7132320" cy="102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-342265</wp:posOffset>
            </wp:positionV>
            <wp:extent cx="7132320" cy="102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-128270</wp:posOffset>
            </wp:positionV>
            <wp:extent cx="713232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246" w:lineRule="exact"/>
        <w:rPr>
          <w:sz w:val="20"/>
          <w:szCs w:val="20"/>
          <w:color w:val="auto"/>
        </w:rPr>
      </w:pPr>
    </w:p>
    <w:p>
      <w:pPr>
        <w:sectPr>
          <w:pgSz w:w="11900" w:h="16838" w:orient="portrait"/>
          <w:cols w:equalWidth="0" w:num="2">
            <w:col w:w="4900" w:space="220"/>
            <w:col w:w="6120"/>
          </w:cols>
          <w:pgMar w:left="320" w:top="97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0"/>
          <w:szCs w:val="20"/>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Basis of Presentation</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accompanying unaudited condensed consolidated financial statements of Culp, Inc. and its majority-owned subsidiaries (the “company”) include all adjustments that are, in the opinion of management, necessary for fair presentation of the results of operations and financial position. All these adjustments are of a normal recurring nature. Results of operations for interim periods may not be indicative of future results. The unaudited condensed consolidated financial statements should be read in conjunction with the audited consolidated financial statements that are included in the company’s annual report on Form 10-K filed with the Securities and Exchange Commission on July 14, 2023, for the fiscal year ended April 30,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nine-months ended January 28, 2024, and January 29, 2023, each represent 39-week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Significant Accounting Policies</w:t>
      </w:r>
    </w:p>
    <w:p>
      <w:pPr>
        <w:spacing w:after="0" w:line="19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January 28, 2024, there were no changes in the nature of our significant accounting policies or the application of those policies from those reported in our annual report on Form 10-K for the year then ended April 30,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Adopted Accounting Pronouncements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recently adopted accounting pronouncements during the first nine months of fiscal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Issued Accounting Pronouncements</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Effective November 27, 2023, the Financial Accounting Standards Board ("FASB") issued Accounting Standards Update ("ASU") 2023-07 </w:t>
      </w:r>
      <w:r>
        <w:rPr>
          <w:rFonts w:ascii="Times New Roman" w:cs="Times New Roman" w:eastAsia="Times New Roman" w:hAnsi="Times New Roman"/>
          <w:sz w:val="20"/>
          <w:szCs w:val="20"/>
          <w:i w:val="1"/>
          <w:iCs w:val="1"/>
          <w:color w:val="auto"/>
        </w:rPr>
        <w:t xml:space="preserve">Improvements to Reportable Segment Disclosures </w:t>
      </w:r>
      <w:r>
        <w:rPr>
          <w:rFonts w:ascii="Times New Roman" w:cs="Times New Roman" w:eastAsia="Times New Roman" w:hAnsi="Times New Roman"/>
          <w:sz w:val="20"/>
          <w:szCs w:val="20"/>
          <w:color w:val="auto"/>
        </w:rPr>
        <w:t>which enhances disclosure requirements to segment reporting including (i) significant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segment expenses that are regularly provided to the Chief Operating Decision Maker (CODM) that are included within each measure of segment profit or loss, (ii) other segment items by reportable segment as defined by ASU 2023-07, and (iii) the title and position of the CODM and an explanation of how the CODM uses the reported measure(s) of each segment's profit or loss in assessing segment performance and deciding how to allocate resources. ASU 2023-07 is effective for public entities starting in annual periods beginning after December 15, 2023 (i.e., our fiscal 2025 annual report) and interim periods beginning after December 15, 2024 (i.e., first quarter of fiscal 2026 interim report). Management is currently evaluating the effects ASU 2023-07 will have on the notes to the consolidated financial statements.</w:t>
      </w:r>
    </w:p>
    <w:p>
      <w:pPr>
        <w:spacing w:after="0" w:line="1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Effective December 14, 2023, the FASB issued ASU 2023-09 </w:t>
      </w:r>
      <w:r>
        <w:rPr>
          <w:rFonts w:ascii="Times New Roman" w:cs="Times New Roman" w:eastAsia="Times New Roman" w:hAnsi="Times New Roman"/>
          <w:sz w:val="20"/>
          <w:szCs w:val="20"/>
          <w:i w:val="1"/>
          <w:iCs w:val="1"/>
          <w:color w:val="auto"/>
        </w:rPr>
        <w:t>Improvements to Income Tax Disclosures,</w:t>
      </w:r>
      <w:r>
        <w:rPr>
          <w:rFonts w:ascii="Times New Roman" w:cs="Times New Roman" w:eastAsia="Times New Roman" w:hAnsi="Times New Roman"/>
          <w:sz w:val="20"/>
          <w:szCs w:val="20"/>
          <w:color w:val="auto"/>
        </w:rPr>
        <w:t xml:space="preserve"> which is an update to Topic 740, Income Taxes. The amendments in this update relate to improvements regarding the transparency of income tax disclosures by requiring consistent categories and greater disaggregation by jurisdiction of information included in the effective income tax rate rate reconciliation and for income taxes paid. Also, the amendments allow investors to better assess an entity's (i) capital allocation decisions, (ii) worldwide operations, and (iii) related tax risks, tax planning, and operational opportunities that affect the effective income tax rate and prospects for future cash flows. The other amendments in this update improve the effectiveness and comparability of disclosures relating to pretax income (or loss) and income tax expense (or benefit) and remove disclosures that are no longer considered cost beneficial or relevant. ASU 2023-09 is effective for public entities starting in annual periods beginning after December 15, 2024 (i.e., our fiscal 2026 annual report). Early adoption is permitted. The company expects that the adoption ASU 2023-09 will not have an impact on our results of operations and financial condition, but will have a material impact on the disclosures required in the notes to the consolidated financial statements, which are disclosed in Note 14.</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Allowance for Doubtful Accounts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activity in the allowance for doubtful accounts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3"/>
          </w:tcPr>
          <w:p>
            <w:pPr>
              <w:jc w:val="right"/>
              <w:ind w:right="107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23"/>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January 28, 2024</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January 29, 2023</w:t>
            </w: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342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292</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bad debts</w:t>
            </w:r>
          </w:p>
        </w:tc>
        <w:tc>
          <w:tcPr>
            <w:tcW w:w="180" w:type="dxa"/>
            <w:vAlign w:val="bottom"/>
          </w:tcPr>
          <w:p>
            <w:pPr>
              <w:spacing w:after="0"/>
              <w:rPr>
                <w:sz w:val="19"/>
                <w:szCs w:val="19"/>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349</w:t>
            </w:r>
          </w:p>
        </w:tc>
        <w:tc>
          <w:tcPr>
            <w:tcW w:w="26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r>
      <w:tr>
        <w:trPr>
          <w:trHeight w:val="233"/>
        </w:trPr>
        <w:tc>
          <w:tcPr>
            <w:tcW w:w="77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Write-offs, net of recoveries</w:t>
            </w:r>
          </w:p>
        </w:tc>
        <w:tc>
          <w:tcPr>
            <w:tcW w:w="18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(30 )</w:t>
            </w:r>
          </w:p>
        </w:tc>
        <w:tc>
          <w:tcPr>
            <w:tcW w:w="26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23"/>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661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253</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050" w:gutter="0" w:footer="0" w:header="0"/>
        </w:sectPr>
      </w:pPr>
    </w:p>
    <w:bookmarkStart w:id="10" w:name="page11"/>
    <w:bookmarkEnd w:id="10"/>
    <w:p>
      <w:pPr>
        <w:jc w:val="both"/>
        <w:spacing w:after="0" w:line="246" w:lineRule="auto"/>
        <w:rPr>
          <w:sz w:val="20"/>
          <w:szCs w:val="20"/>
          <w:color w:val="auto"/>
        </w:rPr>
      </w:pPr>
      <w:r>
        <w:rPr>
          <w:rFonts w:ascii="Times New Roman" w:cs="Times New Roman" w:eastAsia="Times New Roman" w:hAnsi="Times New Roman"/>
          <w:sz w:val="20"/>
          <w:szCs w:val="20"/>
          <w:color w:val="auto"/>
        </w:rPr>
        <w:t>During the nine-month periods ended January 28, 2024, and January 29, 2023, we assessed the credit risk of our customers within our accounts receivable portfolio. Our risk assessment includes the respective customers’ (i) financial position; (ii) past payment history; (iii) management’s general ability; and (iv) historical loss experience; as well as (v) any other ongoing economic conditions. After our risk assessment was completed, we assigned credit grades to our customers, which in turn, were used to determine our allowance for doubtful accounts totaling $661,000 and $253,000 as of January 28, 2024, and January 29, 2023, respectively.</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Revenue from Contracts with Customers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Nature of Performance Obligations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In addition, the upholstery fabrics segment includes Read Window Products LLC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primary performance obligations include the sale of mattress fabrics and upholstery fabrics, as well as the performance of customized fabrication and installation services for Read’s products associated with window treatments.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 Assets &amp; Liabilities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Certain contracts, primarily those for customized fabrication and installation services associated with Read, require upfront customer deposits that result in a contract liability which is recorded in the Consolidated Balance Sheets as deferred revenue. Our terms are customary within the industries in which we operate and are not considered financing arrangements. There were no contract assets recognized as of January 28, 2024, January 29, 2023, or April 30,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activity associated with deferred revenue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40" w:type="dxa"/>
            <w:vAlign w:val="bottom"/>
            <w:tcBorders>
              <w:top w:val="single" w:sz="8" w:color="auto"/>
            </w:tcBorders>
          </w:tcPr>
          <w:p>
            <w:pPr>
              <w:spacing w:after="0"/>
              <w:rPr>
                <w:sz w:val="19"/>
                <w:szCs w:val="19"/>
                <w:color w:val="auto"/>
              </w:rPr>
            </w:pPr>
          </w:p>
        </w:tc>
        <w:tc>
          <w:tcPr>
            <w:tcW w:w="246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gridSpan w:val="3"/>
          </w:tcPr>
          <w:p>
            <w:pPr>
              <w:jc w:val="right"/>
              <w:ind w:right="109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42"/>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4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January 28, 2024</w:t>
            </w: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January 29, 2023</w:t>
            </w:r>
          </w:p>
        </w:tc>
      </w:tr>
      <w:tr>
        <w:trPr>
          <w:trHeight w:val="230"/>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1,192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520</w:t>
            </w:r>
          </w:p>
        </w:tc>
      </w:tr>
      <w:tr>
        <w:trPr>
          <w:trHeight w:val="220"/>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recognized on contract liabilities</w:t>
            </w:r>
          </w:p>
        </w:tc>
        <w:tc>
          <w:tcPr>
            <w:tcW w:w="246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(2,893 )</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(3,496 )</w:t>
            </w:r>
          </w:p>
        </w:tc>
      </w:tr>
      <w:tr>
        <w:trPr>
          <w:trHeight w:val="233"/>
        </w:trPr>
        <w:tc>
          <w:tcPr>
            <w:tcW w:w="54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 received for services not yet rendered</w:t>
            </w:r>
          </w:p>
        </w:tc>
        <w:tc>
          <w:tcPr>
            <w:tcW w:w="246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3,499</w:t>
            </w:r>
          </w:p>
        </w:tc>
        <w:tc>
          <w:tcPr>
            <w:tcW w:w="26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4,406</w:t>
            </w:r>
          </w:p>
        </w:tc>
      </w:tr>
      <w:tr>
        <w:trPr>
          <w:trHeight w:val="22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1,798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1,430</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Disaggregation of Revenue</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ending January 28,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6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Mattress</w:t>
            </w: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Upholstery</w:t>
            </w: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42"/>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Fabrics</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Fabrics</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Total</w:t>
            </w:r>
          </w:p>
        </w:tc>
      </w:tr>
      <w:tr>
        <w:trPr>
          <w:trHeight w:val="22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30,021</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28,604</w:t>
            </w:r>
          </w:p>
        </w:tc>
        <w:tc>
          <w:tcPr>
            <w:tcW w:w="4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58,625</w:t>
            </w:r>
          </w:p>
        </w:tc>
      </w:tr>
      <w:tr>
        <w:trPr>
          <w:trHeight w:val="22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1,793</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1,793</w:t>
            </w:r>
          </w:p>
        </w:tc>
      </w:tr>
      <w:tr>
        <w:trPr>
          <w:trHeight w:val="223"/>
        </w:trPr>
        <w:tc>
          <w:tcPr>
            <w:tcW w:w="4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30,021</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30,397</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60,418</w:t>
            </w:r>
          </w:p>
        </w:tc>
      </w:tr>
    </w:tbl>
    <w:p>
      <w:pPr>
        <w:spacing w:after="0" w:line="3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ending January 29, 2023:</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6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Mattress</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Upholstery</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2"/>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Fabrics</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Fabrics</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21"/>
                <w:szCs w:val="21"/>
                <w:color w:val="auto"/>
              </w:rPr>
            </w:pPr>
          </w:p>
        </w:tc>
      </w:tr>
      <w:tr>
        <w:trPr>
          <w:trHeight w:val="230"/>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24,697</w:t>
            </w:r>
          </w:p>
        </w:tc>
        <w:tc>
          <w:tcPr>
            <w:tcW w:w="4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25,575</w:t>
            </w:r>
          </w:p>
        </w:tc>
        <w:tc>
          <w:tcPr>
            <w:tcW w:w="5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50,272</w:t>
            </w:r>
          </w:p>
        </w:tc>
        <w:tc>
          <w:tcPr>
            <w:tcW w:w="100" w:type="dxa"/>
            <w:vAlign w:val="bottom"/>
            <w:shd w:val="clear" w:color="auto" w:fill="CFF0FC"/>
          </w:tcPr>
          <w:p>
            <w:pPr>
              <w:spacing w:after="0"/>
              <w:rPr>
                <w:sz w:val="19"/>
                <w:szCs w:val="19"/>
                <w:color w:val="auto"/>
              </w:rPr>
            </w:pPr>
          </w:p>
        </w:tc>
      </w:tr>
      <w:tr>
        <w:trPr>
          <w:trHeight w:val="22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100" w:type="dxa"/>
            <w:vAlign w:val="bottom"/>
          </w:tcPr>
          <w:p>
            <w:pPr>
              <w:spacing w:after="0"/>
              <w:rPr>
                <w:sz w:val="19"/>
                <w:szCs w:val="19"/>
                <w:color w:val="auto"/>
              </w:rPr>
            </w:pPr>
          </w:p>
        </w:tc>
      </w:tr>
      <w:tr>
        <w:trPr>
          <w:trHeight w:val="223"/>
        </w:trPr>
        <w:tc>
          <w:tcPr>
            <w:tcW w:w="4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24,697</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27,826</w:t>
            </w: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52,523</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nine-month period ending January 28, 2024:</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6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Mattress</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Upholstery</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2"/>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Fabrics</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Fabrics</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21"/>
                <w:szCs w:val="21"/>
                <w:color w:val="auto"/>
              </w:rPr>
            </w:pPr>
          </w:p>
        </w:tc>
      </w:tr>
      <w:tr>
        <w:trPr>
          <w:trHeight w:val="22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90,619</w:t>
            </w:r>
          </w:p>
        </w:tc>
        <w:tc>
          <w:tcPr>
            <w:tcW w:w="4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77,572</w:t>
            </w:r>
          </w:p>
        </w:tc>
        <w:tc>
          <w:tcPr>
            <w:tcW w:w="5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168,191</w:t>
            </w:r>
          </w:p>
        </w:tc>
        <w:tc>
          <w:tcPr>
            <w:tcW w:w="100" w:type="dxa"/>
            <w:vAlign w:val="bottom"/>
            <w:shd w:val="clear" w:color="auto" w:fill="CFF0FC"/>
          </w:tcPr>
          <w:p>
            <w:pPr>
              <w:spacing w:after="0"/>
              <w:rPr>
                <w:sz w:val="19"/>
                <w:szCs w:val="19"/>
                <w:color w:val="auto"/>
              </w:rPr>
            </w:pPr>
          </w:p>
        </w:tc>
      </w:tr>
      <w:tr>
        <w:trPr>
          <w:trHeight w:val="22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7,613</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7,613</w:t>
            </w:r>
          </w:p>
        </w:tc>
        <w:tc>
          <w:tcPr>
            <w:tcW w:w="100" w:type="dxa"/>
            <w:vAlign w:val="bottom"/>
          </w:tcPr>
          <w:p>
            <w:pPr>
              <w:spacing w:after="0"/>
              <w:rPr>
                <w:sz w:val="19"/>
                <w:szCs w:val="19"/>
                <w:color w:val="auto"/>
              </w:rPr>
            </w:pPr>
          </w:p>
        </w:tc>
      </w:tr>
      <w:tr>
        <w:trPr>
          <w:trHeight w:val="223"/>
        </w:trPr>
        <w:tc>
          <w:tcPr>
            <w:tcW w:w="4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90,619</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85,185</w:t>
            </w: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175,804</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nine-month period ending January 29, 2023:</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6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Mattress</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Upholstery</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2"/>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Fabrics</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Fabrics</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21"/>
                <w:szCs w:val="21"/>
                <w:color w:val="auto"/>
              </w:rPr>
            </w:pPr>
          </w:p>
        </w:tc>
      </w:tr>
      <w:tr>
        <w:trPr>
          <w:trHeight w:val="22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80,299</w:t>
            </w:r>
          </w:p>
        </w:tc>
        <w:tc>
          <w:tcPr>
            <w:tcW w:w="4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86,981</w:t>
            </w:r>
          </w:p>
        </w:tc>
        <w:tc>
          <w:tcPr>
            <w:tcW w:w="5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167,280</w:t>
            </w:r>
          </w:p>
        </w:tc>
        <w:tc>
          <w:tcPr>
            <w:tcW w:w="100" w:type="dxa"/>
            <w:vAlign w:val="bottom"/>
            <w:shd w:val="clear" w:color="auto" w:fill="CFF0FC"/>
          </w:tcPr>
          <w:p>
            <w:pPr>
              <w:spacing w:after="0"/>
              <w:rPr>
                <w:sz w:val="19"/>
                <w:szCs w:val="19"/>
                <w:color w:val="auto"/>
              </w:rPr>
            </w:pPr>
          </w:p>
        </w:tc>
      </w:tr>
      <w:tr>
        <w:trPr>
          <w:trHeight w:val="22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6,228</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6,228</w:t>
            </w:r>
          </w:p>
        </w:tc>
        <w:tc>
          <w:tcPr>
            <w:tcW w:w="100" w:type="dxa"/>
            <w:vAlign w:val="bottom"/>
          </w:tcPr>
          <w:p>
            <w:pPr>
              <w:spacing w:after="0"/>
              <w:rPr>
                <w:sz w:val="19"/>
                <w:szCs w:val="19"/>
                <w:color w:val="auto"/>
              </w:rPr>
            </w:pPr>
          </w:p>
        </w:tc>
      </w:tr>
      <w:tr>
        <w:trPr>
          <w:trHeight w:val="223"/>
        </w:trPr>
        <w:tc>
          <w:tcPr>
            <w:tcW w:w="4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80,299</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93,209</w:t>
            </w: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173,508</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Inventories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Inventories are carried at the lower of cost or net realizable value. Cost is determined using the FIFO (first-in, first-out) method.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inventories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January 28,</w:t>
            </w: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January 29,</w:t>
            </w: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April 30,</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vMerge w:val="continue"/>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28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8,214</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9,623</w:t>
            </w:r>
          </w:p>
        </w:tc>
        <w:tc>
          <w:tcPr>
            <w:tcW w:w="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7,908</w:t>
            </w:r>
          </w:p>
        </w:tc>
        <w:tc>
          <w:tcPr>
            <w:tcW w:w="0" w:type="dxa"/>
            <w:vAlign w:val="bottom"/>
          </w:tcPr>
          <w:p>
            <w:pPr>
              <w:spacing w:after="0"/>
              <w:rPr>
                <w:sz w:val="1"/>
                <w:szCs w:val="1"/>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28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2,388</w:t>
            </w:r>
          </w:p>
        </w:tc>
        <w:tc>
          <w:tcPr>
            <w:tcW w:w="32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3,164</w:t>
            </w:r>
          </w:p>
        </w:tc>
        <w:tc>
          <w:tcPr>
            <w:tcW w:w="3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2,602</w:t>
            </w:r>
          </w:p>
        </w:tc>
        <w:tc>
          <w:tcPr>
            <w:tcW w:w="0" w:type="dxa"/>
            <w:vAlign w:val="bottom"/>
          </w:tcPr>
          <w:p>
            <w:pPr>
              <w:spacing w:after="0"/>
              <w:rPr>
                <w:sz w:val="1"/>
                <w:szCs w:val="1"/>
                <w:color w:val="auto"/>
              </w:rPr>
            </w:pPr>
          </w:p>
        </w:tc>
      </w:tr>
      <w:tr>
        <w:trPr>
          <w:trHeight w:val="233"/>
        </w:trPr>
        <w:tc>
          <w:tcPr>
            <w:tcW w:w="40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8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36,275</w:t>
            </w:r>
          </w:p>
        </w:tc>
        <w:tc>
          <w:tcPr>
            <w:tcW w:w="3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34,840</w:t>
            </w:r>
          </w:p>
        </w:tc>
        <w:tc>
          <w:tcPr>
            <w:tcW w:w="3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34,570</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46,877</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47,627</w:t>
            </w:r>
          </w:p>
        </w:tc>
        <w:tc>
          <w:tcPr>
            <w:tcW w:w="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45,080</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Measurement of Inventory to Net Realizable Value</w:t>
      </w:r>
    </w:p>
    <w:p>
      <w:pPr>
        <w:spacing w:after="0" w:line="23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recorded a non-cash inventory (credit) charge of $(2.0) million and $6.3 million for the nine months ended January 28, 2024, and January 29, 2023, respectively. The non-cash inventory credit of $(2.0) million for the nine months ended January 28, 2024, represents a credit of $(2.0) million related to adjustments made to our inventory markdown reserve estimated based on our policy for aged inventory for both our mattress and upholstery fabrics segments, partially offset by a charge of $40,000 which represents markdowns of inventory related to the discontinuance of production of cut and sewn upholstery kits at our facility in Ouanaminthe, Haiti. The non-cash inventory charge of $6.3 million for the nine months ended January 29, 2023, represented a $2.9 million charge for the write down of inventory to its net realizable value associated with our mattress fabrics segment, a $3.3 million charge related to markdowns of inventory estimated based on our policy for aged inventory for both our mattress and upholstery fabrics segments, and a $98,000 charge related to the loss on disposal and markdowns of inventory related to the exit of our cut and sew upholstery fabrics operation located in Shanghai, China. Of the $(2.0) million non-cash inventory credit for the first nine months of fiscal 2024, $(1.9) million and $(163,000) pertained to our mattress fabrics and upholstery fabrics segments, respectively. Of the $6.3 million non-cash inventory charge for the first nine months of fiscal 2023, $3.9 million and $2.4 million pertained to our mattress fabrics and upholstery fabrics segments,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20"/>
          <w:szCs w:val="20"/>
          <w:u w:val="single" w:color="auto"/>
          <w:color w:val="auto"/>
        </w:rPr>
        <w:t>attress Fabrics Segment - Net Realizable Value</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During the second quarter of fiscal 2023, our mattress fabrics segment experienced a 35.8% decline in net sales compared with the second quarter of fiscal 2022. This decline in net sales led to a significant decrease in gross margin to (8.7%) (excluding a non-cash inventory charge of $3.8 million recorded during the second quarter of fiscal 2023), as compared with gross margin of 15.0% during the second quarter of fiscal 2022. The significant decline in net sales and profitability during the second quarter of fiscal 2023 stemmed from a greater than anticipated decline in consumer discretionary spending on mattress products, which we believe was driven by the following factors: (i) inflationary effects of commodities such as gas, food, and other necessities; (ii) a significant increase in interest rates; (iii) the pulling forward of demand for home goods products during the early years of the COVID-19</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942" w:gutter="0" w:footer="0" w:header="0"/>
        </w:sectPr>
      </w:pPr>
    </w:p>
    <w:bookmarkStart w:id="12" w:name="page13"/>
    <w:bookmarkEnd w:id="12"/>
    <w:p>
      <w:pPr>
        <w:jc w:val="both"/>
        <w:spacing w:after="0" w:line="249" w:lineRule="auto"/>
        <w:rPr>
          <w:sz w:val="20"/>
          <w:szCs w:val="20"/>
          <w:color w:val="auto"/>
        </w:rPr>
      </w:pPr>
      <w:r>
        <w:rPr>
          <w:rFonts w:ascii="Times New Roman" w:cs="Times New Roman" w:eastAsia="Times New Roman" w:hAnsi="Times New Roman"/>
          <w:sz w:val="20"/>
          <w:szCs w:val="20"/>
          <w:color w:val="auto"/>
        </w:rPr>
        <w:t>pandemic, which demand then shifted to travel, leisure, and other services; and (iv) excess inventory held by customers due to the decline in consumer demand. Based on this evidence, management conducted a thorough review of its mattress fabrics inventory and, as a result, recorded a charge of $2.9 million within cost of sales to write down inventory to its net realizable value. This $2.9 million charge was based on management's best estimates of product sales prices, customer demand trends, and its plans to transition to new products.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Assessment</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January 28, 2024, we reviewed our mattress fabrics and upholstery fabrics inventories to determine if any additional write-downs, in excess of the amount recorded based on our policy for aged inventory, were necessary. Based on our assessment, no additional write-downs of inventories to their net realizable value were recorded for the three months and nine months ended January 28, 2024, other than the markdowns of inventory associated with our upholstery fabrics segment restructuring activity described more fully in Note 9 of the consolidated financial statements.</w:t>
      </w:r>
    </w:p>
    <w:p>
      <w:pPr>
        <w:spacing w:after="0" w:line="19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Based on current unfavorable macroeconomic conditions, it is possible that estimates used by management to determine the write down of inventory to its net realizable value could be materially different the actual amounts or results. These differences could result in higher than expected markdowns of inventory, which could adversely affect the company’s results of operations and financial condition in the near term.</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Intangible Assets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intangible assets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5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January 28,</w:t>
            </w: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January 29,</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April 30,</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auto"/>
            </w:tcBorders>
            <w:vMerge w:val="continue"/>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Tradename</w:t>
            </w:r>
          </w:p>
        </w:tc>
        <w:tc>
          <w:tcPr>
            <w:tcW w:w="25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540</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540</w:t>
            </w:r>
          </w:p>
        </w:tc>
        <w:tc>
          <w:tcPr>
            <w:tcW w:w="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2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5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1,110</w:t>
            </w:r>
          </w:p>
        </w:tc>
        <w:tc>
          <w:tcPr>
            <w:tcW w:w="32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1,411</w:t>
            </w:r>
          </w:p>
        </w:tc>
        <w:tc>
          <w:tcPr>
            <w:tcW w:w="3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1,335</w:t>
            </w:r>
          </w:p>
        </w:tc>
        <w:tc>
          <w:tcPr>
            <w:tcW w:w="0" w:type="dxa"/>
            <w:vAlign w:val="bottom"/>
          </w:tcPr>
          <w:p>
            <w:pPr>
              <w:spacing w:after="0"/>
              <w:rPr>
                <w:sz w:val="1"/>
                <w:szCs w:val="1"/>
                <w:color w:val="auto"/>
              </w:rPr>
            </w:pPr>
          </w:p>
        </w:tc>
      </w:tr>
      <w:tr>
        <w:trPr>
          <w:trHeight w:val="233"/>
        </w:trPr>
        <w:tc>
          <w:tcPr>
            <w:tcW w:w="42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Non-compete agreement, net</w:t>
            </w:r>
          </w:p>
        </w:tc>
        <w:tc>
          <w:tcPr>
            <w:tcW w:w="25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320</w:t>
            </w:r>
          </w:p>
        </w:tc>
        <w:tc>
          <w:tcPr>
            <w:tcW w:w="3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395</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1,970</w:t>
            </w:r>
          </w:p>
        </w:tc>
        <w:tc>
          <w:tcPr>
            <w:tcW w:w="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2,346</w:t>
            </w:r>
          </w:p>
        </w:tc>
        <w:tc>
          <w:tcPr>
            <w:tcW w:w="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2,252</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Tradename</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tradename pertains to Read, a separate reporting unit within the upholstery fabrics segment. This tradename was determined to have an indefinite useful life at the time of its acquisition, and therefore is not being amortized. However, we are required to assess this tradename annually or between annual tests if we believe indicators of impairment exist. Based on our assessment as of January 28, 2024, no indicators of impairment existed, and therefore we did not record any asset impairment charges associated with our tradename through the third quarter of fiscal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Customer Relationships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customer relationships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00" w:type="dxa"/>
            <w:vAlign w:val="bottom"/>
            <w:tcBorders>
              <w:top w:val="single" w:sz="8" w:color="auto"/>
              <w:bottom w:val="single" w:sz="8" w:color="auto"/>
            </w:tcBorders>
          </w:tcPr>
          <w:p>
            <w:pPr>
              <w:spacing w:after="0"/>
              <w:rPr>
                <w:sz w:val="20"/>
                <w:szCs w:val="20"/>
                <w:color w:val="auto"/>
              </w:rPr>
            </w:pPr>
          </w:p>
        </w:tc>
        <w:tc>
          <w:tcPr>
            <w:tcW w:w="3300" w:type="dxa"/>
            <w:vAlign w:val="bottom"/>
            <w:tcBorders>
              <w:top w:val="single" w:sz="8" w:color="auto"/>
              <w:bottom w:val="single" w:sz="8" w:color="auto"/>
            </w:tcBorders>
          </w:tcPr>
          <w:p>
            <w:pPr>
              <w:spacing w:after="0"/>
              <w:rPr>
                <w:sz w:val="20"/>
                <w:szCs w:val="20"/>
                <w:color w:val="auto"/>
              </w:rPr>
            </w:pPr>
          </w:p>
        </w:tc>
        <w:tc>
          <w:tcPr>
            <w:tcW w:w="3340" w:type="dxa"/>
            <w:vAlign w:val="bottom"/>
            <w:tcBorders>
              <w:top w:val="single" w:sz="8" w:color="auto"/>
              <w:bottom w:val="single" w:sz="8" w:color="auto"/>
            </w:tcBorders>
            <w:gridSpan w:val="3"/>
          </w:tcPr>
          <w:p>
            <w:pPr>
              <w:jc w:val="right"/>
              <w:ind w:right="109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2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January 28, 2024</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January 29, 2023</w:t>
            </w:r>
          </w:p>
        </w:tc>
      </w:tr>
      <w:tr>
        <w:trPr>
          <w:trHeight w:val="230"/>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1,335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1,636</w:t>
            </w:r>
          </w:p>
        </w:tc>
      </w:tr>
      <w:tr>
        <w:trPr>
          <w:trHeight w:val="22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3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(225 )</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(225 )</w:t>
            </w:r>
          </w:p>
        </w:tc>
      </w:tr>
      <w:tr>
        <w:trPr>
          <w:trHeight w:val="223"/>
        </w:trPr>
        <w:tc>
          <w:tcPr>
            <w:tcW w:w="46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1,110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1,411</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customer relationships are amortized on a straight-line basis over useful lives ranging from nine to seventeen years.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customer relationships was $3.1 million as of January 28, 2024, January 29, 2023, and April 30, 2023, respectively. Accumulated amortization for these customer relationships was $2.0 million, $1.7 million, and $1.8 million as of January 28, 2024, January 29, 2023, and April 30, 2023, respectively.</w:t>
      </w:r>
    </w:p>
    <w:p>
      <w:pPr>
        <w:spacing w:after="0" w:line="14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the next five fiscal years and thereafter are as follows: FY 2024 - $76,000; FY 2025 - $301,000; FY 2026 - $301,000; FY 2027 - $278,000; FY 2028 - $52,000; and thereafter - $102,000.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amortization period for our customer relationships was 4.1 years as of January 28, 2024.</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i w:val="1"/>
          <w:iCs w:val="1"/>
          <w:color w:val="auto"/>
        </w:rPr>
        <w:t>Non-Compete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non-compete agreement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00" w:type="dxa"/>
            <w:vAlign w:val="bottom"/>
            <w:tcBorders>
              <w:top w:val="single" w:sz="8" w:color="auto"/>
              <w:bottom w:val="single" w:sz="8" w:color="auto"/>
            </w:tcBorders>
          </w:tcPr>
          <w:p>
            <w:pPr>
              <w:spacing w:after="0"/>
              <w:rPr>
                <w:sz w:val="20"/>
                <w:szCs w:val="20"/>
                <w:color w:val="auto"/>
              </w:rPr>
            </w:pPr>
          </w:p>
        </w:tc>
        <w:tc>
          <w:tcPr>
            <w:tcW w:w="3300" w:type="dxa"/>
            <w:vAlign w:val="bottom"/>
            <w:tcBorders>
              <w:top w:val="single" w:sz="8" w:color="auto"/>
              <w:bottom w:val="single" w:sz="8" w:color="auto"/>
            </w:tcBorders>
          </w:tcPr>
          <w:p>
            <w:pPr>
              <w:spacing w:after="0"/>
              <w:rPr>
                <w:sz w:val="20"/>
                <w:szCs w:val="20"/>
                <w:color w:val="auto"/>
              </w:rPr>
            </w:pPr>
          </w:p>
        </w:tc>
        <w:tc>
          <w:tcPr>
            <w:tcW w:w="3340" w:type="dxa"/>
            <w:vAlign w:val="bottom"/>
            <w:tcBorders>
              <w:top w:val="single" w:sz="8" w:color="auto"/>
              <w:bottom w:val="single" w:sz="8" w:color="auto"/>
            </w:tcBorders>
            <w:gridSpan w:val="3"/>
          </w:tcPr>
          <w:p>
            <w:pPr>
              <w:jc w:val="right"/>
              <w:ind w:right="109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2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January 28, 2024</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January 29, 2023</w:t>
            </w:r>
          </w:p>
        </w:tc>
      </w:tr>
      <w:tr>
        <w:trPr>
          <w:trHeight w:val="229"/>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377</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452</w:t>
            </w:r>
          </w:p>
        </w:tc>
      </w:tr>
      <w:tr>
        <w:trPr>
          <w:trHeight w:val="22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3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(57 )</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(57 )</w:t>
            </w:r>
          </w:p>
        </w:tc>
      </w:tr>
      <w:tr>
        <w:trPr>
          <w:trHeight w:val="223"/>
        </w:trPr>
        <w:tc>
          <w:tcPr>
            <w:tcW w:w="46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320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395</w:t>
            </w: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non-compete agreement is associated with a prior acquisition by our mattress fabrics segment and is amortized on a straight-line basis over the fifteen-year life of the agreement.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non-compete agreement was $2.0 million as of January 28, 2024, January 29, 2023, and April 30, 2023, respectively. Accumulated amortization for our non-compete agreement was $1.7 million, $1.6 million, and $1.6 million as of January 28, 2024, January 29, 2023, and April 30, 2023, respectively.</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the next five years and thereafter follows: FY 2024 - $19,000; FY 2025 - $76,000; FY 2026 - $76,000; FY 2027 - $76,000; FY 2028 - $73,000.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amortization period for the non-compete agreement was 4.3 years as of January 28,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As of January 28, 2024, management reviewed the long-lived assets associated with our mattress fabrics segment, which consisted of property, plant, and equipment, right of use assets, and finite-lived intangible assets (collectively known as the "Mattress Asset Group"), for impairment, as events and changes in circumstances occurred that indicated the carrying amount of the Mattress Asset Group may not be recoverable. The mattress fabrics segment experienced a significant cumulative operating loss totaling $19.7 million commencing in the second quarter of fiscal 2023, and continuing through the third quarter of fiscal 2024. We believe the significant decline in profitability for the mattress fabrics segment stemmed from a decline in consumer discretionary spending on mattress products, which we believe was driven by the following factors: (i) inflationary effects of commodities such as gas, food, and other necessities; (ii) a significant increase in interest rates; (iii) the pulling forward of demand for home goods products during the early years of the COVID-19 pandemic, which demand has now shifted to travel, leisure, and other services; and (iv) excess inventory held by customers due to the decline in consumer demand.</w:t>
      </w:r>
    </w:p>
    <w:p>
      <w:pPr>
        <w:spacing w:after="0" w:line="1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Based on the above evidence, we were required to determine the recoverability of the Mattress Asset Group, which is classified as held and used, by comparing the carrying amount of the Mattress Asset Group to the sum of the future undiscounted cash flows expected to result from its use and eventual disposition. If the carrying amount of an asset group exceeds its estimated future cash flows, an impairment charge is recognized for the excess of the carrying amount over the sum of the undiscounted future cash flows of the asset group. The carrying amount of the Mattress Asset Group totaled $34.7 million, which relates to property, plant, and equipment of $32.3 million, right of use assets of $1.8 million, customer relationships of $319,000, and a non-compete agreement of $320,000. The total carrying amount of the Mattress Asset Group did not exceed the sum of its future undiscounted cash flows from its use and disposition. As a result, we determined no impairment associated with the Mattress Asset Group existed as of January 28,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Note Receivable</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connection with the restructuring activity of our upholstery fabrics cut and sew operation located in Ouanaminthe, Haiti, effective January 24, 2023, Culp Upholstery Fabrics Haiti, Ltd. (“CUF Haiti”) entered into an agreement to terminate a lease of a facility (“Termination Agreement”). See Note 9 of the consolidated financial statements for further details regarding this restructuring activity.</w:t>
      </w:r>
    </w:p>
    <w:p>
      <w:pPr>
        <w:spacing w:after="0" w:line="18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Pursuant to the terms of the original lease agreement (the “Original Lease”), CUF Haiti was required to pay in advance $2.8 million for the full amount of rent due prior to the commencement of the Original Lease, with the initial lease term set to expire on December 31, 2029. Pursuant to the terms of the Termination Agreement, the Original Lease was formally terminated when CUF Haiti vacated and returned possession of the leased facility to the lessor. After CUF Haiti vacated and returned possession of the leased facility, a third party (the “Lessee”) took possession of this facility, and the Lessee agreed to pay CUF Haiti $2.4 million in the form of a note receivable over a period commencing on April 1, 2023, and ending on December 31, 2029, based on the terms stated in the Termination Agreement. In connection with Termination Agreement, an affiliate of the Lessee has guaranteed payment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4" w:name="page15"/>
    <w:bookmarkEnd w:id="14"/>
    <w:p>
      <w:pPr>
        <w:jc w:val="both"/>
        <w:spacing w:after="0" w:line="269" w:lineRule="auto"/>
        <w:rPr>
          <w:sz w:val="20"/>
          <w:szCs w:val="20"/>
          <w:color w:val="auto"/>
        </w:rPr>
      </w:pPr>
      <w:r>
        <w:rPr>
          <w:rFonts w:ascii="Times New Roman" w:cs="Times New Roman" w:eastAsia="Times New Roman" w:hAnsi="Times New Roman"/>
          <w:sz w:val="20"/>
          <w:szCs w:val="20"/>
          <w:color w:val="auto"/>
        </w:rPr>
        <w:t>in full of all amounts due and payable to CUF Haiti by the Lessee, and CUF Haiti has been fully and unconditionally discharged from all of its remaining obligations under the Original Lease.</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the end of our third quarter of fiscal 2023, the gross carrying amount of the note receivable totaling $2.4 million was recorded at its fair value of $2.0 million, which represented the present value of future discounted cash flows based on the payment amounts and timing of such payments due from the Lessee as stated in the Termination Agreement. Consequently, since the fair value of the note receivable was less than its carrying amount, we recorded a restructuring charge of $434,000 during the third quarter of fiscal 2023 to reduce the note receivable’s carrying amount to its reported fair value.</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used an interest rate of 6.0% to determine the present value of the future discounted cash flows, which was based on significant unobservable inputs and assumptions determined by management such as (i) the credit characteristics of the Lessee and guarantor of the Termination Agreement; (ii) the length of the payment terms as defined in the Termination Agreement; (iii) the payment terms as defined in the Termination Agreement being denominated in USD; and (iv) the fact that the facility is located in, and the Lessee and guarantor conduct business in, Haiti, a foreign country. Since management used significant unobservable inputs and assumptions to determine the fair value of this note receivable, this note receivable was classified as Level 3 within the fair value hierarchy (see Note 11 for further explanation of the fair value hierarchy).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represents the remaining future principal payments as of January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4502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5020" cy="188595"/>
                    </a:xfrm>
                    <a:prstGeom prst="rect">
                      <a:avLst/>
                    </a:prstGeom>
                    <a:noFill/>
                  </pic:spPr>
                </pic:pic>
              </a:graphicData>
            </a:graphic>
          </wp:anchor>
        </w:drawing>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160" w:type="dxa"/>
            <w:vAlign w:val="bottom"/>
            <w:tcBorders>
              <w:top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FF0FC"/>
          </w:tcPr>
          <w:p>
            <w:pPr>
              <w:spacing w:after="0"/>
              <w:rPr>
                <w:sz w:val="21"/>
                <w:szCs w:val="21"/>
                <w:color w:val="auto"/>
              </w:rPr>
            </w:pPr>
          </w:p>
        </w:tc>
      </w:tr>
      <w:tr>
        <w:trPr>
          <w:trHeight w:val="220"/>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9"/>
                <w:szCs w:val="19"/>
                <w:color w:val="auto"/>
              </w:rPr>
            </w:pPr>
          </w:p>
        </w:tc>
      </w:tr>
      <w:tr>
        <w:trPr>
          <w:trHeight w:val="239"/>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FF0FC"/>
          </w:tcPr>
          <w:p>
            <w:pPr>
              <w:spacing w:after="0"/>
              <w:rPr>
                <w:sz w:val="20"/>
                <w:szCs w:val="20"/>
                <w:color w:val="auto"/>
              </w:rPr>
            </w:pPr>
          </w:p>
        </w:tc>
      </w:tr>
      <w:tr>
        <w:trPr>
          <w:trHeight w:val="220"/>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9"/>
                <w:szCs w:val="19"/>
                <w:color w:val="auto"/>
              </w:rPr>
            </w:pPr>
          </w:p>
        </w:tc>
      </w:tr>
      <w:tr>
        <w:trPr>
          <w:trHeight w:val="239"/>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FF0FC"/>
          </w:tcPr>
          <w:p>
            <w:pPr>
              <w:spacing w:after="0"/>
              <w:rPr>
                <w:sz w:val="20"/>
                <w:szCs w:val="20"/>
                <w:color w:val="auto"/>
              </w:rPr>
            </w:pPr>
          </w:p>
        </w:tc>
      </w:tr>
      <w:tr>
        <w:trPr>
          <w:trHeight w:val="223"/>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9"/>
                <w:szCs w:val="19"/>
                <w:color w:val="auto"/>
              </w:rPr>
            </w:pPr>
          </w:p>
        </w:tc>
      </w:tr>
      <w:tr>
        <w:trPr>
          <w:trHeight w:val="230"/>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Undiscounted value of note receivable</w:t>
            </w:r>
          </w:p>
        </w:tc>
        <w:tc>
          <w:tcPr>
            <w:tcW w:w="416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100" w:type="dxa"/>
            <w:vAlign w:val="bottom"/>
            <w:shd w:val="clear" w:color="auto" w:fill="CFF0FC"/>
          </w:tcPr>
          <w:p>
            <w:pPr>
              <w:spacing w:after="0"/>
              <w:rPr>
                <w:sz w:val="19"/>
                <w:szCs w:val="19"/>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unearned interest income</w:t>
            </w:r>
          </w:p>
        </w:tc>
        <w:tc>
          <w:tcPr>
            <w:tcW w:w="4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(340 )</w:t>
            </w:r>
          </w:p>
        </w:tc>
      </w:tr>
      <w:tr>
        <w:trPr>
          <w:trHeight w:val="263"/>
        </w:trPr>
        <w:tc>
          <w:tcPr>
            <w:tcW w:w="59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Present value of note receivable</w:t>
            </w:r>
          </w:p>
        </w:tc>
        <w:tc>
          <w:tcPr>
            <w:tcW w:w="416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January 28, 2024, we believe there is no expected credit loss related to the collectibility of our note receivable, as the Lessee has made all required principal payments stated in the Termination Agreement. We will continue to evaluate the facts and circumstances at the end of each reporting period to determine if an expected credit loss is deemed necessary.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Accrued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accrued expenses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January 28,</w:t>
            </w: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January 29,</w:t>
            </w: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April 30,</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vMerge w:val="continue"/>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 commissions and related benefits</w:t>
            </w:r>
          </w:p>
        </w:tc>
        <w:tc>
          <w:tcPr>
            <w:tcW w:w="1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3,771</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3,571</w:t>
            </w:r>
          </w:p>
        </w:tc>
        <w:tc>
          <w:tcPr>
            <w:tcW w:w="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5,800</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accrued expenses</w:t>
            </w:r>
          </w:p>
        </w:tc>
        <w:tc>
          <w:tcPr>
            <w:tcW w:w="19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3,529</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3,130</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2,733</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7,300</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6,701</w:t>
            </w:r>
          </w:p>
        </w:tc>
        <w:tc>
          <w:tcPr>
            <w:tcW w:w="3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8,533</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Upholstery Fabrics Segment Restructuring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Ouanaminthe, Haiti</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third quarter of fiscal 2023, CUF Haiti entered into an agreement to terminate a lease associated with a facility located in Ouanaminthe, Haiti and, in turn, moved the production of upholstery cut and sewn kits to an existing facility leased by Culp Home Fashions Haiti, Ltd. (“CHF Haiti”) during the fourth quarter of fiscal 2023. Both CUF Haiti and CHF Haiti are indirect wholly-owned subsidiaries of the company. During the first quarter of fiscal 2024, demand for upholstery cut and sewn kits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declined more than previously anticipated, resulting in the strategic action to discontinue the production of upholstery cut and sew kits in Haiti.</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Shanghai, China</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second quarter of fiscal 2023, we closed our cut and sew upholstery fabrics operation located in Shanghai, China, which included the termination of an agreement to lease a building. This strategic action, along with the further use of our Asian supply chain, was taken in order to adjust our operating costs to better align with the declining customer demand for cut and sewn products.</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summarizes our restructuring expense and restructuring related charges from both our restructuring activities noted above for the nine months ending January 28, 2024, and January 29,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Nine Months Ended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43"/>
        </w:trPr>
        <w:tc>
          <w:tcPr>
            <w:tcW w:w="58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January 28, 2024</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January 29, 2023</w:t>
            </w:r>
          </w:p>
        </w:tc>
        <w:tc>
          <w:tcPr>
            <w:tcW w:w="100" w:type="dxa"/>
            <w:vAlign w:val="bottom"/>
          </w:tcPr>
          <w:p>
            <w:pPr>
              <w:spacing w:after="0"/>
              <w:rPr>
                <w:sz w:val="21"/>
                <w:szCs w:val="21"/>
                <w:color w:val="auto"/>
              </w:rPr>
            </w:pPr>
          </w:p>
        </w:tc>
      </w:tr>
      <w:tr>
        <w:trPr>
          <w:trHeight w:val="22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 termination costs</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CFF0FC"/>
          </w:tcPr>
          <w:p>
            <w:pPr>
              <w:spacing w:after="0"/>
              <w:rPr>
                <w:sz w:val="19"/>
                <w:szCs w:val="19"/>
                <w:color w:val="auto"/>
              </w:rPr>
            </w:pPr>
          </w:p>
        </w:tc>
      </w:tr>
      <w:tr>
        <w:trPr>
          <w:trHeight w:val="220"/>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9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Pr>
          <w:p>
            <w:pPr>
              <w:spacing w:after="0"/>
              <w:rPr>
                <w:sz w:val="19"/>
                <w:szCs w:val="19"/>
                <w:color w:val="auto"/>
              </w:rPr>
            </w:pPr>
          </w:p>
        </w:tc>
      </w:tr>
      <w:tr>
        <w:trPr>
          <w:trHeight w:val="23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Impairment loss - leasehold improvements and equipment</w:t>
            </w:r>
          </w:p>
        </w:tc>
        <w:tc>
          <w:tcPr>
            <w:tcW w:w="19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FF0FC"/>
          </w:tcPr>
          <w:p>
            <w:pPr>
              <w:spacing w:after="0"/>
              <w:rPr>
                <w:sz w:val="20"/>
                <w:szCs w:val="20"/>
                <w:color w:val="auto"/>
              </w:rPr>
            </w:pPr>
          </w:p>
        </w:tc>
      </w:tr>
      <w:tr>
        <w:trPr>
          <w:trHeight w:val="220"/>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19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9"/>
                <w:szCs w:val="19"/>
                <w:color w:val="auto"/>
              </w:rPr>
            </w:pPr>
          </w:p>
        </w:tc>
      </w:tr>
      <w:tr>
        <w:trPr>
          <w:trHeight w:val="233"/>
        </w:trPr>
        <w:tc>
          <w:tcPr>
            <w:tcW w:w="58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associated costs</w:t>
            </w:r>
          </w:p>
        </w:tc>
        <w:tc>
          <w:tcPr>
            <w:tcW w:w="19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 (2)</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-162560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780" w:hanging="263"/>
        <w:spacing w:after="0" w:line="261" w:lineRule="auto"/>
        <w:tabs>
          <w:tab w:leader="none" w:pos="7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$472,000, $432,000 and $40,000 were recorded within restructuring expense and cost of sales, respectively, in the Consolidated Statement of Net Loss for the nine-month period ending January 28, 2024.</w:t>
      </w:r>
    </w:p>
    <w:p>
      <w:pPr>
        <w:ind w:left="780" w:hanging="263"/>
        <w:spacing w:after="0" w:line="260" w:lineRule="auto"/>
        <w:tabs>
          <w:tab w:leader="none" w:pos="8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$1.4 million, $1.3 million and $98,000 were recorded within restructuring expense and cost of sales, respectively, in the Consolidated Statement of Net Loss for the nine-month period ending January 29, 2023.</w:t>
      </w:r>
    </w:p>
    <w:p>
      <w:pPr>
        <w:spacing w:after="0" w:line="1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restructuring activity related to the discontinuation of production of upholstery cut and sewn kits located in Haiti was mostly completed as of January 28, 2024. As a result of our strategic decision to discontinue this production, we incurred a cumulative charge of $1.3 million in restructuring expense and restructuring related charges from this start of the restructuring activity during the third quarter of fiscal 2023 through January 28, 2024.</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restructuring activity related to the closure of our cut and sew upholstery fabrics operation located in China was completed during the third quarter of fiscal 2023, and this restructuring activity incurred a cumulative charge of $713,000 in restructuring expense and restructuring related charges.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summarizes the activity in accrued restructuring costs for both our restructuring activities for the nine-month period ending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28, 2024:</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340" w:type="dxa"/>
            <w:vAlign w:val="bottom"/>
            <w:gridSpan w:val="2"/>
          </w:tcPr>
          <w:p>
            <w:pPr>
              <w:jc w:val="center"/>
              <w:ind w:right="640"/>
              <w:spacing w:after="0"/>
              <w:rPr>
                <w:sz w:val="20"/>
                <w:szCs w:val="20"/>
                <w:color w:val="auto"/>
              </w:rPr>
            </w:pPr>
            <w:r>
              <w:rPr>
                <w:rFonts w:ascii="Times New Roman" w:cs="Times New Roman" w:eastAsia="Times New Roman" w:hAnsi="Times New Roman"/>
                <w:sz w:val="16"/>
                <w:szCs w:val="16"/>
                <w:color w:val="auto"/>
              </w:rPr>
              <w:t>Employee</w:t>
            </w:r>
          </w:p>
        </w:tc>
        <w:tc>
          <w:tcPr>
            <w:tcW w:w="6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348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340" w:type="dxa"/>
            <w:vAlign w:val="bottom"/>
            <w:gridSpan w:val="2"/>
          </w:tcPr>
          <w:p>
            <w:pPr>
              <w:jc w:val="center"/>
              <w:ind w:right="640"/>
              <w:spacing w:after="0"/>
              <w:rPr>
                <w:sz w:val="20"/>
                <w:szCs w:val="20"/>
                <w:color w:val="auto"/>
              </w:rPr>
            </w:pPr>
            <w:r>
              <w:rPr>
                <w:rFonts w:ascii="Times New Roman" w:cs="Times New Roman" w:eastAsia="Times New Roman" w:hAnsi="Times New Roman"/>
                <w:sz w:val="16"/>
                <w:szCs w:val="16"/>
                <w:color w:val="auto"/>
                <w:w w:val="98"/>
              </w:rPr>
              <w:t>Termination</w:t>
            </w:r>
          </w:p>
        </w:tc>
        <w:tc>
          <w:tcPr>
            <w:tcW w:w="6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5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center"/>
              <w:ind w:right="459"/>
              <w:spacing w:after="0"/>
              <w:rPr>
                <w:sz w:val="20"/>
                <w:szCs w:val="20"/>
                <w:color w:val="auto"/>
              </w:rPr>
            </w:pPr>
            <w:r>
              <w:rPr>
                <w:rFonts w:ascii="Times New Roman" w:cs="Times New Roman" w:eastAsia="Times New Roman" w:hAnsi="Times New Roman"/>
                <w:sz w:val="16"/>
                <w:szCs w:val="16"/>
                <w:color w:val="auto"/>
              </w:rPr>
              <w:t>Benefits</w:t>
            </w:r>
          </w:p>
        </w:tc>
        <w:tc>
          <w:tcPr>
            <w:tcW w:w="10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ind w:right="113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21"/>
                <w:szCs w:val="21"/>
                <w:color w:val="auto"/>
              </w:rPr>
            </w:pPr>
          </w:p>
        </w:tc>
      </w:tr>
      <w:tr>
        <w:trPr>
          <w:trHeight w:val="230"/>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54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 incurred</w:t>
            </w:r>
          </w:p>
        </w:tc>
        <w:tc>
          <w:tcPr>
            <w:tcW w:w="25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9"/>
                <w:szCs w:val="19"/>
                <w:color w:val="auto"/>
              </w:rPr>
            </w:pPr>
          </w:p>
        </w:tc>
      </w:tr>
      <w:tr>
        <w:trPr>
          <w:trHeight w:val="233"/>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2540" w:type="dxa"/>
            <w:vAlign w:val="bottom"/>
            <w:shd w:val="clear" w:color="auto" w:fill="CFF0FC"/>
          </w:tcPr>
          <w:p>
            <w:pPr>
              <w:spacing w:after="0"/>
              <w:rPr>
                <w:sz w:val="20"/>
                <w:szCs w:val="20"/>
                <w:color w:val="auto"/>
              </w:rPr>
            </w:pPr>
          </w:p>
        </w:tc>
        <w:tc>
          <w:tcPr>
            <w:tcW w:w="2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(103 )</w:t>
            </w:r>
          </w:p>
        </w:tc>
        <w:tc>
          <w:tcPr>
            <w:tcW w:w="660" w:type="dxa"/>
            <w:vAlign w:val="bottom"/>
            <w:shd w:val="clear" w:color="auto" w:fill="CFF0FC"/>
          </w:tcPr>
          <w:p>
            <w:pPr>
              <w:spacing w:after="0"/>
              <w:rPr>
                <w:sz w:val="20"/>
                <w:szCs w:val="20"/>
                <w:color w:val="auto"/>
              </w:rPr>
            </w:pPr>
          </w:p>
        </w:tc>
        <w:tc>
          <w:tcPr>
            <w:tcW w:w="2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(103 )</w:t>
            </w:r>
          </w:p>
        </w:tc>
      </w:tr>
      <w:tr>
        <w:trPr>
          <w:trHeight w:val="223"/>
        </w:trPr>
        <w:tc>
          <w:tcPr>
            <w:tcW w:w="3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5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-162560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summarizes the activity in accrued restructuring costs for both our restructuring activities for the nine-month period ending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29,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480" w:type="dxa"/>
            <w:vAlign w:val="bottom"/>
          </w:tcPr>
          <w:p>
            <w:pPr>
              <w:jc w:val="center"/>
              <w:ind w:left="1579"/>
              <w:spacing w:after="0"/>
              <w:rPr>
                <w:sz w:val="20"/>
                <w:szCs w:val="20"/>
                <w:color w:val="auto"/>
              </w:rPr>
            </w:pPr>
            <w:r>
              <w:rPr>
                <w:rFonts w:ascii="Times New Roman" w:cs="Times New Roman" w:eastAsia="Times New Roman" w:hAnsi="Times New Roman"/>
                <w:sz w:val="16"/>
                <w:szCs w:val="16"/>
                <w:color w:val="auto"/>
              </w:rPr>
              <w:t>Employee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Lease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3540" w:type="dxa"/>
            <w:vAlign w:val="bottom"/>
          </w:tcPr>
          <w:p>
            <w:pPr>
              <w:spacing w:after="0"/>
              <w:rPr>
                <w:sz w:val="23"/>
                <w:szCs w:val="23"/>
                <w:color w:val="auto"/>
              </w:rPr>
            </w:pPr>
          </w:p>
        </w:tc>
        <w:tc>
          <w:tcPr>
            <w:tcW w:w="2480" w:type="dxa"/>
            <w:vAlign w:val="bottom"/>
          </w:tcPr>
          <w:p>
            <w:pPr>
              <w:jc w:val="center"/>
              <w:ind w:left="1559"/>
              <w:spacing w:after="0"/>
              <w:rPr>
                <w:sz w:val="20"/>
                <w:szCs w:val="20"/>
                <w:color w:val="auto"/>
              </w:rPr>
            </w:pPr>
            <w:r>
              <w:rPr>
                <w:rFonts w:ascii="Times New Roman" w:cs="Times New Roman" w:eastAsia="Times New Roman" w:hAnsi="Times New Roman"/>
                <w:sz w:val="16"/>
                <w:szCs w:val="16"/>
                <w:color w:val="auto"/>
              </w:rPr>
              <w:t>Termination</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Termination</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9"/>
              </w:rPr>
              <w:t>Associated</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80" w:type="dxa"/>
            <w:vAlign w:val="bottom"/>
            <w:tcBorders>
              <w:bottom w:val="single" w:sz="8" w:color="auto"/>
            </w:tcBorders>
          </w:tcPr>
          <w:p>
            <w:pPr>
              <w:jc w:val="center"/>
              <w:ind w:left="1579"/>
              <w:spacing w:after="0"/>
              <w:rPr>
                <w:sz w:val="20"/>
                <w:szCs w:val="20"/>
                <w:color w:val="auto"/>
              </w:rPr>
            </w:pPr>
            <w:r>
              <w:rPr>
                <w:rFonts w:ascii="Times New Roman" w:cs="Times New Roman" w:eastAsia="Times New Roman" w:hAnsi="Times New Roman"/>
                <w:sz w:val="16"/>
                <w:szCs w:val="16"/>
                <w:color w:val="auto"/>
              </w:rPr>
              <w:t>Benefits</w:t>
            </w:r>
          </w:p>
        </w:tc>
        <w:tc>
          <w:tcPr>
            <w:tcW w:w="3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Borders>
              <w:bottom w:val="single" w:sz="8" w:color="auto"/>
            </w:tcBorders>
          </w:tcPr>
          <w:p>
            <w:pPr>
              <w:jc w:val="center"/>
              <w:ind w:left="199"/>
              <w:spacing w:after="0"/>
              <w:rPr>
                <w:sz w:val="20"/>
                <w:szCs w:val="20"/>
                <w:color w:val="auto"/>
              </w:rPr>
            </w:pPr>
            <w:r>
              <w:rPr>
                <w:rFonts w:ascii="Times New Roman" w:cs="Times New Roman" w:eastAsia="Times New Roman" w:hAnsi="Times New Roman"/>
                <w:sz w:val="16"/>
                <w:szCs w:val="16"/>
                <w:color w:val="auto"/>
              </w:rPr>
              <w:t>Costs</w:t>
            </w:r>
          </w:p>
        </w:tc>
        <w:tc>
          <w:tcPr>
            <w:tcW w:w="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Costs</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21"/>
                <w:szCs w:val="21"/>
                <w:color w:val="auto"/>
              </w:rPr>
            </w:pPr>
          </w:p>
        </w:tc>
      </w:tr>
      <w:tr>
        <w:trPr>
          <w:trHeight w:val="229"/>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480" w:type="dxa"/>
            <w:vAlign w:val="bottom"/>
            <w:shd w:val="clear" w:color="auto" w:fill="CFF0FC"/>
          </w:tcPr>
          <w:p>
            <w:pPr>
              <w:jc w:val="right"/>
              <w:ind w:right="99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103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Accrual established in fiscal 2023</w:t>
            </w:r>
          </w:p>
        </w:tc>
        <w:tc>
          <w:tcPr>
            <w:tcW w:w="24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Pr>
          <w:p>
            <w:pPr>
              <w:spacing w:after="0"/>
              <w:rPr>
                <w:sz w:val="19"/>
                <w:szCs w:val="19"/>
                <w:color w:val="auto"/>
              </w:rPr>
            </w:pPr>
          </w:p>
        </w:tc>
      </w:tr>
      <w:tr>
        <w:trPr>
          <w:trHeight w:val="239"/>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Expenses incurred</w:t>
            </w:r>
          </w:p>
        </w:tc>
        <w:tc>
          <w:tcPr>
            <w:tcW w:w="248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20"/>
                <w:szCs w:val="20"/>
                <w:color w:val="auto"/>
              </w:rPr>
            </w:pP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24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8"/>
              </w:rPr>
              <w:t>(468 )</w:t>
            </w:r>
          </w:p>
        </w:tc>
        <w:tc>
          <w:tcPr>
            <w:tcW w:w="120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(47 )</w:t>
            </w:r>
          </w:p>
        </w:tc>
        <w:tc>
          <w:tcPr>
            <w:tcW w:w="2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(20 )</w:t>
            </w:r>
          </w:p>
        </w:tc>
        <w:tc>
          <w:tcPr>
            <w:tcW w:w="3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(535 )</w:t>
            </w:r>
          </w:p>
        </w:tc>
      </w:tr>
      <w:tr>
        <w:trPr>
          <w:trHeight w:val="223"/>
        </w:trPr>
        <w:tc>
          <w:tcPr>
            <w:tcW w:w="35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480" w:type="dxa"/>
            <w:vAlign w:val="bottom"/>
            <w:tcBorders>
              <w:top w:val="single" w:sz="8" w:color="auto"/>
              <w:bottom w:val="single" w:sz="8" w:color="auto"/>
            </w:tcBorders>
            <w:shd w:val="clear" w:color="auto" w:fill="CFF0FC"/>
          </w:tcPr>
          <w:p>
            <w:pPr>
              <w:jc w:val="right"/>
              <w:ind w:right="9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ind w:right="103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-8255</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996"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10. Lines of Credit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Agreement – United States</w:t>
      </w:r>
    </w:p>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January 19, 2023, Culp, Inc., as borrower (the “company”), and Read, as guarantor (the “Guarantor”), entered into a Second Amended and Restated Credit Agreement (the “ABL Credit Agreement”), by and among the company, the Guarantor and Wells Fargo Bank, National Association, as the lender (the “Lender”), to establish an asset-based revolving credit facility (the “ABL Facility”). The proceeds from the ABL Facility may be used to pay fees and expenses related to the ABL Facility and will provide funding for ongoing working capital and general corporate purposes. The ABL Credit Agreement amends, restates and supersedes, and serves as a replacement for, the Amended and Restated Credit Agreement (the “Amended Agreement”), dated as of June 24, 2022, and the First Amendment to the Amended Agreement dated as of August 19, 2022, as amended, by and between the company and the Lender.</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ABL Facility may be used for revolving credit loans and letters of credit from time to time up to a maximum principal amount of $35.0 million, subject to the limitations described below. The ABL Facility contains a sub-facility that allows the company to issue letters of credit in an aggregate amount not to exceed $1 million. The amount available under the ABL Facility is limited by a borrowing base consisting of certain eligible accounts receivable and inventory, reduced by specified reserves, as follows:</w:t>
      </w:r>
    </w:p>
    <w:p>
      <w:pPr>
        <w:spacing w:after="0" w:line="72"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85% of eligible accounts receivable, plus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least of:</w:t>
      </w:r>
    </w:p>
    <w:p>
      <w:pPr>
        <w:spacing w:after="0" w:line="107" w:lineRule="exact"/>
        <w:rPr>
          <w:rFonts w:ascii="Times New Roman" w:cs="Times New Roman" w:eastAsia="Times New Roman" w:hAnsi="Times New Roman"/>
          <w:sz w:val="20"/>
          <w:szCs w:val="20"/>
          <w:color w:val="auto"/>
        </w:rPr>
      </w:pPr>
    </w:p>
    <w:p>
      <w:pPr>
        <w:ind w:left="10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9"/>
          <w:szCs w:val="19"/>
          <w:color w:val="auto"/>
        </w:rPr>
        <w:t>the sum of:</w:t>
      </w:r>
    </w:p>
    <w:p>
      <w:pPr>
        <w:spacing w:after="0" w:line="107" w:lineRule="exact"/>
        <w:rPr>
          <w:rFonts w:ascii="Times New Roman" w:cs="Times New Roman" w:eastAsia="Times New Roman" w:hAnsi="Times New Roman"/>
          <w:sz w:val="20"/>
          <w:szCs w:val="20"/>
          <w:color w:val="auto"/>
        </w:rPr>
      </w:pPr>
    </w:p>
    <w:p>
      <w:pPr>
        <w:ind w:left="2040" w:hanging="505"/>
        <w:spacing w:after="0" w:line="269" w:lineRule="auto"/>
        <w:tabs>
          <w:tab w:leader="none" w:pos="20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lesser of (i) 65% of eligible inventory valued at cost based on a first-in first-out basis (net of intercompany profits) and (ii) 85% of the net-orderly-liquidation value percentage of eligible inventory, plus</w:t>
      </w:r>
    </w:p>
    <w:p>
      <w:pPr>
        <w:spacing w:after="0" w:line="51" w:lineRule="exact"/>
        <w:rPr>
          <w:rFonts w:ascii="Times New Roman" w:cs="Times New Roman" w:eastAsia="Times New Roman" w:hAnsi="Times New Roman"/>
          <w:sz w:val="20"/>
          <w:szCs w:val="20"/>
          <w:color w:val="auto"/>
        </w:rPr>
      </w:pPr>
    </w:p>
    <w:p>
      <w:pPr>
        <w:jc w:val="both"/>
        <w:ind w:left="2040" w:hanging="505"/>
        <w:spacing w:after="0" w:line="254" w:lineRule="auto"/>
        <w:tabs>
          <w:tab w:leader="none" w:pos="20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least of (i) 65% of eligible in-transit inventory valued at cost based on a first-in first-out basis (net of intercompany profits), (ii) 85% of the net-orderly-liquidation value percentage of eligible in-transit inventory, and (iii) $5.0 million, plus</w:t>
      </w:r>
    </w:p>
    <w:p>
      <w:pPr>
        <w:spacing w:after="0" w:line="66" w:lineRule="exact"/>
        <w:rPr>
          <w:rFonts w:ascii="Times New Roman" w:cs="Times New Roman" w:eastAsia="Times New Roman" w:hAnsi="Times New Roman"/>
          <w:sz w:val="20"/>
          <w:szCs w:val="20"/>
          <w:color w:val="auto"/>
        </w:rPr>
      </w:pPr>
    </w:p>
    <w:p>
      <w:pPr>
        <w:jc w:val="both"/>
        <w:ind w:left="2040" w:hanging="505"/>
        <w:spacing w:after="0" w:line="254" w:lineRule="auto"/>
        <w:tabs>
          <w:tab w:leader="none" w:pos="20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lesser of (i) 65% of eligible raw material inventory valued at cost based on a first-in first-out basis (net of intercompany profits) and (ii) 85% of the net-orderly-liquidation value percentage of eligible raw material inventory</w:t>
      </w:r>
    </w:p>
    <w:p>
      <w:pPr>
        <w:spacing w:after="0" w:line="188" w:lineRule="exact"/>
        <w:rPr>
          <w:sz w:val="20"/>
          <w:szCs w:val="20"/>
          <w:color w:val="auto"/>
        </w:rPr>
      </w:pPr>
    </w:p>
    <w:p>
      <w:pPr>
        <w:jc w:val="both"/>
        <w:ind w:left="1540"/>
        <w:spacing w:after="0" w:line="254" w:lineRule="auto"/>
        <w:rPr>
          <w:sz w:val="20"/>
          <w:szCs w:val="20"/>
          <w:color w:val="auto"/>
        </w:rPr>
      </w:pPr>
      <w:r>
        <w:rPr>
          <w:rFonts w:ascii="Times New Roman" w:cs="Times New Roman" w:eastAsia="Times New Roman" w:hAnsi="Times New Roman"/>
          <w:sz w:val="20"/>
          <w:szCs w:val="20"/>
          <w:color w:val="auto"/>
        </w:rPr>
        <w:t>In each case, the net-orderly-liquidation value is calculated based on the lower of (i) a first-in first-out basis and (ii) market value, and is (A) net of intercompany profits, (B) net of write-ups and write-downs in value with respect to foreign currency exchange rates and (C) consistent with most recent appraisals received and acceptable to Lender.</w:t>
      </w:r>
    </w:p>
    <w:p>
      <w:pPr>
        <w:spacing w:after="0" w:line="66" w:lineRule="exact"/>
        <w:rPr>
          <w:sz w:val="20"/>
          <w:szCs w:val="20"/>
          <w:color w:val="auto"/>
        </w:rPr>
      </w:pPr>
    </w:p>
    <w:p>
      <w:pPr>
        <w:ind w:left="1540" w:hanging="514"/>
        <w:spacing w:after="0"/>
        <w:tabs>
          <w:tab w:leader="none" w:pos="15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$22.5 million; and</w:t>
      </w:r>
    </w:p>
    <w:p>
      <w:pPr>
        <w:spacing w:after="0" w:line="107" w:lineRule="exact"/>
        <w:rPr>
          <w:rFonts w:ascii="Times New Roman" w:cs="Times New Roman" w:eastAsia="Times New Roman" w:hAnsi="Times New Roman"/>
          <w:sz w:val="20"/>
          <w:szCs w:val="20"/>
          <w:color w:val="auto"/>
        </w:rPr>
      </w:pPr>
    </w:p>
    <w:p>
      <w:pPr>
        <w:ind w:left="1540" w:hanging="514"/>
        <w:spacing w:after="0"/>
        <w:tabs>
          <w:tab w:leader="none" w:pos="15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200% of eligible accounts receivable,</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minus</w:t>
      </w:r>
    </w:p>
    <w:p>
      <w:pPr>
        <w:spacing w:after="0" w:line="108"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 reserves.</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ABL Facility permits both base rate borrowings and borrowings based upon daily simple SOFR (the secured overnight financing rate administered by the Federal Reserve Bank of New York (or its successor)). Borrowings under the ABL Facility bear interest at an annual rate equal to daily simple SOFR plus 150 basis points (if the average monthly excess availability under the ABL Facility is greater than 50%) or 175 basis points (if the average monthly excess availability under the ABL Facility is less than or equal to 50%) or 50 basis points above base rate (if the average monthly excess availability under the ABL Facility is greater than 50%) or 75 basis points above base rate (if the average monthly excess availability under the ABL Facility is less than or equal to 50%), as applicable, with a fee on unutilized commitments at an annual rate of 37.5 basis points and an annual servicing fee of $12,000.</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7" w:name="page18"/>
    <w:bookmarkEnd w:id="17"/>
    <w:p>
      <w:pPr>
        <w:jc w:val="both"/>
        <w:spacing w:after="0" w:line="249" w:lineRule="auto"/>
        <w:rPr>
          <w:sz w:val="20"/>
          <w:szCs w:val="20"/>
          <w:color w:val="auto"/>
        </w:rPr>
      </w:pPr>
      <w:r>
        <w:rPr>
          <w:rFonts w:ascii="Times New Roman" w:cs="Times New Roman" w:eastAsia="Times New Roman" w:hAnsi="Times New Roman"/>
          <w:sz w:val="20"/>
          <w:szCs w:val="20"/>
          <w:color w:val="auto"/>
        </w:rPr>
        <w:t>The ABL Facility matures on January 19, 2026. The ABL Facility may be prepaid from time to time, in whole or in part, without a prepayment penalty or premium. In addition, customary mandatory prepayments of the loans under the ABL Facility are required upon the occurrence of certain events including, without limitation, outstanding borrowing exposures exceeding the borrowing base and certain dispositions of assets outside of the ordinary course of business. Accrued interest is payable monthly in arrears.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company’s obligations under the ABL Facility (and certain related obligations) are (a) guaranteed by the Guarantor and each of the company’s future domestic subsidiaries is required to guarantee the ABL Facility on a senior secured basis (such guarantors and the company, the “Loan Parties”) and (b) secured by all assets of the Loan Parties, subject to certain exceptions. The liens and other security interests granted by the Loan Parties on the collateral for the benefit of the Lender under the ABL Facility are, subject to certain permitted liens, first-priority.</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auto"/>
        </w:rPr>
        <w:t>Cash Dominion</w:t>
      </w:r>
      <w:r>
        <w:rPr>
          <w:rFonts w:ascii="Times New Roman" w:cs="Times New Roman" w:eastAsia="Times New Roman" w:hAnsi="Times New Roman"/>
          <w:sz w:val="20"/>
          <w:szCs w:val="20"/>
          <w:color w:val="auto"/>
        </w:rPr>
        <w:t>. Under the terms of the ABL Facility, if (i) an event of default has occurred or (ii) excess borrowing availability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ABL Facility (based on the lesser of $35.0 million and the borrowing base) (the “Excess Availability”) falls below $7.0 million at such time, the Loan Parties will become subject to cash dominion, which will require prepayment of loans under the ABL Facility with the cash deposited in certain deposit accounts of the Loan Parties, including a concentration account, and will restrict the Loan Parties’ ability to transfer cash from their concentration account. Such cash dominion period (a “Dominion Period”) shall end when Excess Availability shall be equal to or greater than $7.0 million for a period of 60 consecutive days and no event of default is continuing.</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Financial Covenants</w:t>
      </w:r>
      <w:r>
        <w:rPr>
          <w:rFonts w:ascii="Times New Roman" w:cs="Times New Roman" w:eastAsia="Times New Roman" w:hAnsi="Times New Roman"/>
          <w:sz w:val="20"/>
          <w:szCs w:val="20"/>
          <w:color w:val="auto"/>
        </w:rPr>
        <w:t>. The ABL Facility contains a springing covenant requiring that the company’s fixed charge coverage ratio be no less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than 1.10 to 1.00 during any period that (i) an event of default has occurred or (ii) Excess Availability under the ABL Facility falls below $5.25 million at such time. Such compliance period shall end when Excess Availability shall be equal to or greater than $5.25 million for a period of 60 consecutive days and no event of default is continuing.</w:t>
      </w:r>
    </w:p>
    <w:p>
      <w:pPr>
        <w:spacing w:after="0" w:line="18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i w:val="1"/>
          <w:iCs w:val="1"/>
          <w:color w:val="auto"/>
        </w:rPr>
        <w:t>Affirmative and Restrictive Covenants</w:t>
      </w:r>
      <w:r>
        <w:rPr>
          <w:rFonts w:ascii="Times New Roman" w:cs="Times New Roman" w:eastAsia="Times New Roman" w:hAnsi="Times New Roman"/>
          <w:sz w:val="20"/>
          <w:szCs w:val="20"/>
          <w:color w:val="auto"/>
        </w:rPr>
        <w:t>. The ABL Credit Agreement governing the ABL Facility contains customary representations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warranties, affirmative and negative covenants (subject, in each case, to exceptions and qualifications), and events of defaults, including covenants that limit the company’s ability to, among other things:</w:t>
      </w:r>
    </w:p>
    <w:p>
      <w:pPr>
        <w:spacing w:after="0" w:line="65"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additional indebtedness;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investments;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dividends and make other restricted payments;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certain assets;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liens;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 merge, sell or otherwise dispose of all or substantially all of the company’s assets; and</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transactions with affiliates.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Overall</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Effective January 19, 2023, interest was charged under the ABL Credit Agreement at a rate (applicable interest rate of 6.81%, 5.81%, and 6.30% as of January 28, 2024, January 29, 2023, and April 30, 2023, respectively) calculated using the Applicable Margin over SOFR based on the company’s excess availability under the ABL Facility, as defined in the ABL</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were $535,000, $275,000, and $275,000 of outstanding letters of credit provided by the ABL Credit Agreement as of January 28, 2024, January 29, 2023, and April 30, 2023, respectively. As of January 28, 2024, we had $465,000 remaining for the issuance of additional letters of credit under the ABL Credit Agreement.</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were no borrowings outstanding under the ABL Credit Agreement as of January 28, 2024, January 29, 2023, or April 30, 2023, respectively.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color w:val="auto"/>
        </w:rPr>
        <w:t>As of January 28, 2024, our available borrowings calculated under the provisions of the ABL Credit Agreement totaled $26.2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Agreement – China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Denominated in Chinese Yuan Renminbi (“RMB”)</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have an unsecured credit agreement denominated in RMB with a bank located in China that provides for a line of credit of up to 35 million RMB ($4.9 million USD as of January 28, 2024). Interest charged under this agreement is based on an interest rate determined by the Chinese government at the time of borrowing. This agreement is set to expire on October 24, 2024. Our borrowing capacity of 35 million RMB is restricted to certain consolidated net sales and consolidated profitability requirements as defined in the agreement. These requirements relate to our total consolidated Culp Inc. entity as a whole. Currently, Culp Inc. does not meet the consolidated net sales and consolidated profitability requirements set forth in the agreement; and therefore, we cannot borrow under this agreement.</w:t>
      </w:r>
    </w:p>
    <w:p>
      <w:pPr>
        <w:spacing w:after="0" w:line="157" w:lineRule="exact"/>
        <w:rPr>
          <w:sz w:val="20"/>
          <w:szCs w:val="20"/>
          <w:color w:val="auto"/>
        </w:rPr>
      </w:pPr>
    </w:p>
    <w:p>
      <w:pPr>
        <w:ind w:right="600"/>
        <w:spacing w:after="0" w:line="422" w:lineRule="auto"/>
        <w:rPr>
          <w:sz w:val="20"/>
          <w:szCs w:val="20"/>
          <w:color w:val="auto"/>
        </w:rPr>
      </w:pPr>
      <w:r>
        <w:rPr>
          <w:rFonts w:ascii="Times New Roman" w:cs="Times New Roman" w:eastAsia="Times New Roman" w:hAnsi="Times New Roman"/>
          <w:sz w:val="20"/>
          <w:szCs w:val="20"/>
          <w:color w:val="auto"/>
        </w:rPr>
        <w:t xml:space="preserve">There were no borrowings outstanding under this agreement as of January 28, 2024, January 29, 2023, or April 30, 2023, respectively. </w:t>
      </w:r>
      <w:r>
        <w:rPr>
          <w:rFonts w:ascii="Times New Roman" w:cs="Times New Roman" w:eastAsia="Times New Roman" w:hAnsi="Times New Roman"/>
          <w:sz w:val="20"/>
          <w:szCs w:val="20"/>
          <w:i w:val="1"/>
          <w:iCs w:val="1"/>
          <w:color w:val="auto"/>
        </w:rPr>
        <w:t>Overall</w:t>
      </w:r>
    </w:p>
    <w:p>
      <w:pPr>
        <w:spacing w:after="0" w:line="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loan agreements require, among other things, that we maintain compliance with certain financial covenants. As of January 28, 2024, we complied with our financial covenants.</w:t>
      </w:r>
    </w:p>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No interest payments were made during the first nine months of fiscal 2024. Interest paid during the first nine months of fiscal 2023 totaled $8,000.</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Fair Value</w:t>
      </w:r>
    </w:p>
    <w:p>
      <w:pPr>
        <w:spacing w:after="0" w:line="1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Accounting Standard Codification ("ASC") Topic 820, </w:t>
      </w:r>
      <w:r>
        <w:rPr>
          <w:rFonts w:ascii="Times New Roman" w:cs="Times New Roman" w:eastAsia="Times New Roman" w:hAnsi="Times New Roman"/>
          <w:sz w:val="20"/>
          <w:szCs w:val="20"/>
          <w:i w:val="1"/>
          <w:iCs w:val="1"/>
          <w:color w:val="auto"/>
        </w:rPr>
        <w:t>Fair Value Measurement</w:t>
      </w:r>
      <w:r>
        <w:rPr>
          <w:rFonts w:ascii="Times New Roman" w:cs="Times New Roman" w:eastAsia="Times New Roman" w:hAnsi="Times New Roman"/>
          <w:sz w:val="20"/>
          <w:szCs w:val="20"/>
          <w:color w:val="auto"/>
        </w:rPr>
        <w:t xml:space="preserve">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in a lower level in the hierarchy.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hierarchy consists of three broad levels as follows:</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Level 1 – Quoted market prices in active markets for identical assets or liabilities;</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Level 2 – Inputs other than level 1 inputs that are either directly or indirectly observable; and</w:t>
      </w:r>
    </w:p>
    <w:p>
      <w:pPr>
        <w:spacing w:after="0" w:line="189" w:lineRule="exact"/>
        <w:rPr>
          <w:sz w:val="20"/>
          <w:szCs w:val="20"/>
          <w:color w:val="auto"/>
        </w:rPr>
      </w:pPr>
    </w:p>
    <w:p>
      <w:pPr>
        <w:ind w:left="360" w:right="20"/>
        <w:spacing w:after="0" w:line="269" w:lineRule="auto"/>
        <w:rPr>
          <w:sz w:val="20"/>
          <w:szCs w:val="20"/>
          <w:color w:val="auto"/>
        </w:rPr>
      </w:pPr>
      <w:r>
        <w:rPr>
          <w:rFonts w:ascii="Times New Roman" w:cs="Times New Roman" w:eastAsia="Times New Roman" w:hAnsi="Times New Roman"/>
          <w:sz w:val="20"/>
          <w:szCs w:val="20"/>
          <w:color w:val="auto"/>
        </w:rPr>
        <w:t>Level 3 – Unobservable inputs developed using the company’s estimates and assumptions, which reflect those that market participants would use.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determination of where an asset or liability falls in the hierarchy requires significant judgment. We evaluate our hierarchy disclosures each quarter based on various factors, and it is possible that an asset or liability may be classified differently from quarter to quarter. However, we expect that changes in classifications between different levels will be rare.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i w:val="1"/>
          <w:iCs w:val="1"/>
          <w:color w:val="auto"/>
        </w:rPr>
        <w:t>Recurring Basis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information about assets measured at fair value on a recurring basis:</w:t>
      </w:r>
    </w:p>
    <w:p>
      <w:pPr>
        <w:spacing w:after="0" w:line="238"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6"/>
          <w:szCs w:val="16"/>
          <w:color w:val="auto"/>
        </w:rPr>
        <w:t>Fair value measurements as of January 28, 2024, using: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rPr>
              <w:t>Quoted prices</w:t>
            </w: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Significant</w:t>
            </w:r>
          </w:p>
        </w:tc>
        <w:tc>
          <w:tcPr>
            <w:tcW w:w="13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29"/>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in active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other</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Significant</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markets for</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unobservable</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418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2"/>
          </w:tcPr>
          <w:p>
            <w:pPr>
              <w:jc w:val="center"/>
              <w:ind w:left="1279"/>
              <w:spacing w:after="0"/>
              <w:rPr>
                <w:sz w:val="20"/>
                <w:szCs w:val="20"/>
                <w:color w:val="auto"/>
              </w:rPr>
            </w:pPr>
            <w:r>
              <w:rPr>
                <w:rFonts w:ascii="Times New Roman" w:cs="Times New Roman" w:eastAsia="Times New Roman" w:hAnsi="Times New Roman"/>
                <w:sz w:val="16"/>
                <w:szCs w:val="16"/>
                <w:color w:val="auto"/>
                <w:w w:val="99"/>
              </w:rPr>
              <w:t>identical assets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7"/>
              </w:rPr>
              <w:t>inputs</w:t>
            </w: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23"/>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w w:val="99"/>
              </w:rPr>
              <w:t>Level 1</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Level 2</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Level 3</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r>
      <w:tr>
        <w:trPr>
          <w:trHeight w:val="22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6,995</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6,995</w:t>
            </w:r>
          </w:p>
        </w:tc>
      </w:tr>
      <w:tr>
        <w:trPr>
          <w:trHeight w:val="23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656</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656</w:t>
            </w: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Moderate Allocation Mutual Fund</w:t>
            </w:r>
          </w:p>
        </w:tc>
        <w:tc>
          <w:tcPr>
            <w:tcW w:w="1740" w:type="dxa"/>
            <w:vAlign w:val="bottom"/>
          </w:tcPr>
          <w:p>
            <w:pPr>
              <w:spacing w:after="0"/>
              <w:rPr>
                <w:sz w:val="19"/>
                <w:szCs w:val="19"/>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48</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w:t>
            </w:r>
          </w:p>
        </w:tc>
      </w:tr>
      <w:tr>
        <w:trPr>
          <w:trHeight w:val="233"/>
        </w:trPr>
        <w:tc>
          <w:tcPr>
            <w:tcW w:w="4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321</w:t>
            </w:r>
          </w:p>
        </w:tc>
        <w:tc>
          <w:tcPr>
            <w:tcW w:w="13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bottom w:val="single" w:sz="8" w:color="auto"/>
            </w:tcBorders>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321</w:t>
            </w:r>
          </w:p>
        </w:tc>
      </w:tr>
      <w:tr>
        <w:trPr>
          <w:trHeight w:val="439"/>
        </w:trPr>
        <w:tc>
          <w:tcPr>
            <w:tcW w:w="4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Fair value measurements as of January 29, 2023, using:</w:t>
            </w:r>
          </w:p>
        </w:tc>
        <w:tc>
          <w:tcPr>
            <w:tcW w:w="900" w:type="dxa"/>
            <w:vAlign w:val="bottom"/>
            <w:tcBorders>
              <w:bottom w:val="single" w:sz="8" w:color="auto"/>
            </w:tcBorders>
          </w:tcPr>
          <w:p>
            <w:pPr>
              <w:spacing w:after="0"/>
              <w:rPr>
                <w:sz w:val="24"/>
                <w:szCs w:val="24"/>
                <w:color w:val="auto"/>
              </w:rPr>
            </w:pPr>
          </w:p>
        </w:tc>
      </w:tr>
      <w:tr>
        <w:trPr>
          <w:trHeight w:val="210"/>
        </w:trPr>
        <w:tc>
          <w:tcPr>
            <w:tcW w:w="4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Quoted prices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Significant</w:t>
            </w: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in active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other</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Significant</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markets for</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unobservable</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2"/>
        </w:trPr>
        <w:tc>
          <w:tcPr>
            <w:tcW w:w="418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2"/>
          </w:tcPr>
          <w:p>
            <w:pPr>
              <w:jc w:val="center"/>
              <w:ind w:left="1279"/>
              <w:spacing w:after="0"/>
              <w:rPr>
                <w:sz w:val="20"/>
                <w:szCs w:val="20"/>
                <w:color w:val="auto"/>
              </w:rPr>
            </w:pPr>
            <w:r>
              <w:rPr>
                <w:rFonts w:ascii="Times New Roman" w:cs="Times New Roman" w:eastAsia="Times New Roman" w:hAnsi="Times New Roman"/>
                <w:sz w:val="16"/>
                <w:szCs w:val="16"/>
                <w:color w:val="auto"/>
                <w:w w:val="99"/>
              </w:rPr>
              <w:t>identical assets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7"/>
              </w:rPr>
              <w:t>inputs</w:t>
            </w: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23"/>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w w:val="99"/>
              </w:rPr>
              <w:t>Level 1</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Level 2</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Level 3</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r>
      <w:tr>
        <w:trPr>
          <w:trHeight w:val="22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9,364</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9,364</w:t>
            </w:r>
          </w:p>
        </w:tc>
      </w:tr>
      <w:tr>
        <w:trPr>
          <w:trHeight w:val="23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508</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508</w:t>
            </w: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Moderate Allocation Mutual Fund</w:t>
            </w:r>
          </w:p>
        </w:tc>
        <w:tc>
          <w:tcPr>
            <w:tcW w:w="1740" w:type="dxa"/>
            <w:vAlign w:val="bottom"/>
          </w:tcPr>
          <w:p>
            <w:pPr>
              <w:spacing w:after="0"/>
              <w:rPr>
                <w:sz w:val="19"/>
                <w:szCs w:val="19"/>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85</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r>
      <w:tr>
        <w:trPr>
          <w:trHeight w:val="233"/>
        </w:trPr>
        <w:tc>
          <w:tcPr>
            <w:tcW w:w="4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188</w:t>
            </w:r>
          </w:p>
        </w:tc>
        <w:tc>
          <w:tcPr>
            <w:tcW w:w="13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bottom w:val="single" w:sz="8" w:color="auto"/>
            </w:tcBorders>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188</w:t>
            </w:r>
          </w:p>
        </w:tc>
      </w:tr>
      <w:tr>
        <w:trPr>
          <w:trHeight w:val="439"/>
        </w:trPr>
        <w:tc>
          <w:tcPr>
            <w:tcW w:w="4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color w:val="auto"/>
              </w:rPr>
              <w:t>Fair value measurements as of April 30, 2023, using:</w:t>
            </w:r>
          </w:p>
        </w:tc>
        <w:tc>
          <w:tcPr>
            <w:tcW w:w="900" w:type="dxa"/>
            <w:vAlign w:val="bottom"/>
            <w:tcBorders>
              <w:bottom w:val="single" w:sz="8" w:color="auto"/>
            </w:tcBorders>
          </w:tcPr>
          <w:p>
            <w:pPr>
              <w:spacing w:after="0"/>
              <w:rPr>
                <w:sz w:val="24"/>
                <w:szCs w:val="24"/>
                <w:color w:val="auto"/>
              </w:rPr>
            </w:pPr>
          </w:p>
        </w:tc>
      </w:tr>
      <w:tr>
        <w:trPr>
          <w:trHeight w:val="210"/>
        </w:trPr>
        <w:tc>
          <w:tcPr>
            <w:tcW w:w="4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Quoted prices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Significant</w:t>
            </w: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in active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other</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Significant</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markets for</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unobservable</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418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2"/>
          </w:tcPr>
          <w:p>
            <w:pPr>
              <w:jc w:val="center"/>
              <w:ind w:left="1279"/>
              <w:spacing w:after="0"/>
              <w:rPr>
                <w:sz w:val="20"/>
                <w:szCs w:val="20"/>
                <w:color w:val="auto"/>
              </w:rPr>
            </w:pPr>
            <w:r>
              <w:rPr>
                <w:rFonts w:ascii="Times New Roman" w:cs="Times New Roman" w:eastAsia="Times New Roman" w:hAnsi="Times New Roman"/>
                <w:sz w:val="16"/>
                <w:szCs w:val="16"/>
                <w:color w:val="auto"/>
                <w:w w:val="99"/>
              </w:rPr>
              <w:t>identical assets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7"/>
              </w:rPr>
              <w:t>inputs</w:t>
            </w: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23"/>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w w:val="99"/>
              </w:rPr>
              <w:t>Level 1</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Level 2</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Level 3</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r>
      <w:tr>
        <w:trPr>
          <w:trHeight w:val="22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7,649</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7,649</w:t>
            </w:r>
          </w:p>
        </w:tc>
      </w:tr>
      <w:tr>
        <w:trPr>
          <w:trHeight w:val="23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528</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528</w:t>
            </w: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Moderate Allocation Mutual Fund</w:t>
            </w:r>
          </w:p>
        </w:tc>
        <w:tc>
          <w:tcPr>
            <w:tcW w:w="1740" w:type="dxa"/>
            <w:vAlign w:val="bottom"/>
          </w:tcPr>
          <w:p>
            <w:pPr>
              <w:spacing w:after="0"/>
              <w:rPr>
                <w:sz w:val="19"/>
                <w:szCs w:val="19"/>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86</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r>
      <w:tr>
        <w:trPr>
          <w:trHeight w:val="233"/>
        </w:trPr>
        <w:tc>
          <w:tcPr>
            <w:tcW w:w="4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208</w:t>
            </w:r>
          </w:p>
        </w:tc>
        <w:tc>
          <w:tcPr>
            <w:tcW w:w="13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bottom w:val="single" w:sz="8" w:color="auto"/>
            </w:tcBorders>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208</w:t>
            </w: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Investments - Rabbi Trust</w:t>
      </w:r>
    </w:p>
    <w:p>
      <w:pPr>
        <w:spacing w:after="0" w:line="17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have a rabbi trust (the “Trust”) for the participants of our deferred compensation plan (the “Plan”), that enables participants to direct their contributions to various investment options under the Plan. The investments associated with the Trust consist of a money market fund and various mutual funds that are classified as available-for-sale.</w:t>
      </w:r>
    </w:p>
    <w:p>
      <w:pPr>
        <w:spacing w:after="0" w:line="1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January 28, 2024, our investments associated with the Trust totaled $8.0 million, of which $937,000 and $7.1 million were classified as short-term and long-term, respectively. As of January 29, 2023, our investments associated with the Trust totaled $10.1 million, of which $2.4 million and $7.7 million were classified as short-term and long-term, respectively. As of April 30, 2023, our investments associated with the Trust totaled $8.5 million, of which $1.4 million and $7.1 million were classified as short-term and long-term, respectively. The investments associated with the Trust had an accumulated unrealized gain of $88,000, $21,000, and $19,000 as of January 28, 2024, January 29, 2023, and April 30, 2023,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our investments associated with the Trust approximates their cost basis.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carrying amount of our cash and cash equivalents, accounts receivable, other current assets, accounts payable, and accrued expenses approximated their fair value because of the short maturity of these financial instruments.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699"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12. Net Loss Per Share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Basic net loss per share is computed using the weighted-average number of shares outstanding during the period. Diluted net loss per share uses the weighted-average number of shares outstanding during the period plus the dilutive effect of stock-based compensation calculated using the treasury stock method.</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Weighted average shares used in the computation of basic and diluted net loss per share were 12,470,000 and 12,299,000 for the three months ending January 28, 2024, and January 29,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of unvested common stock that were not included in the computation of diluted net loss per share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160020</wp:posOffset>
            </wp:positionV>
            <wp:extent cx="22288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gridSpan w:val="2"/>
          </w:tcPr>
          <w:p>
            <w:pPr>
              <w:jc w:val="right"/>
              <w:ind w:right="992"/>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56"/>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color w:val="auto"/>
              </w:rPr>
              <w:t>January 28, 2024</w:t>
            </w:r>
          </w:p>
        </w:tc>
        <w:tc>
          <w:tcPr>
            <w:tcW w:w="16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color w:val="auto"/>
              </w:rPr>
              <w:t>January 29, 2023</w:t>
            </w:r>
          </w:p>
        </w:tc>
      </w:tr>
      <w:tr>
        <w:trPr>
          <w:trHeight w:val="243"/>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effect from decrease in the price per share of our common stock</w:t>
            </w:r>
          </w:p>
        </w:tc>
        <w:tc>
          <w:tcPr>
            <w:tcW w:w="208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15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effect from net loss incurred during the fiscal quarter</w:t>
            </w:r>
          </w:p>
        </w:tc>
        <w:tc>
          <w:tcPr>
            <w:tcW w:w="20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81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2"/>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unvested shares of common stock not included in</w:t>
            </w:r>
          </w:p>
        </w:tc>
        <w:tc>
          <w:tcPr>
            <w:tcW w:w="180" w:type="dxa"/>
            <w:vAlign w:val="bottom"/>
            <w:shd w:val="clear" w:color="auto" w:fill="CFF0FC"/>
          </w:tcPr>
          <w:p>
            <w:pPr>
              <w:spacing w:after="0"/>
              <w:rPr>
                <w:sz w:val="20"/>
                <w:szCs w:val="20"/>
                <w:color w:val="auto"/>
              </w:rPr>
            </w:pPr>
          </w:p>
        </w:tc>
        <w:tc>
          <w:tcPr>
            <w:tcW w:w="1900" w:type="dxa"/>
            <w:vAlign w:val="bottom"/>
            <w:tcBorders>
              <w:top w:val="single" w:sz="8" w:color="auto"/>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spacing w:after="0"/>
              <w:rPr>
                <w:sz w:val="20"/>
                <w:szCs w:val="20"/>
                <w:color w:val="auto"/>
              </w:rPr>
            </w:pPr>
          </w:p>
        </w:tc>
      </w:tr>
      <w:tr>
        <w:trPr>
          <w:trHeight w:val="285"/>
        </w:trPr>
        <w:tc>
          <w:tcPr>
            <w:tcW w:w="7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computation of diluted net loss per share</w:t>
            </w:r>
          </w:p>
        </w:tc>
        <w:tc>
          <w:tcPr>
            <w:tcW w:w="180" w:type="dxa"/>
            <w:vAlign w:val="bottom"/>
            <w:tcBorders>
              <w:bottom w:val="single" w:sz="8" w:color="CFF0FC"/>
            </w:tcBorders>
            <w:shd w:val="clear" w:color="auto" w:fill="CFF0FC"/>
          </w:tcPr>
          <w:p>
            <w:pPr>
              <w:spacing w:after="0"/>
              <w:rPr>
                <w:sz w:val="24"/>
                <w:szCs w:val="24"/>
                <w:color w:val="auto"/>
              </w:rPr>
            </w:pPr>
          </w:p>
        </w:tc>
        <w:tc>
          <w:tcPr>
            <w:tcW w:w="19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96</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r>
    </w:tbl>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Weighted average shares used in the computation of basic and diluted net loss per share were 12,419,000 and 12,272,000 for the nine months ending January 28, 2024, and January 29,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of unvested common stock that were not included in the computation of diluted net loss per share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151130</wp:posOffset>
            </wp:positionV>
            <wp:extent cx="22288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gridSpan w:val="2"/>
          </w:tcPr>
          <w:p>
            <w:pPr>
              <w:jc w:val="right"/>
              <w:ind w:right="1012"/>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56"/>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color w:val="auto"/>
              </w:rPr>
              <w:t>January 28, 2024</w:t>
            </w:r>
          </w:p>
        </w:tc>
        <w:tc>
          <w:tcPr>
            <w:tcW w:w="16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color w:val="auto"/>
              </w:rPr>
              <w:t>January 29, 2023</w:t>
            </w:r>
          </w:p>
        </w:tc>
      </w:tr>
      <w:tr>
        <w:trPr>
          <w:trHeight w:val="243"/>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effect from decrease in the price per share of our common stock</w:t>
            </w:r>
          </w:p>
        </w:tc>
        <w:tc>
          <w:tcPr>
            <w:tcW w:w="208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4</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effect from net loss incurred during the fiscal year</w:t>
            </w:r>
          </w:p>
        </w:tc>
        <w:tc>
          <w:tcPr>
            <w:tcW w:w="20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126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2"/>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unvested shares of common stock not included in</w:t>
            </w:r>
          </w:p>
        </w:tc>
        <w:tc>
          <w:tcPr>
            <w:tcW w:w="180" w:type="dxa"/>
            <w:vAlign w:val="bottom"/>
            <w:shd w:val="clear" w:color="auto" w:fill="CFF0FC"/>
          </w:tcPr>
          <w:p>
            <w:pPr>
              <w:spacing w:after="0"/>
              <w:rPr>
                <w:sz w:val="20"/>
                <w:szCs w:val="20"/>
                <w:color w:val="auto"/>
              </w:rPr>
            </w:pPr>
          </w:p>
        </w:tc>
        <w:tc>
          <w:tcPr>
            <w:tcW w:w="1900" w:type="dxa"/>
            <w:vAlign w:val="bottom"/>
            <w:tcBorders>
              <w:top w:val="single" w:sz="8" w:color="auto"/>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spacing w:after="0"/>
              <w:rPr>
                <w:sz w:val="20"/>
                <w:szCs w:val="20"/>
                <w:color w:val="auto"/>
              </w:rPr>
            </w:pPr>
          </w:p>
        </w:tc>
      </w:tr>
      <w:tr>
        <w:trPr>
          <w:trHeight w:val="285"/>
        </w:trPr>
        <w:tc>
          <w:tcPr>
            <w:tcW w:w="7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computation of diluted net loss per share</w:t>
            </w:r>
          </w:p>
        </w:tc>
        <w:tc>
          <w:tcPr>
            <w:tcW w:w="180" w:type="dxa"/>
            <w:vAlign w:val="bottom"/>
            <w:tcBorders>
              <w:bottom w:val="single" w:sz="8" w:color="CFF0FC"/>
            </w:tcBorders>
            <w:shd w:val="clear" w:color="auto" w:fill="CFF0FC"/>
          </w:tcPr>
          <w:p>
            <w:pPr>
              <w:spacing w:after="0"/>
              <w:rPr>
                <w:sz w:val="24"/>
                <w:szCs w:val="24"/>
                <w:color w:val="auto"/>
              </w:rPr>
            </w:pPr>
          </w:p>
        </w:tc>
        <w:tc>
          <w:tcPr>
            <w:tcW w:w="19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130</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r>
    </w:tbl>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Segment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In addition, this segment includes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Financial Information</w:t>
      </w:r>
    </w:p>
    <w:p>
      <w:pPr>
        <w:spacing w:after="0" w:line="2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We evaluate the operating performance of our business segments based upon (loss) income from operations before certain unallocated corporate expenses and other items that are not expected to occur on a regular basis. Cost of sales for each segment includes costs to develop, manufacture, or source our products, including costs such as raw material and finished goods purchases, direct and indirect labor, overhead, and incoming freight charges. Unallocated corporate expenses primarily represent compensation and benefits for certain executives and their support staff, all costs associated with being a public company, amortization of intangible assets, and other miscellaneous expenses. Segment assets include assets used in the operations of each segment and consist of accounts receivable, inventory, property, plant, and equipment, and right of use assets. Also, total assets related to our upholstery fabrics segment include a right of use asset classified as held for sale as of January 29, 2023. Intangible assets are not included in segment assets as these assets are not used by the Chief Operating Decision Maker to evaluate the respective segment’s operating performance, allocate resources to individual segments, or determine executive compensation.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color w:val="auto"/>
        </w:rPr>
        <w:t>Statements of operations for our operating segments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9"/>
                <w:szCs w:val="19"/>
                <w:color w:val="auto"/>
              </w:rPr>
            </w:pPr>
          </w:p>
        </w:tc>
      </w:tr>
      <w:tr>
        <w:trPr>
          <w:trHeight w:val="242"/>
        </w:trPr>
        <w:tc>
          <w:tcPr>
            <w:tcW w:w="7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January 28, 2024</w:t>
            </w:r>
          </w:p>
        </w:tc>
        <w:tc>
          <w:tcPr>
            <w:tcW w:w="34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January 29, 2023</w:t>
            </w:r>
          </w:p>
        </w:tc>
      </w:tr>
      <w:tr>
        <w:trPr>
          <w:trHeight w:val="229"/>
        </w:trPr>
        <w:tc>
          <w:tcPr>
            <w:tcW w:w="77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 by segment:</w:t>
            </w: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30,021</w:t>
            </w: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24,697</w:t>
            </w:r>
          </w:p>
        </w:tc>
        <w:tc>
          <w:tcPr>
            <w:tcW w:w="100" w:type="dxa"/>
            <w:vAlign w:val="bottom"/>
          </w:tcPr>
          <w:p>
            <w:pPr>
              <w:spacing w:after="0"/>
              <w:rPr>
                <w:sz w:val="19"/>
                <w:szCs w:val="19"/>
                <w:color w:val="auto"/>
              </w:rPr>
            </w:pPr>
          </w:p>
        </w:tc>
      </w:tr>
      <w:tr>
        <w:trPr>
          <w:trHeight w:val="23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8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30,397</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27,826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60,418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52,523</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(1,237 )</w:t>
            </w:r>
          </w:p>
        </w:tc>
      </w:tr>
      <w:tr>
        <w:trPr>
          <w:trHeight w:val="23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8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6,122</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segment gross profit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00" w:type="dxa"/>
            <w:vAlign w:val="bottom"/>
          </w:tcPr>
          <w:p>
            <w:pPr>
              <w:spacing w:after="0"/>
              <w:rPr>
                <w:sz w:val="18"/>
                <w:szCs w:val="18"/>
                <w:color w:val="auto"/>
              </w:rPr>
            </w:pPr>
          </w:p>
        </w:tc>
      </w:tr>
      <w:tr>
        <w:trPr>
          <w:trHeight w:val="23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restructuring related credit (1)</w:t>
            </w: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7,703</w:t>
            </w:r>
          </w:p>
        </w:tc>
        <w:tc>
          <w:tcPr>
            <w:tcW w:w="10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00" w:type="dxa"/>
            <w:vAlign w:val="bottom"/>
            <w:tcBorders>
              <w:top w:val="single" w:sz="8" w:color="CFF0FC"/>
            </w:tcBorders>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 by segment:</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w:t>
            </w: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4,030</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shd w:val="clear" w:color="auto" w:fill="CFF0FC"/>
          </w:tcPr>
          <w:p>
            <w:pPr>
              <w:spacing w:after="0"/>
              <w:rPr>
                <w:sz w:val="20"/>
                <w:szCs w:val="20"/>
                <w:color w:val="auto"/>
              </w:rPr>
            </w:pPr>
          </w:p>
        </w:tc>
      </w:tr>
      <w:tr>
        <w:trPr>
          <w:trHeight w:val="227"/>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100" w:type="dxa"/>
            <w:vAlign w:val="bottom"/>
          </w:tcPr>
          <w:p>
            <w:pPr>
              <w:spacing w:after="0"/>
              <w:rPr>
                <w:sz w:val="19"/>
                <w:szCs w:val="19"/>
                <w:color w:val="auto"/>
              </w:rPr>
            </w:pPr>
          </w:p>
        </w:tc>
      </w:tr>
      <w:tr>
        <w:trPr>
          <w:trHeight w:val="26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9,493</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9,165</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operations by segment:</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(1,582 )</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(4,229 )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(420 )</w:t>
            </w:r>
          </w:p>
        </w:tc>
      </w:tr>
      <w:tr>
        <w:trPr>
          <w:trHeight w:val="23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(2,361 )</w:t>
            </w:r>
          </w:p>
        </w:tc>
        <w:tc>
          <w:tcPr>
            <w:tcW w:w="3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(2,423 )</w:t>
            </w:r>
          </w:p>
        </w:tc>
      </w:tr>
      <w:tr>
        <w:trPr>
          <w:trHeight w:val="20"/>
        </w:trPr>
        <w:tc>
          <w:tcPr>
            <w:tcW w:w="77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 loss from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(1,851 )</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(7,072 )</w:t>
            </w:r>
          </w:p>
        </w:tc>
      </w:tr>
      <w:tr>
        <w:trPr>
          <w:trHeight w:val="239"/>
        </w:trPr>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related credit (1)</w:t>
            </w: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restructuring credit (expense) (2)</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(711 )</w:t>
            </w:r>
          </w:p>
        </w:tc>
      </w:tr>
      <w:tr>
        <w:trPr>
          <w:trHeight w:val="20"/>
        </w:trPr>
        <w:tc>
          <w:tcPr>
            <w:tcW w:w="7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(1,740 )</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(7,783 )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9"/>
                <w:szCs w:val="19"/>
                <w:color w:val="auto"/>
              </w:rPr>
            </w:pPr>
          </w:p>
        </w:tc>
      </w:tr>
      <w:tr>
        <w:trPr>
          <w:trHeight w:val="23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expense</w:t>
            </w: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(705 )</w:t>
            </w:r>
          </w:p>
        </w:tc>
        <w:tc>
          <w:tcPr>
            <w:tcW w:w="3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(1,095 )</w:t>
            </w:r>
          </w:p>
        </w:tc>
      </w:tr>
      <w:tr>
        <w:trPr>
          <w:trHeight w:val="20"/>
        </w:trPr>
        <w:tc>
          <w:tcPr>
            <w:tcW w:w="77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(2,161 )</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(8,682 )</w:t>
            </w:r>
          </w:p>
        </w:tc>
      </w:tr>
      <w:tr>
        <w:trPr>
          <w:trHeight w:val="20"/>
        </w:trPr>
        <w:tc>
          <w:tcPr>
            <w:tcW w:w="7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-3514090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-2896870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-2596515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-1679575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-1662430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-1071245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-179705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0" w:lineRule="exact"/>
        <w:rPr>
          <w:sz w:val="20"/>
          <w:szCs w:val="20"/>
          <w:color w:val="auto"/>
        </w:rPr>
      </w:pPr>
    </w:p>
    <w:p>
      <w:pPr>
        <w:ind w:left="260" w:hanging="252"/>
        <w:spacing w:after="0" w:line="265" w:lineRule="auto"/>
        <w:tabs>
          <w:tab w:leader="none" w:pos="287"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Gross profit and loss from operations for the three months ending January 28, 2024, includes a restructuring related credit of $61,000 for the gain on disposal of inventory related to the discontinuation of production of cut and sewn upholstery kits in Ouanaminthe, Haiti.</w:t>
      </w:r>
    </w:p>
    <w:p>
      <w:pPr>
        <w:spacing w:after="0" w:line="165" w:lineRule="exact"/>
        <w:rPr>
          <w:rFonts w:ascii="Times New Roman" w:cs="Times New Roman" w:eastAsia="Times New Roman" w:hAnsi="Times New Roman"/>
          <w:sz w:val="19"/>
          <w:szCs w:val="19"/>
          <w:color w:val="auto"/>
        </w:rPr>
      </w:pPr>
    </w:p>
    <w:p>
      <w:pPr>
        <w:jc w:val="both"/>
        <w:ind w:left="260" w:hanging="252"/>
        <w:spacing w:after="0" w:line="246" w:lineRule="auto"/>
        <w:tabs>
          <w:tab w:leader="none" w:pos="287"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restructuring credit of $50,000 for the three months ended January 28, 2024, represents a gain on disposal of equipment related to the discontinuation of production of cut and sewn upholstery kits in Ouanaminthe, Haiti. Restructuring expense of $711,000 for the three months ended January 29, 2023, represents lease termination costs of $434,000 and an impairment loss regarding leasehold improvements totaling $277,000 that related to the consolidation of certain leased facilities located in Ouanaminthe, Haiti.</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4"/>
        </w:trPr>
        <w:tc>
          <w:tcPr>
            <w:tcW w:w="77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gridSpan w:val="5"/>
          </w:tcPr>
          <w:p>
            <w:pPr>
              <w:jc w:val="right"/>
              <w:ind w:right="999"/>
              <w:spacing w:after="0"/>
              <w:rPr>
                <w:sz w:val="20"/>
                <w:szCs w:val="20"/>
                <w:color w:val="auto"/>
              </w:rPr>
            </w:pPr>
            <w:r>
              <w:rPr>
                <w:rFonts w:ascii="Times New Roman" w:cs="Times New Roman" w:eastAsia="Times New Roman" w:hAnsi="Times New Roman"/>
                <w:sz w:val="16"/>
                <w:szCs w:val="16"/>
                <w:color w:val="auto"/>
              </w:rPr>
              <w:t>Nine months ended</w:t>
            </w:r>
          </w:p>
        </w:tc>
        <w:tc>
          <w:tcPr>
            <w:tcW w:w="100" w:type="dxa"/>
            <w:vAlign w:val="bottom"/>
          </w:tcPr>
          <w:p>
            <w:pPr>
              <w:spacing w:after="0"/>
              <w:rPr>
                <w:sz w:val="19"/>
                <w:szCs w:val="19"/>
                <w:color w:val="auto"/>
              </w:rPr>
            </w:pPr>
          </w:p>
        </w:tc>
      </w:tr>
      <w:tr>
        <w:trPr>
          <w:trHeight w:val="242"/>
        </w:trPr>
        <w:tc>
          <w:tcPr>
            <w:tcW w:w="7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January 28, 2024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January 29, 2023</w:t>
            </w:r>
          </w:p>
        </w:tc>
      </w:tr>
      <w:tr>
        <w:trPr>
          <w:trHeight w:val="229"/>
        </w:trPr>
        <w:tc>
          <w:tcPr>
            <w:tcW w:w="77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 by segment:</w:t>
            </w: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90,619</w:t>
            </w:r>
          </w:p>
        </w:tc>
        <w:tc>
          <w:tcPr>
            <w:tcW w:w="10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80,299</w:t>
            </w:r>
          </w:p>
        </w:tc>
        <w:tc>
          <w:tcPr>
            <w:tcW w:w="100" w:type="dxa"/>
            <w:vAlign w:val="bottom"/>
          </w:tcPr>
          <w:p>
            <w:pPr>
              <w:spacing w:after="0"/>
              <w:rPr>
                <w:sz w:val="19"/>
                <w:szCs w:val="19"/>
                <w:color w:val="auto"/>
              </w:rPr>
            </w:pPr>
          </w:p>
        </w:tc>
      </w:tr>
      <w:tr>
        <w:trPr>
          <w:trHeight w:val="23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8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85,185</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93,209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175,804</w:t>
            </w: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173,508</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5,997</w:t>
            </w:r>
          </w:p>
        </w:tc>
        <w:tc>
          <w:tcPr>
            <w:tcW w:w="10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(7,330 )</w:t>
            </w:r>
          </w:p>
        </w:tc>
      </w:tr>
      <w:tr>
        <w:trPr>
          <w:trHeight w:val="23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8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16,780</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 gross profit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22,777</w:t>
            </w:r>
          </w:p>
        </w:tc>
        <w:tc>
          <w:tcPr>
            <w:tcW w:w="10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100" w:type="dxa"/>
            <w:vAlign w:val="bottom"/>
          </w:tcPr>
          <w:p>
            <w:pPr>
              <w:spacing w:after="0"/>
              <w:rPr>
                <w:sz w:val="18"/>
                <w:szCs w:val="18"/>
                <w:color w:val="auto"/>
              </w:rPr>
            </w:pPr>
          </w:p>
        </w:tc>
      </w:tr>
      <w:tr>
        <w:trPr>
          <w:trHeight w:val="236"/>
        </w:trPr>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related charge (1)</w:t>
            </w: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(40 )</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(98 )</w:t>
            </w:r>
          </w:p>
        </w:tc>
      </w:tr>
      <w:tr>
        <w:trPr>
          <w:trHeight w:val="22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22,737</w:t>
            </w:r>
          </w:p>
        </w:tc>
        <w:tc>
          <w:tcPr>
            <w:tcW w:w="10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4,008</w:t>
            </w:r>
          </w:p>
        </w:tc>
        <w:tc>
          <w:tcPr>
            <w:tcW w:w="100" w:type="dxa"/>
            <w:vAlign w:val="bottom"/>
            <w:tcBorders>
              <w:top w:val="single" w:sz="8" w:color="CFF0FC"/>
            </w:tcBorders>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 by segment:</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9,913</w:t>
            </w:r>
          </w:p>
        </w:tc>
        <w:tc>
          <w:tcPr>
            <w:tcW w:w="10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8,821</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11,969</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11,053</w:t>
            </w:r>
          </w:p>
        </w:tc>
        <w:tc>
          <w:tcPr>
            <w:tcW w:w="100" w:type="dxa"/>
            <w:vAlign w:val="bottom"/>
            <w:shd w:val="clear" w:color="auto" w:fill="CFF0FC"/>
          </w:tcPr>
          <w:p>
            <w:pPr>
              <w:spacing w:after="0"/>
              <w:rPr>
                <w:sz w:val="20"/>
                <w:szCs w:val="20"/>
                <w:color w:val="auto"/>
              </w:rPr>
            </w:pPr>
          </w:p>
        </w:tc>
      </w:tr>
      <w:tr>
        <w:trPr>
          <w:trHeight w:val="226"/>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7,259</w:t>
            </w:r>
          </w:p>
        </w:tc>
        <w:tc>
          <w:tcPr>
            <w:tcW w:w="100" w:type="dxa"/>
            <w:vAlign w:val="bottom"/>
          </w:tcPr>
          <w:p>
            <w:pPr>
              <w:spacing w:after="0"/>
              <w:rPr>
                <w:sz w:val="19"/>
                <w:szCs w:val="19"/>
                <w:color w:val="auto"/>
              </w:rPr>
            </w:pPr>
          </w:p>
        </w:tc>
      </w:tr>
      <w:tr>
        <w:trPr>
          <w:trHeight w:val="26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29,366</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27,133</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operations by segment:</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(3,916 )</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(16,151 )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9"/>
                <w:szCs w:val="19"/>
                <w:color w:val="auto"/>
              </w:rPr>
            </w:pPr>
          </w:p>
        </w:tc>
      </w:tr>
      <w:tr>
        <w:trPr>
          <w:trHeight w:val="23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(7,484 )</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(7,259 )</w:t>
            </w:r>
          </w:p>
        </w:tc>
      </w:tr>
      <w:tr>
        <w:trPr>
          <w:trHeight w:val="20"/>
        </w:trPr>
        <w:tc>
          <w:tcPr>
            <w:tcW w:w="77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 loss from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(6,589 )</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(23,027 )</w:t>
            </w:r>
          </w:p>
        </w:tc>
      </w:tr>
      <w:tr>
        <w:trPr>
          <w:trHeight w:val="239"/>
        </w:trPr>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related charge (1)</w:t>
            </w: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(40 )</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(98 )</w:t>
            </w:r>
          </w:p>
        </w:tc>
      </w:tr>
      <w:tr>
        <w:trPr>
          <w:trHeight w:val="226"/>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restructuring expense (2)</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(432 )</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(1,326 )</w:t>
            </w:r>
          </w:p>
        </w:tc>
      </w:tr>
      <w:tr>
        <w:trPr>
          <w:trHeight w:val="20"/>
        </w:trPr>
        <w:tc>
          <w:tcPr>
            <w:tcW w:w="7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(7,061 )</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(24,451 )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9"/>
                <w:szCs w:val="19"/>
                <w:color w:val="auto"/>
              </w:rPr>
            </w:pPr>
          </w:p>
        </w:tc>
      </w:tr>
      <w:tr>
        <w:trPr>
          <w:trHeight w:val="23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expense</w:t>
            </w: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(560 )</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(348 )</w:t>
            </w:r>
          </w:p>
        </w:tc>
      </w:tr>
      <w:tr>
        <w:trPr>
          <w:trHeight w:val="20"/>
        </w:trPr>
        <w:tc>
          <w:tcPr>
            <w:tcW w:w="77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(6,710 )</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(24,507 )</w:t>
            </w:r>
          </w:p>
        </w:tc>
      </w:tr>
      <w:tr>
        <w:trPr>
          <w:trHeight w:val="20"/>
        </w:trPr>
        <w:tc>
          <w:tcPr>
            <w:tcW w:w="7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-3514090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-2896870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-2596515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-1679575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-1662430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-1070610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-179070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6" w:lineRule="exact"/>
        <w:rPr>
          <w:sz w:val="20"/>
          <w:szCs w:val="20"/>
          <w:color w:val="auto"/>
        </w:rPr>
      </w:pPr>
    </w:p>
    <w:p>
      <w:pPr>
        <w:jc w:val="both"/>
        <w:ind w:left="260" w:hanging="252"/>
        <w:spacing w:after="0" w:line="244" w:lineRule="auto"/>
        <w:tabs>
          <w:tab w:leader="none" w:pos="3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Gross profit and loss from operations for the nine months ending January 28, 2024, includes a restructuring related charge of $40,000, representing markdowns of inventory related to the discontinuation of production of cut and sewn upholstery kits at our facility located in Ouanaminthe, Haiti. Gross profit and loss from operations for the nine months ending January 29, 2023, includes a restructuring related charge of $98,000 that represents a loss on disposal and markdowns of inventory related to the exit of our cut and sew upholstery fabrics operation located in Shanghai, China, which occurred during the second quarter of fiscal 2023.</w:t>
      </w:r>
    </w:p>
    <w:p>
      <w:pPr>
        <w:spacing w:after="0" w:line="185" w:lineRule="exact"/>
        <w:rPr>
          <w:rFonts w:ascii="Times New Roman" w:cs="Times New Roman" w:eastAsia="Times New Roman" w:hAnsi="Times New Roman"/>
          <w:sz w:val="19"/>
          <w:szCs w:val="19"/>
          <w:color w:val="auto"/>
        </w:rPr>
      </w:pPr>
    </w:p>
    <w:p>
      <w:pPr>
        <w:jc w:val="both"/>
        <w:ind w:left="260" w:hanging="252"/>
        <w:spacing w:after="0" w:line="242" w:lineRule="auto"/>
        <w:tabs>
          <w:tab w:leader="none" w:pos="287"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Restructuring expense of $432,000 for the nine months ending January 28, 2024, represents a $329,000 impairment charge associated with equipment and $103,000 for employee termination benefits related to the discontinuation of production of cut and sewn upholstery kits in Ouanaminthe, Haiti. Restructuring expense of $1.3 million for the nine months ending January 29, 2023, relates to both our restructuring activities for our cut and sew upholstery fabrics operations located in Shanghai, China, which occurred during the second quarter of fiscal 2023, and located in Ouanaminthe, Haiti, which occurred during the third quarter of fiscal 2023. Restructuring expense consists of lease termination costs of $481,000, employee termination benefits of $468,000, impairment losses totaling $357,000 that relate to leasehold improvements and equipment, and $20,000 for other associated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color w:val="auto"/>
        </w:rPr>
        <w:t>Balance sheet information for our operating segments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January 28, 2024</w:t>
            </w:r>
          </w:p>
        </w:tc>
        <w:tc>
          <w:tcPr>
            <w:tcW w:w="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January 29, 2023</w:t>
            </w:r>
          </w:p>
        </w:tc>
        <w:tc>
          <w:tcPr>
            <w:tcW w:w="1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April 30, 2023</w:t>
            </w:r>
          </w:p>
        </w:tc>
      </w:tr>
      <w:tr>
        <w:trPr>
          <w:trHeight w:val="230"/>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9"/>
        </w:trPr>
        <w:tc>
          <w:tcPr>
            <w:tcW w:w="6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11,463</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8,314</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12,396</w:t>
            </w:r>
          </w:p>
        </w:tc>
      </w:tr>
      <w:tr>
        <w:trPr>
          <w:trHeight w:val="220"/>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27,925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28,757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25,674</w:t>
            </w:r>
          </w:p>
        </w:tc>
      </w:tr>
      <w:tr>
        <w:trPr>
          <w:trHeight w:val="239"/>
        </w:trPr>
        <w:tc>
          <w:tcPr>
            <w:tcW w:w="6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Property, plant and equipment (1)</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32,263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34,661</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33,749</w:t>
            </w:r>
          </w:p>
        </w:tc>
      </w:tr>
      <w:tr>
        <w:trPr>
          <w:trHeight w:val="223"/>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Right of use assets (2)</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1,798</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2,476</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2,308</w:t>
            </w:r>
          </w:p>
        </w:tc>
      </w:tr>
      <w:tr>
        <w:trPr>
          <w:trHeight w:val="223"/>
        </w:trPr>
        <w:tc>
          <w:tcPr>
            <w:tcW w:w="62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mattress fabrics assets</w:t>
            </w: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73,449</w:t>
            </w: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74,208</w:t>
            </w:r>
          </w:p>
        </w:tc>
        <w:tc>
          <w:tcPr>
            <w:tcW w:w="1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74,127</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9"/>
        </w:trPr>
        <w:tc>
          <w:tcPr>
            <w:tcW w:w="6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12,223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12,927</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12,382</w:t>
            </w:r>
          </w:p>
        </w:tc>
      </w:tr>
      <w:tr>
        <w:trPr>
          <w:trHeight w:val="220"/>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18,952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18,870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19,406</w:t>
            </w:r>
          </w:p>
        </w:tc>
      </w:tr>
      <w:tr>
        <w:trPr>
          <w:trHeight w:val="239"/>
        </w:trPr>
        <w:tc>
          <w:tcPr>
            <w:tcW w:w="6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Property, plant and equipment (3)</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1,155</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1,794</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1,671</w:t>
            </w:r>
          </w:p>
        </w:tc>
      </w:tr>
      <w:tr>
        <w:trPr>
          <w:trHeight w:val="220"/>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Right of use assets (4)</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2,995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2,618</w:t>
            </w:r>
          </w:p>
        </w:tc>
      </w:tr>
      <w:tr>
        <w:trPr>
          <w:trHeight w:val="233"/>
        </w:trPr>
        <w:tc>
          <w:tcPr>
            <w:tcW w:w="6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Assets held for sale (5)</w:t>
            </w:r>
          </w:p>
        </w:tc>
        <w:tc>
          <w:tcPr>
            <w:tcW w:w="1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1,950</w:t>
            </w:r>
          </w:p>
        </w:tc>
        <w:tc>
          <w:tcPr>
            <w:tcW w:w="16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upholstery fabrics assets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34,675</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38,536</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36,077</w:t>
            </w:r>
          </w:p>
        </w:tc>
      </w:tr>
      <w:tr>
        <w:trPr>
          <w:trHeight w:val="223"/>
        </w:trPr>
        <w:tc>
          <w:tcPr>
            <w:tcW w:w="62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segment assets</w:t>
            </w: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108,124</w:t>
            </w: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112,744</w:t>
            </w:r>
          </w:p>
        </w:tc>
        <w:tc>
          <w:tcPr>
            <w:tcW w:w="1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110,204</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Non-segment assets:</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12,585</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16,725</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20,964</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 - rabbi trust</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2,420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1,404</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Short-term note receivable</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260</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219</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4,237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2,839</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3,071</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note receivable</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1,726</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531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463</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480</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plant and equipment (6)</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691</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Right of use assets (7)</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2,809</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3,442</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3,265</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assets</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2,346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2,252</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7,083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7,725</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7,067</w:t>
            </w:r>
          </w:p>
        </w:tc>
      </w:tr>
      <w:tr>
        <w:trPr>
          <w:trHeight w:val="223"/>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853</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919</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840</w:t>
            </w:r>
          </w:p>
        </w:tc>
      </w:tr>
      <w:tr>
        <w:trPr>
          <w:trHeight w:val="263"/>
        </w:trPr>
        <w:tc>
          <w:tcPr>
            <w:tcW w:w="62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141,998</w:t>
            </w:r>
          </w:p>
        </w:tc>
        <w:tc>
          <w:tcPr>
            <w:tcW w:w="28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150,598</w:t>
            </w:r>
          </w:p>
        </w:tc>
        <w:tc>
          <w:tcPr>
            <w:tcW w:w="34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152,183</w:t>
            </w:r>
          </w:p>
        </w:tc>
      </w:tr>
    </w:tbl>
    <w:p>
      <w:pPr>
        <w:spacing w:after="0" w:line="342" w:lineRule="exact"/>
        <w:rPr>
          <w:sz w:val="20"/>
          <w:szCs w:val="20"/>
          <w:color w:val="auto"/>
        </w:rPr>
      </w:pPr>
    </w:p>
    <w:p>
      <w:pPr>
        <w:jc w:val="both"/>
        <w:ind w:left="380" w:hanging="372"/>
        <w:spacing w:after="0" w:line="246" w:lineRule="auto"/>
        <w:tabs>
          <w:tab w:leader="none" w:pos="3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$32.3 million as of January 28, 2024, represents property, plant, and equipment of $21.9 million, $9.8 million, and $600,000 located in the U.S., Canada, and Haiti, respectively. The $34.7 million as of January 29, 2023, represents property, plant, and equipment of $23.1 million, $10.9 million, and $651,000 located in the U.S., Canada, and Haiti, respectively. The $33.7 million as of April 30, 2023, represents property, plant, and equipment of $22.7 million, $10.4 million, and $608,000 located in the U.S., Canada, and Haiti, respectively.</w:t>
      </w:r>
    </w:p>
    <w:p>
      <w:pPr>
        <w:spacing w:after="0" w:line="157"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$1.8 million as of January 28, 2024, represents right of use assets of $1.2 million and $604,000 located in Haiti and Canada, respectively. The $2.5 million as of January 29, 2023, represents right of use assets of $1.6 million and $833,000 located in Haiti and Canada, respectively. The $2.3 million as of April 30, 2023, represents right of use assets of $1.5 million and $776,000 located in Haiti and Canada, respectively.</w:t>
      </w:r>
    </w:p>
    <w:p>
      <w:pPr>
        <w:spacing w:after="0" w:line="139"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$1.2 million as of January 28, 2024, represents property, plant, and equipment of $1.1 million and $134,000 located in the U.S. and China, respectively. The $1.8 million as of January 29, 2023, represents property, plant, and equipment of $1.0 million, $630,000, and $121,000 located in the U.S., Haiti, and China, respectively. The $1.7 million as of April 30, 2023, represents property, plant, and equipment of $974,000, $592,000, and $105,000 located in the U.S., Haiti, and China, respectively.</w:t>
      </w:r>
    </w:p>
    <w:p>
      <w:pPr>
        <w:spacing w:after="0" w:line="139"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$2.3 million as of January 28, 2024, represents right of use assets of $944,000 and $1.4 million located in China and the U.S., respectively. The $3.0 million as of January 29, 2023, represents right of use assets of $1.7 million and $1.3 million located in China and the U.S., respectively. The $2.6 million as of April 30, 2023, represents right of use assets of $1.5 million and $1.1 million located in China and the U.S., respectively.</w:t>
      </w:r>
    </w:p>
    <w:p>
      <w:pPr>
        <w:spacing w:after="0" w:line="152"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$2.0 million as of January 29, 2023, represents a right of use asset classified as held for sale located in Haiti.</w:t>
      </w:r>
    </w:p>
    <w:p>
      <w:pPr>
        <w:spacing w:after="0" w:line="175"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$603,000, $737,000, and $691,000 as of January 28, 2024, January 29, 2023, and April 30, 2023, respectively, represent property, plant, and equipment associated with the unallocated corporate department and corporate departments shared by our mattress fabrics and upholstery fabrics segments. Property, plant, and equipment associated with our corporate departments reside in the U.S.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901" w:gutter="0" w:footer="0" w:header="0"/>
        </w:sectPr>
      </w:pPr>
    </w:p>
    <w:bookmarkStart w:id="24" w:name="page25"/>
    <w:bookmarkEnd w:id="24"/>
    <w:p>
      <w:pPr>
        <w:ind w:left="380" w:right="40" w:hanging="372"/>
        <w:spacing w:after="0" w:line="269" w:lineRule="auto"/>
        <w:tabs>
          <w:tab w:leader="none" w:pos="3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$2.8 million, $3.4 million, and $3.3 million as of January 28, 2024, January 29, 2023, and April 30, 2023, respectively, represent right of use assets located in the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about capital expenditures and depreciation expense for our operating segments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8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gridSpan w:val="3"/>
          </w:tcPr>
          <w:p>
            <w:pPr>
              <w:jc w:val="right"/>
              <w:ind w:right="105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42"/>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9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January 28, 2024</w:t>
            </w: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January 29, 2023</w:t>
            </w:r>
          </w:p>
        </w:tc>
      </w:tr>
      <w:tr>
        <w:trPr>
          <w:trHeight w:val="22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 expenditures (1):</w:t>
            </w:r>
          </w:p>
        </w:tc>
        <w:tc>
          <w:tcPr>
            <w:tcW w:w="29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20"/>
        </w:trPr>
        <w:tc>
          <w:tcPr>
            <w:tcW w:w="4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2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2,828</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612</w:t>
            </w:r>
          </w:p>
        </w:tc>
      </w:tr>
      <w:tr>
        <w:trPr>
          <w:trHeight w:val="239"/>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296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219</w:t>
            </w:r>
          </w:p>
        </w:tc>
        <w:tc>
          <w:tcPr>
            <w:tcW w:w="30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465</w:t>
            </w:r>
          </w:p>
        </w:tc>
      </w:tr>
      <w:tr>
        <w:trPr>
          <w:trHeight w:val="223"/>
        </w:trPr>
        <w:tc>
          <w:tcPr>
            <w:tcW w:w="4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Unallocated Corporate</w:t>
            </w:r>
          </w:p>
        </w:tc>
        <w:tc>
          <w:tcPr>
            <w:tcW w:w="29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167</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75</w:t>
            </w:r>
          </w:p>
        </w:tc>
      </w:tr>
      <w:tr>
        <w:trPr>
          <w:trHeight w:val="223"/>
        </w:trPr>
        <w:tc>
          <w:tcPr>
            <w:tcW w:w="49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2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3,214</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1,152</w:t>
            </w: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29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9"/>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2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4,422</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4,624</w:t>
            </w:r>
          </w:p>
        </w:tc>
      </w:tr>
      <w:tr>
        <w:trPr>
          <w:trHeight w:val="223"/>
        </w:trPr>
        <w:tc>
          <w:tcPr>
            <w:tcW w:w="4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29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475</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604</w:t>
            </w:r>
          </w:p>
        </w:tc>
      </w:tr>
      <w:tr>
        <w:trPr>
          <w:trHeight w:val="263"/>
        </w:trPr>
        <w:tc>
          <w:tcPr>
            <w:tcW w:w="49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2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4,897</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5,228</w:t>
            </w:r>
          </w:p>
        </w:tc>
      </w:tr>
    </w:tbl>
    <w:p>
      <w:pPr>
        <w:spacing w:after="0" w:line="166" w:lineRule="exact"/>
        <w:rPr>
          <w:sz w:val="20"/>
          <w:szCs w:val="20"/>
          <w:color w:val="auto"/>
        </w:rPr>
      </w:pPr>
    </w:p>
    <w:p>
      <w:pPr>
        <w:ind w:left="380" w:right="40" w:hanging="372"/>
        <w:spacing w:after="0" w:line="269" w:lineRule="auto"/>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expenditure amounts are stated on the accrual basis. See Consolidated Statements of Cash Flows for capital expenditure amounts on a cash basis.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Income Tax Rate</w:t>
      </w:r>
    </w:p>
    <w:p>
      <w:pPr>
        <w:spacing w:after="0" w:line="179"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We recorded income tax expense of $2.2 million, or (33.4%) of loss before income taxes, for the nine-month period ending January 28, 2024, compared with income tax expense of $2.3 million, or (9.5%) of loss before income taxes, for the nine-month period ending January 29, 2023.</w:t>
      </w:r>
    </w:p>
    <w:p>
      <w:pPr>
        <w:spacing w:after="0" w:line="147"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20"/>
          <w:szCs w:val="20"/>
          <w:color w:val="auto"/>
        </w:rPr>
        <w:t>Our effective income tax rates for the nine-month periods ended January 28, 2024, and January 29, 2023, were based upon the estimated effective income tax rate applicable for the full year after giving effect to any significant items related specifically to interim periods. When calculating the annual estimated effective income tax rates for the nine-month periods ended January 28, 2024, and January 29, 2023, we were subject to loss limitation rules. These loss limitation rules require any taxable loss associated with our U.S. or foreign operations to be excluded from the annual estimated effective income tax rate calculation if it was determined that no income tax benefit could be recognized during the current fiscal year. The effective income tax rate can be affected over the fiscal year by the mix and timing of actual earnings from our U.S. operations and foreign subsidiaries located in China, Canada, and Haiti as compared to annual projections, as well as changes in foreign currency exchange rates in relation to the U.S. dollar.</w:t>
      </w:r>
    </w:p>
    <w:p>
      <w:pPr>
        <w:spacing w:after="0" w:line="149"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at the U.S. federal income tax rate and the effective income tax rate reflected in the consolidated financial statements for the nine-month periods ending January 28, 2024, and January 29,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tcPr>
          <w:p>
            <w:pPr>
              <w:spacing w:after="0"/>
              <w:rPr>
                <w:sz w:val="18"/>
                <w:szCs w:val="18"/>
                <w:color w:val="auto"/>
              </w:rPr>
            </w:pPr>
          </w:p>
        </w:tc>
        <w:tc>
          <w:tcPr>
            <w:tcW w:w="38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January 28,</w:t>
            </w: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January 29,</w:t>
            </w:r>
          </w:p>
        </w:tc>
      </w:tr>
      <w:tr>
        <w:trPr>
          <w:trHeight w:val="236"/>
        </w:trPr>
        <w:tc>
          <w:tcPr>
            <w:tcW w:w="586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rPr>
              <w:t>2024</w:t>
            </w:r>
          </w:p>
        </w:tc>
        <w:tc>
          <w:tcPr>
            <w:tcW w:w="15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2023</w:t>
            </w:r>
          </w:p>
        </w:tc>
        <w:tc>
          <w:tcPr>
            <w:tcW w:w="40" w:type="dxa"/>
            <w:vAlign w:val="bottom"/>
          </w:tcPr>
          <w:p>
            <w:pPr>
              <w:spacing w:after="0"/>
              <w:rPr>
                <w:sz w:val="20"/>
                <w:szCs w:val="20"/>
                <w:color w:val="auto"/>
              </w:rPr>
            </w:pP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38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21.0 %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39"/>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valuation allowance</w:t>
            </w:r>
          </w:p>
        </w:tc>
        <w:tc>
          <w:tcPr>
            <w:tcW w:w="38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(42.0 )</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(29.3 )</w:t>
            </w:r>
          </w:p>
        </w:tc>
        <w:tc>
          <w:tcPr>
            <w:tcW w:w="40" w:type="dxa"/>
            <w:vAlign w:val="bottom"/>
          </w:tcPr>
          <w:p>
            <w:pPr>
              <w:spacing w:after="0"/>
              <w:rPr>
                <w:sz w:val="20"/>
                <w:szCs w:val="20"/>
                <w:color w:val="auto"/>
              </w:rPr>
            </w:pPr>
          </w:p>
        </w:tc>
      </w:tr>
      <w:tr>
        <w:trPr>
          <w:trHeight w:val="239"/>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Withholding taxes associated with foreign jurisdictions</w:t>
            </w:r>
          </w:p>
        </w:tc>
        <w:tc>
          <w:tcPr>
            <w:tcW w:w="38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(8.1 )</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40" w:type="dxa"/>
            <w:vAlign w:val="bottom"/>
          </w:tcPr>
          <w:p>
            <w:pPr>
              <w:spacing w:after="0"/>
              <w:rPr>
                <w:sz w:val="20"/>
                <w:szCs w:val="20"/>
                <w:color w:val="auto"/>
              </w:rPr>
            </w:pPr>
          </w:p>
        </w:tc>
      </w:tr>
      <w:tr>
        <w:trPr>
          <w:trHeight w:val="220"/>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 deduction - Quebec, Canada</w:t>
            </w:r>
          </w:p>
        </w:tc>
        <w:tc>
          <w:tcPr>
            <w:tcW w:w="38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40" w:type="dxa"/>
            <w:vAlign w:val="bottom"/>
          </w:tcPr>
          <w:p>
            <w:pPr>
              <w:spacing w:after="0"/>
              <w:rPr>
                <w:sz w:val="19"/>
                <w:szCs w:val="19"/>
                <w:color w:val="auto"/>
              </w:rPr>
            </w:pPr>
          </w:p>
        </w:tc>
      </w:tr>
      <w:tr>
        <w:trPr>
          <w:trHeight w:val="239"/>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38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(5.2 )</w:t>
            </w: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tcPr>
          <w:p>
            <w:pPr>
              <w:spacing w:after="0"/>
              <w:rPr>
                <w:sz w:val="20"/>
                <w:szCs w:val="20"/>
                <w:color w:val="auto"/>
              </w:rPr>
            </w:pPr>
          </w:p>
        </w:tc>
      </w:tr>
      <w:tr>
        <w:trPr>
          <w:trHeight w:val="220"/>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8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(2.9 )</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40" w:type="dxa"/>
            <w:vAlign w:val="bottom"/>
          </w:tcPr>
          <w:p>
            <w:pPr>
              <w:spacing w:after="0"/>
              <w:rPr>
                <w:sz w:val="19"/>
                <w:szCs w:val="19"/>
                <w:color w:val="auto"/>
              </w:rPr>
            </w:pPr>
          </w:p>
        </w:tc>
      </w:tr>
      <w:tr>
        <w:trPr>
          <w:trHeight w:val="239"/>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 effects of local currency foreign exchange gains</w:t>
            </w:r>
          </w:p>
        </w:tc>
        <w:tc>
          <w:tcPr>
            <w:tcW w:w="384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3.8</w:t>
            </w: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40" w:type="dxa"/>
            <w:vAlign w:val="bottom"/>
          </w:tcPr>
          <w:p>
            <w:pPr>
              <w:spacing w:after="0"/>
              <w:rPr>
                <w:sz w:val="20"/>
                <w:szCs w:val="20"/>
                <w:color w:val="auto"/>
              </w:rPr>
            </w:pPr>
          </w:p>
        </w:tc>
      </w:tr>
      <w:tr>
        <w:trPr>
          <w:trHeight w:val="223"/>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40" w:type="dxa"/>
            <w:vAlign w:val="bottom"/>
          </w:tcPr>
          <w:p>
            <w:pPr>
              <w:spacing w:after="0"/>
              <w:rPr>
                <w:sz w:val="19"/>
                <w:szCs w:val="19"/>
                <w:color w:val="auto"/>
              </w:rPr>
            </w:pPr>
          </w:p>
        </w:tc>
      </w:tr>
      <w:tr>
        <w:trPr>
          <w:trHeight w:val="263"/>
        </w:trPr>
        <w:tc>
          <w:tcPr>
            <w:tcW w:w="5860" w:type="dxa"/>
            <w:vAlign w:val="bottom"/>
            <w:tcBorders>
              <w:bottom w:val="single" w:sz="8" w:color="auto"/>
            </w:tcBorders>
            <w:shd w:val="clear" w:color="auto" w:fill="CFF0FC"/>
          </w:tcPr>
          <w:p>
            <w:pPr>
              <w:spacing w:after="0"/>
              <w:rPr>
                <w:sz w:val="22"/>
                <w:szCs w:val="22"/>
                <w:color w:val="auto"/>
              </w:rPr>
            </w:pPr>
          </w:p>
        </w:tc>
        <w:tc>
          <w:tcPr>
            <w:tcW w:w="3840" w:type="dxa"/>
            <w:vAlign w:val="bottom"/>
            <w:tcBorders>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(33.4)%</w:t>
            </w: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2"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20"/>
          <w:szCs w:val="20"/>
          <w:color w:val="auto"/>
        </w:rPr>
        <w:t>Our consolidated effective income tax rates during the first nine months of fiscal 2024 and the first nine months of fiscal 2023 were both adversely affected by the mix of earnings between our U.S. operations and foreign subsidiaries, as our taxable income stems from our operations located in China during fiscal 2024 and both our operations located in China and Canada during fiscal 2023, which have higher income tax rates than the U.S. In addition, during the first nine months of fiscal 2024 and the first nine months of fiscal 2023, we incurred pre-tax losses associated with our U.S. operations, for which an income tax benefit was not recorded due to the full valuation allowance applied against our U.S. net deferred income tax assets. The income tax charge associated with the full valuation allowance applied against our U.S. net deferred income tax assets was lower during the first nine months of fiscal 2024 compared with the first nine months of fiscal 2023, as our $(11.3) million U.S. pre-tax loss incurred during</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56" w:right="299" w:bottom="942" w:gutter="0" w:footer="0" w:header="0"/>
        </w:sectPr>
      </w:pPr>
    </w:p>
    <w:bookmarkStart w:id="25" w:name="page26"/>
    <w:bookmarkEnd w:id="25"/>
    <w:p>
      <w:pPr>
        <w:jc w:val="both"/>
        <w:spacing w:after="0" w:line="269" w:lineRule="auto"/>
        <w:rPr>
          <w:sz w:val="20"/>
          <w:szCs w:val="20"/>
          <w:color w:val="auto"/>
        </w:rPr>
      </w:pPr>
      <w:r>
        <w:rPr>
          <w:rFonts w:ascii="Times New Roman" w:cs="Times New Roman" w:eastAsia="Times New Roman" w:hAnsi="Times New Roman"/>
          <w:sz w:val="20"/>
          <w:szCs w:val="20"/>
          <w:color w:val="auto"/>
        </w:rPr>
        <w:t>the first nine months of fiscal 2024 was significantly lower than the $(28.8) million U.S. pre-tax loss incurred during the first nine months of fiscal 2023.</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first nine months of fiscal 2024, we incurred a lower consolidated pre-tax loss totaling $(6.7) million, compared with $(24.5) million during the first nine months of fiscal 2023. As a result, the principal differences between income tax expense at the U.S. federal income tax rate and the effective income tax rate reflected in the consolidated financial statements were more pronounced during the first nine months of fiscal 2024, as compared with the first nine months of fiscal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Valuation Allowance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evaluate the realizability of our U.S. net deferred income tax assets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January 28, 2024, we evaluated the realizability of our U.S. net deferred income tax assets to determine if a full valuation allowance was required. Based on our assessment, we determined we still have a recent history of significant cumulative U.S. pre-tax losses, in that we experienced U.S. pre-tax losses during each of the last three fiscal years from 2021 through 2023, and we are currently expecting significant U.S. pre-tax losses to continue during fiscal 2024. As a result of the significant weight of this negative evidence, we believe it is more likely than not that our U.S. deferred income tax assets will not be fully realizable, and therefore we provided for a full valuation allowance against our U.S. net deferred income tax assets.</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Based on our assessments as of January 28, 2024, January 29, 2023, and April 30, 2023, valuation allowances against our net deferred income tax assets pertain to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7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January 28, 2024</w:t>
            </w:r>
          </w:p>
        </w:tc>
        <w:tc>
          <w:tcPr>
            <w:tcW w:w="1500" w:type="dxa"/>
            <w:vAlign w:val="bottom"/>
            <w:tcBorders>
              <w:top w:val="single" w:sz="8" w:color="auto"/>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January 29, 2023</w:t>
            </w:r>
          </w:p>
        </w:tc>
        <w:tc>
          <w:tcPr>
            <w:tcW w:w="2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April 30, 2023</w:t>
            </w:r>
          </w:p>
        </w:tc>
      </w:tr>
      <w:tr>
        <w:trPr>
          <w:trHeight w:val="230"/>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19,162</w:t>
            </w:r>
          </w:p>
        </w:tc>
        <w:tc>
          <w:tcPr>
            <w:tcW w:w="58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15,741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16,345</w:t>
            </w:r>
          </w:p>
        </w:tc>
      </w:tr>
      <w:tr>
        <w:trPr>
          <w:trHeight w:val="223"/>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17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2,330</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2,330</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2,330</w:t>
            </w:r>
          </w:p>
        </w:tc>
      </w:tr>
      <w:tr>
        <w:trPr>
          <w:trHeight w:val="263"/>
        </w:trPr>
        <w:tc>
          <w:tcPr>
            <w:tcW w:w="508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21,492</w:t>
            </w:r>
          </w:p>
        </w:tc>
        <w:tc>
          <w:tcPr>
            <w:tcW w:w="58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18,071</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18,675</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Undistributed Earnings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assess whether the undistributed earnings from our foreign subsidiaries will be reinvested indefinitely or eventually distributed to our U.S. parent company and whether we are required to record a deferred income tax liability for those undistributed earnings from foreign subsidiaries that will not be reinvested indefinitely. As of January 28, 2024, we assessed the liquidity requirements of our U.S. parent company and determined that our undistributed earnings and profits from our foreign subsidiaries would not be reinvested indefinitely and would eventually be distributed to our U.S. parent company. The conclusion reached from this assessment was consistent with prior reporting periods.</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result of the 2017 Tax Cuts and Jobs Act, a U.S. corporation is allowed a 100% dividend received deduction for earnings and profits received from a 10% owned foreign corporation. Therefore, a deferred income tax liability will be required only for unremitted withholding taxes associated with earnings and profits generated by our foreign subsidiaries that will ultimately be repatriated to the U.S. parent company. As a result, as of January 28, 2024, January 29, 2023, and April 30, 2023, we recorded a deferred income tax liability of $4.7 million, $4.1 million, and $4.2 million,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Uncertain Income Tax Positions</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 unrecognized income tax benefit for an uncertain income tax position can be recognized in the first interim period if the more-likely-than-not recognition threshold is met by the end of the reporting period, or is effectively settled through examination, negotiation, or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jc w:val="both"/>
        <w:spacing w:after="0" w:line="249" w:lineRule="auto"/>
        <w:rPr>
          <w:sz w:val="20"/>
          <w:szCs w:val="20"/>
          <w:color w:val="auto"/>
        </w:rPr>
      </w:pPr>
      <w:r>
        <w:rPr>
          <w:rFonts w:ascii="Times New Roman" w:cs="Times New Roman" w:eastAsia="Times New Roman" w:hAnsi="Times New Roman"/>
          <w:sz w:val="20"/>
          <w:szCs w:val="20"/>
          <w:color w:val="auto"/>
        </w:rPr>
        <w:t>As of January 28, 2024, January 29, 2023, and April 30, 2023, we had a $1.2 million total gross unrecognized income tax benefit, of which the entire amount was classified as income taxes payable – long-term in the accompanying Consolidated Balance Sheets. These unrecognized income tax benefits would favorably affect income tax expense in future periods by $1.2 million, as of January 28, 2024, January 29, 2023, and April 30, 2023.</w:t>
      </w:r>
    </w:p>
    <w:p>
      <w:pPr>
        <w:spacing w:after="0" w:line="15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Our gross unrecognized income tax benefit of $1.2 million as of January 28, 2024, relates to income tax positions for which significant change is currently not expected within the next year.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 Paid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income taxes paid by jurisdiction: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48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Nine Months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w w:val="99"/>
              </w:rPr>
              <w:t>Nine Months</w:t>
            </w:r>
          </w:p>
        </w:tc>
      </w:tr>
      <w:tr>
        <w:trPr>
          <w:trHeight w:val="270"/>
        </w:trPr>
        <w:tc>
          <w:tcPr>
            <w:tcW w:w="6740" w:type="dxa"/>
            <w:vAlign w:val="bottom"/>
          </w:tcPr>
          <w:p>
            <w:pPr>
              <w:spacing w:after="0"/>
              <w:rPr>
                <w:sz w:val="23"/>
                <w:szCs w:val="23"/>
                <w:color w:val="auto"/>
              </w:rPr>
            </w:pPr>
          </w:p>
        </w:tc>
        <w:tc>
          <w:tcPr>
            <w:tcW w:w="148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Ended</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w w:val="97"/>
              </w:rPr>
              <w:t>Ended</w:t>
            </w:r>
          </w:p>
        </w:tc>
      </w:tr>
      <w:tr>
        <w:trPr>
          <w:trHeight w:val="270"/>
        </w:trPr>
        <w:tc>
          <w:tcPr>
            <w:tcW w:w="6740" w:type="dxa"/>
            <w:vAlign w:val="bottom"/>
          </w:tcPr>
          <w:p>
            <w:pPr>
              <w:spacing w:after="0"/>
              <w:rPr>
                <w:sz w:val="23"/>
                <w:szCs w:val="23"/>
                <w:color w:val="auto"/>
              </w:rPr>
            </w:pPr>
          </w:p>
        </w:tc>
        <w:tc>
          <w:tcPr>
            <w:tcW w:w="148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January 28,</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January 29,</w:t>
            </w:r>
          </w:p>
        </w:tc>
      </w:tr>
      <w:tr>
        <w:trPr>
          <w:trHeight w:val="24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8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rPr>
              <w:t>2024</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21"/>
                <w:szCs w:val="21"/>
                <w:color w:val="auto"/>
              </w:rPr>
            </w:pPr>
          </w:p>
        </w:tc>
      </w:tr>
      <w:tr>
        <w:trPr>
          <w:trHeight w:val="223"/>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United States Transition Tax Payment</w:t>
            </w:r>
          </w:p>
        </w:tc>
        <w:tc>
          <w:tcPr>
            <w:tcW w:w="1480" w:type="dxa"/>
            <w:vAlign w:val="bottom"/>
            <w:shd w:val="clear" w:color="auto" w:fill="CFF0FC"/>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8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FF0FC"/>
          </w:tcPr>
          <w:p>
            <w:pPr>
              <w:spacing w:after="0"/>
              <w:rPr>
                <w:sz w:val="19"/>
                <w:szCs w:val="19"/>
                <w:color w:val="auto"/>
              </w:rPr>
            </w:pPr>
          </w:p>
        </w:tc>
      </w:tr>
      <w:tr>
        <w:trPr>
          <w:trHeight w:val="220"/>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China Income Taxes, Net of Refunds</w:t>
            </w:r>
          </w:p>
        </w:tc>
        <w:tc>
          <w:tcPr>
            <w:tcW w:w="14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tcPr>
          <w:p>
            <w:pPr>
              <w:spacing w:after="0"/>
              <w:rPr>
                <w:sz w:val="19"/>
                <w:szCs w:val="19"/>
                <w:color w:val="auto"/>
              </w:rPr>
            </w:pPr>
          </w:p>
        </w:tc>
      </w:tr>
      <w:tr>
        <w:trPr>
          <w:trHeight w:val="236"/>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Canada - Income Taxes, Net of Refunds</w:t>
            </w:r>
          </w:p>
        </w:tc>
        <w:tc>
          <w:tcPr>
            <w:tcW w:w="148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(9 )</w:t>
            </w:r>
          </w:p>
        </w:tc>
      </w:tr>
      <w:tr>
        <w:trPr>
          <w:trHeight w:val="220"/>
        </w:trPr>
        <w:tc>
          <w:tcPr>
            <w:tcW w:w="6740" w:type="dxa"/>
            <w:vAlign w:val="bottom"/>
            <w:tcBorders>
              <w:top w:val="single" w:sz="8" w:color="CFF0FC"/>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100" w:type="dxa"/>
            <w:vAlign w:val="bottom"/>
            <w:tcBorders>
              <w:top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100" w:type="dxa"/>
            <w:vAlign w:val="bottom"/>
            <w:tcBorders>
              <w:top w:val="single" w:sz="8" w:color="CFF0FC"/>
            </w:tcBorders>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-179070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Stock-Based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Incentive Plan Description</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restricted stock units, performance-based units, and other equity and cash related awards as determined by the Compensation Committee of our board of directors. An aggregate of 1,200,000 shares of common stock were authorized for issuance under the 2015 Plan, with certain sub-limits that would apply with respect to specific types of awards that may be issued as defined in the 2015 Plan. Effective September 27, 2023, our shareholders approved an amendment and restatement of the 2015 Plan (the "Amended and Restated Plan"). The Amended and Restated Plan authorizes the issuance of an additional 960,000 shares of common stock in addition to the shares of common stock still available for issuance under the 2015 Plan. The Amended and Restated Plan also removed certain sub-limits that previously applied with respect to specific type of awards that may be issued under the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28, 2024, there were 765,399 shares available for future equity-based grants under the Amended and Restated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Performance-Based 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Senior Executives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grant performance-based restricted stock units to senior executives which could earn up to a certain number of shares of common stock if certain performance targets are met over a three-fiscal year performance period as defined in the related restricted stock unit award agreements. The number of shares of common stock that are earned based on performance targets that have been achieved may be adjusted based on a market-based total shareholder return component as defined in the related restricted stock unit award agreements.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performance-based restricted stock units granted to senior executives were measured based on their fair market value on the date of grant. The fair market value per share was determined using the Monte Carlo simulation model for the market-based total shareholder return component and the closing price of our common stock for the performance-based component.</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table provides assumptions used to determine the fair market value of the market-based total shareholder return component using the Monte Carlo simulation model on our outstanding performance-based restricted stock units granted to senior executives on January 8, 2024, September 28, 2023, August 10, 2022 and July 22, 2021:</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6"/>
        </w:trPr>
        <w:tc>
          <w:tcPr>
            <w:tcW w:w="4100" w:type="dxa"/>
            <w:vAlign w:val="bottom"/>
          </w:tcPr>
          <w:p>
            <w:pPr>
              <w:spacing w:after="0"/>
              <w:rPr>
                <w:sz w:val="20"/>
                <w:szCs w:val="20"/>
                <w:color w:val="auto"/>
              </w:rPr>
            </w:pPr>
          </w:p>
        </w:tc>
        <w:tc>
          <w:tcPr>
            <w:tcW w:w="2540" w:type="dxa"/>
            <w:vAlign w:val="bottom"/>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January 8,</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September 28,</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August 10,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July 22,</w:t>
            </w:r>
          </w:p>
        </w:tc>
      </w:tr>
      <w:tr>
        <w:trPr>
          <w:trHeight w:val="250"/>
        </w:trPr>
        <w:tc>
          <w:tcPr>
            <w:tcW w:w="41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2024</w:t>
            </w:r>
          </w:p>
        </w:tc>
        <w:tc>
          <w:tcPr>
            <w:tcW w:w="1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2023</w:t>
            </w: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2022</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2021</w:t>
            </w:r>
          </w:p>
        </w:tc>
      </w:tr>
      <w:tr>
        <w:trPr>
          <w:trHeight w:val="243"/>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Closing price of our common stock</w:t>
            </w:r>
          </w:p>
        </w:tc>
        <w:tc>
          <w:tcPr>
            <w:tcW w:w="25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$5.61</w:t>
            </w:r>
          </w:p>
        </w:tc>
        <w:tc>
          <w:tcPr>
            <w:tcW w:w="16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$5.59</w:t>
            </w:r>
          </w:p>
        </w:tc>
        <w:tc>
          <w:tcPr>
            <w:tcW w:w="16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$5.06</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w:t>
            </w:r>
          </w:p>
        </w:tc>
      </w:tr>
      <w:tr>
        <w:trPr>
          <w:trHeight w:val="23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of our common stock</w:t>
            </w:r>
          </w:p>
        </w:tc>
        <w:tc>
          <w:tcPr>
            <w:tcW w:w="2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33.5%</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37.3%</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47"/>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 of peer companies</w:t>
            </w:r>
          </w:p>
        </w:tc>
        <w:tc>
          <w:tcPr>
            <w:tcW w:w="25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33.7% - 102.6%</w:t>
            </w:r>
          </w:p>
        </w:tc>
        <w:tc>
          <w:tcPr>
            <w:tcW w:w="16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35.7% - 91.5%</w:t>
            </w:r>
          </w:p>
        </w:tc>
        <w:tc>
          <w:tcPr>
            <w:tcW w:w="16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41.6% - 105.1%</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 - 101.5%</w:t>
            </w:r>
          </w:p>
        </w:tc>
      </w:tr>
      <w:tr>
        <w:trPr>
          <w:trHeight w:val="23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4.30%</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4.90%</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47"/>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5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0.00%</w:t>
            </w:r>
          </w:p>
        </w:tc>
        <w:tc>
          <w:tcPr>
            <w:tcW w:w="16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0.00%</w:t>
            </w:r>
          </w:p>
        </w:tc>
        <w:tc>
          <w:tcPr>
            <w:tcW w:w="16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9"/>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Correlation coefficient of peer companies</w:t>
            </w:r>
          </w:p>
        </w:tc>
        <w:tc>
          <w:tcPr>
            <w:tcW w:w="2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0.01 - 0.21</w:t>
            </w:r>
          </w:p>
        </w:tc>
        <w:tc>
          <w:tcPr>
            <w:tcW w:w="1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0.01 - 0.21</w:t>
            </w: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0.05 - 0.23</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0.03 - 0.35</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Employees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grant performance-based restricted stock units to key employees which could earn up to a certain number of shares of common stock if certain performance targets are met over a three-fiscal year performance period as defined in the related restricted stock unit award agreements. Our performance-based restricted stock units granted to key employees were measured based on the fair market value (the closing price of our common stock) on the date of grant. No market-based total shareholder return component was included in these awards.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Overall</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information related to our grants of performance-based restricted stock units associated with senior executives and key employees that were unvested as of January 28,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60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tcPr>
          <w:p>
            <w:pPr>
              <w:jc w:val="center"/>
              <w:ind w:left="419"/>
              <w:spacing w:after="0"/>
              <w:rPr>
                <w:sz w:val="20"/>
                <w:szCs w:val="20"/>
                <w:color w:val="auto"/>
              </w:rPr>
            </w:pPr>
            <w:r>
              <w:rPr>
                <w:rFonts w:ascii="Times New Roman" w:cs="Times New Roman" w:eastAsia="Times New Roman" w:hAnsi="Times New Roman"/>
                <w:sz w:val="16"/>
                <w:szCs w:val="16"/>
                <w:color w:val="auto"/>
                <w:w w:val="96"/>
              </w:rPr>
              <w:t>(3)</w:t>
            </w:r>
          </w:p>
        </w:tc>
        <w:tc>
          <w:tcPr>
            <w:tcW w:w="184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(4)</w:t>
            </w:r>
          </w:p>
        </w:tc>
        <w:tc>
          <w:tcPr>
            <w:tcW w:w="3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r>
      <w:tr>
        <w:trPr>
          <w:trHeight w:val="229"/>
        </w:trPr>
        <w:tc>
          <w:tcPr>
            <w:tcW w:w="2600" w:type="dxa"/>
            <w:vAlign w:val="bottom"/>
          </w:tcPr>
          <w:p>
            <w:pPr>
              <w:spacing w:after="0"/>
              <w:rPr>
                <w:sz w:val="19"/>
                <w:szCs w:val="19"/>
                <w:color w:val="auto"/>
              </w:rPr>
            </w:pPr>
          </w:p>
        </w:tc>
        <w:tc>
          <w:tcPr>
            <w:tcW w:w="280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rPr>
              <w:t>Performance-Based</w:t>
            </w:r>
          </w:p>
        </w:tc>
        <w:tc>
          <w:tcPr>
            <w:tcW w:w="18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Restricted Stock</w:t>
            </w: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2600" w:type="dxa"/>
            <w:vAlign w:val="bottom"/>
          </w:tcPr>
          <w:p>
            <w:pPr>
              <w:spacing w:after="0"/>
              <w:rPr>
                <w:sz w:val="19"/>
                <w:szCs w:val="19"/>
                <w:color w:val="auto"/>
              </w:rPr>
            </w:pPr>
          </w:p>
        </w:tc>
        <w:tc>
          <w:tcPr>
            <w:tcW w:w="280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Restricted Stock</w:t>
            </w:r>
          </w:p>
        </w:tc>
        <w:tc>
          <w:tcPr>
            <w:tcW w:w="18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Units Expected</w:t>
            </w: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43"/>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Date of Grant</w:t>
            </w:r>
          </w:p>
        </w:tc>
        <w:tc>
          <w:tcPr>
            <w:tcW w:w="2800" w:type="dxa"/>
            <w:vAlign w:val="bottom"/>
            <w:tcBorders>
              <w:bottom w:val="single" w:sz="8" w:color="auto"/>
            </w:tcBorders>
          </w:tcPr>
          <w:p>
            <w:pPr>
              <w:jc w:val="center"/>
              <w:ind w:left="419"/>
              <w:spacing w:after="0"/>
              <w:rPr>
                <w:sz w:val="20"/>
                <w:szCs w:val="20"/>
                <w:color w:val="auto"/>
              </w:rPr>
            </w:pPr>
            <w:r>
              <w:rPr>
                <w:rFonts w:ascii="Times New Roman" w:cs="Times New Roman" w:eastAsia="Times New Roman" w:hAnsi="Times New Roman"/>
                <w:sz w:val="16"/>
                <w:szCs w:val="16"/>
                <w:color w:val="auto"/>
              </w:rPr>
              <w:t>Units Awarded</w:t>
            </w:r>
          </w:p>
        </w:tc>
        <w:tc>
          <w:tcPr>
            <w:tcW w:w="18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6"/>
              </w:rPr>
              <w:t>to Vest</w:t>
            </w:r>
          </w:p>
        </w:tc>
        <w:tc>
          <w:tcPr>
            <w:tcW w:w="3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Price Per Share</w:t>
            </w:r>
          </w:p>
        </w:tc>
        <w:tc>
          <w:tcPr>
            <w:tcW w:w="5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Vesting Period</w:t>
            </w:r>
          </w:p>
        </w:tc>
      </w:tr>
      <w:tr>
        <w:trPr>
          <w:trHeight w:val="230"/>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January 8, 2024 (1)</w:t>
            </w:r>
          </w:p>
        </w:tc>
        <w:tc>
          <w:tcPr>
            <w:tcW w:w="28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24,597</w:t>
            </w:r>
          </w:p>
        </w:tc>
        <w:tc>
          <w:tcPr>
            <w:tcW w:w="1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14,663</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5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(5)</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 months</w:t>
            </w:r>
          </w:p>
        </w:tc>
      </w:tr>
      <w:tr>
        <w:trPr>
          <w:trHeight w:val="220"/>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28, 2023 (1)</w:t>
            </w:r>
          </w:p>
        </w:tc>
        <w:tc>
          <w:tcPr>
            <w:tcW w:w="28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202,900</w:t>
            </w:r>
          </w:p>
        </w:tc>
        <w:tc>
          <w:tcPr>
            <w:tcW w:w="1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83,055</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5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months</w:t>
            </w:r>
          </w:p>
        </w:tc>
      </w:tr>
      <w:tr>
        <w:trPr>
          <w:trHeight w:val="239"/>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August 10, 2022 (1)</w:t>
            </w:r>
          </w:p>
        </w:tc>
        <w:tc>
          <w:tcPr>
            <w:tcW w:w="28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178,714</w:t>
            </w:r>
          </w:p>
        </w:tc>
        <w:tc>
          <w:tcPr>
            <w:tcW w:w="1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5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(7)</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20"/>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July 22, 2021 (1)</w:t>
            </w:r>
          </w:p>
        </w:tc>
        <w:tc>
          <w:tcPr>
            <w:tcW w:w="28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122,476</w:t>
            </w:r>
          </w:p>
        </w:tc>
        <w:tc>
          <w:tcPr>
            <w:tcW w:w="1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5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(8)</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73"/>
        </w:trPr>
        <w:tc>
          <w:tcPr>
            <w:tcW w:w="26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July 22, 2021 (2)</w:t>
            </w:r>
          </w:p>
        </w:tc>
        <w:tc>
          <w:tcPr>
            <w:tcW w:w="28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20,500</w:t>
            </w:r>
          </w:p>
        </w:tc>
        <w:tc>
          <w:tcPr>
            <w:tcW w:w="18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52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(9)</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years</w:t>
            </w:r>
          </w:p>
        </w:tc>
      </w:tr>
    </w:tbl>
    <w:p>
      <w:pPr>
        <w:spacing w:after="0" w:line="193"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awarded to senior executives.</w:t>
      </w:r>
    </w:p>
    <w:p>
      <w:pPr>
        <w:spacing w:after="0" w:line="175"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awarded to key employees.</w:t>
      </w:r>
    </w:p>
    <w:p>
      <w:pPr>
        <w:spacing w:after="0" w:line="188"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represent the maximum number of common stock shares that could be earned if certain performance targets are met as defined in the related restricted stock unit agreements.</w:t>
      </w:r>
    </w:p>
    <w:p>
      <w:pPr>
        <w:spacing w:after="0" w:line="118"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cost is based on an assessment each reporting period to determine the probability of whether or not certain performance goals will be met and how many shares are expected to be earned as of the end of the vesting period. These amounts represent the number of shares that were expected to vest as of January 28, 2024.</w:t>
      </w:r>
    </w:p>
    <w:p>
      <w:pPr>
        <w:spacing w:after="0" w:line="133" w:lineRule="exact"/>
        <w:rPr>
          <w:rFonts w:ascii="Times New Roman" w:cs="Times New Roman" w:eastAsia="Times New Roman" w:hAnsi="Times New Roman"/>
          <w:sz w:val="20"/>
          <w:szCs w:val="20"/>
          <w:color w:val="auto"/>
        </w:rPr>
      </w:pPr>
    </w:p>
    <w:p>
      <w:pPr>
        <w:jc w:val="both"/>
        <w:ind w:left="380" w:right="20" w:hanging="372"/>
        <w:spacing w:after="0" w:line="249"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($1.11 per $1, or an increase of $0.62 to the closing price of our common stock on the date of grant) determined using the Monte Carlo simulation model for the market-based total shareholder return component and the closing price of our common stock ($5.61) for the performance-based component of the performance-based restricted stock units granted to senior executives on January 8, 2024.</w:t>
      </w:r>
    </w:p>
    <w:p>
      <w:pPr>
        <w:spacing w:after="0" w:line="152"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($1.15 per $1, or an increase of $0.84 to the closing price of our common stock on the date of grant) determined using the Monte Carlo simulation model for the market-based total shareholder return component and the closing price of our common stock ($5.59) for the performance-based component of the performance-based restricted stock units granted to senior executives on September 28, 2023.</w:t>
      </w:r>
    </w:p>
    <w:p>
      <w:pPr>
        <w:spacing w:after="0" w:line="139"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($1.14 per $1, or an increase of $0.71 to the closing price of our common stock on the date of grant) determined using the Monte Carlo simulation model for the market-based total shareholder return component and the closing price of our common stock ($5.06) for the performance-based component of the performance-based restricted stock units granted to senior executives on August 10, 2022.</w:t>
      </w:r>
    </w:p>
    <w:p>
      <w:pPr>
        <w:spacing w:after="0" w:line="139"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($1.08 per $1, or an increase of $1.18 to the closing price of our common stock on the date of grant) determined using the Monte Carlo simulation model for the market-based total shareholder</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28" w:name="page29"/>
    <w:bookmarkEnd w:id="28"/>
    <w:p>
      <w:pPr>
        <w:ind w:left="380"/>
        <w:spacing w:after="0" w:line="269" w:lineRule="auto"/>
        <w:rPr>
          <w:sz w:val="20"/>
          <w:szCs w:val="20"/>
          <w:color w:val="auto"/>
        </w:rPr>
      </w:pPr>
      <w:r>
        <w:rPr>
          <w:rFonts w:ascii="Times New Roman" w:cs="Times New Roman" w:eastAsia="Times New Roman" w:hAnsi="Times New Roman"/>
          <w:sz w:val="20"/>
          <w:szCs w:val="20"/>
          <w:color w:val="auto"/>
        </w:rPr>
        <w:t>return component and the closing price of our common stock ($14.75) for the performance-based component of the performance-based restricted stock units granted to senior executives on July 22, 2021.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  Price per share represents the closing price of our common stock on the date of grant.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were no performance-based restricted stock units that vested during the nine-month period ended January 28, 2024. The following table summarizes information related to our performance-based restricted stock units that vested during the nine-month period ended January 29,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20" w:type="dxa"/>
            <w:vAlign w:val="bottom"/>
            <w:tcBorders>
              <w:top w:val="single" w:sz="8" w:color="auto"/>
            </w:tcBorders>
          </w:tcPr>
          <w:p>
            <w:pPr>
              <w:spacing w:after="0"/>
              <w:rPr>
                <w:sz w:val="19"/>
                <w:szCs w:val="19"/>
                <w:color w:val="auto"/>
              </w:rPr>
            </w:pPr>
          </w:p>
        </w:tc>
        <w:tc>
          <w:tcPr>
            <w:tcW w:w="3680" w:type="dxa"/>
            <w:vAlign w:val="bottom"/>
            <w:tcBorders>
              <w:top w:val="single" w:sz="8" w:color="auto"/>
            </w:tcBorders>
          </w:tcPr>
          <w:p>
            <w:pPr>
              <w:jc w:val="center"/>
              <w:ind w:left="2319"/>
              <w:spacing w:after="0"/>
              <w:rPr>
                <w:sz w:val="20"/>
                <w:szCs w:val="20"/>
                <w:color w:val="auto"/>
              </w:rPr>
            </w:pPr>
            <w:r>
              <w:rPr>
                <w:rFonts w:ascii="Times New Roman" w:cs="Times New Roman" w:eastAsia="Times New Roman" w:hAnsi="Times New Roman"/>
                <w:sz w:val="16"/>
                <w:szCs w:val="16"/>
                <w:color w:val="auto"/>
              </w:rPr>
              <w:t>Performance-Based</w:t>
            </w:r>
          </w:p>
        </w:tc>
        <w:tc>
          <w:tcPr>
            <w:tcW w:w="4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(4)</w:t>
            </w:r>
          </w:p>
        </w:tc>
      </w:tr>
      <w:tr>
        <w:trPr>
          <w:trHeight w:val="229"/>
        </w:trPr>
        <w:tc>
          <w:tcPr>
            <w:tcW w:w="3420" w:type="dxa"/>
            <w:vAlign w:val="bottom"/>
          </w:tcPr>
          <w:p>
            <w:pPr>
              <w:spacing w:after="0"/>
              <w:rPr>
                <w:sz w:val="19"/>
                <w:szCs w:val="19"/>
                <w:color w:val="auto"/>
              </w:rPr>
            </w:pPr>
          </w:p>
        </w:tc>
        <w:tc>
          <w:tcPr>
            <w:tcW w:w="3680" w:type="dxa"/>
            <w:vAlign w:val="bottom"/>
          </w:tcPr>
          <w:p>
            <w:pPr>
              <w:jc w:val="center"/>
              <w:ind w:left="2339"/>
              <w:spacing w:after="0"/>
              <w:rPr>
                <w:sz w:val="20"/>
                <w:szCs w:val="20"/>
                <w:color w:val="auto"/>
              </w:rPr>
            </w:pPr>
            <w:r>
              <w:rPr>
                <w:rFonts w:ascii="Times New Roman" w:cs="Times New Roman" w:eastAsia="Times New Roman" w:hAnsi="Times New Roman"/>
                <w:sz w:val="16"/>
                <w:szCs w:val="16"/>
                <w:color w:val="auto"/>
              </w:rPr>
              <w:t>Restricted Stock</w:t>
            </w:r>
          </w:p>
        </w:tc>
        <w:tc>
          <w:tcPr>
            <w:tcW w:w="400" w:type="dxa"/>
            <w:vAlign w:val="bottom"/>
          </w:tcPr>
          <w:p>
            <w:pPr>
              <w:spacing w:after="0"/>
              <w:rPr>
                <w:sz w:val="19"/>
                <w:szCs w:val="19"/>
                <w:color w:val="auto"/>
              </w:rPr>
            </w:pPr>
          </w:p>
        </w:tc>
        <w:tc>
          <w:tcPr>
            <w:tcW w:w="1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(3)</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Price</w:t>
            </w:r>
          </w:p>
        </w:tc>
      </w:tr>
      <w:tr>
        <w:trPr>
          <w:trHeight w:val="243"/>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3680" w:type="dxa"/>
            <w:vAlign w:val="bottom"/>
            <w:tcBorders>
              <w:bottom w:val="single" w:sz="8" w:color="auto"/>
            </w:tcBorders>
          </w:tcPr>
          <w:p>
            <w:pPr>
              <w:jc w:val="center"/>
              <w:ind w:left="2339"/>
              <w:spacing w:after="0"/>
              <w:rPr>
                <w:sz w:val="20"/>
                <w:szCs w:val="20"/>
                <w:color w:val="auto"/>
              </w:rPr>
            </w:pPr>
            <w:r>
              <w:rPr>
                <w:rFonts w:ascii="Times New Roman" w:cs="Times New Roman" w:eastAsia="Times New Roman" w:hAnsi="Times New Roman"/>
                <w:sz w:val="16"/>
                <w:szCs w:val="16"/>
                <w:color w:val="auto"/>
                <w:w w:val="98"/>
              </w:rPr>
              <w:t>Units Vested</w:t>
            </w:r>
          </w:p>
        </w:tc>
        <w:tc>
          <w:tcPr>
            <w:tcW w:w="4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Fair Value</w:t>
            </w:r>
          </w:p>
        </w:tc>
        <w:tc>
          <w:tcPr>
            <w:tcW w:w="4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rPr>
              <w:t>Per Share</w:t>
            </w:r>
          </w:p>
        </w:tc>
      </w:tr>
      <w:tr>
        <w:trPr>
          <w:trHeight w:val="229"/>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Fiscal 2023 (1)</w:t>
            </w:r>
          </w:p>
        </w:tc>
        <w:tc>
          <w:tcPr>
            <w:tcW w:w="36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545</w:t>
            </w:r>
          </w:p>
        </w:tc>
        <w:tc>
          <w:tcPr>
            <w:tcW w:w="1560" w:type="dxa"/>
            <w:vAlign w:val="bottom"/>
            <w:shd w:val="clear" w:color="auto" w:fill="CFF0FC"/>
          </w:tcPr>
          <w:p>
            <w:pPr>
              <w:jc w:val="right"/>
              <w:ind w:right="12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5.10</w:t>
            </w:r>
          </w:p>
        </w:tc>
      </w:tr>
      <w:tr>
        <w:trPr>
          <w:trHeight w:val="223"/>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Fiscal 2023 (2)</w:t>
            </w:r>
          </w:p>
        </w:tc>
        <w:tc>
          <w:tcPr>
            <w:tcW w:w="36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437</w:t>
            </w:r>
          </w:p>
        </w:tc>
        <w:tc>
          <w:tcPr>
            <w:tcW w:w="1560" w:type="dxa"/>
            <w:vAlign w:val="bottom"/>
            <w:tcBorders>
              <w:bottom w:val="single" w:sz="8" w:color="auto"/>
            </w:tcBorders>
          </w:tcPr>
          <w:p>
            <w:pPr>
              <w:jc w:val="right"/>
              <w:ind w:right="12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5.10</w:t>
            </w: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vested by senior executives.</w:t>
      </w:r>
    </w:p>
    <w:p>
      <w:pPr>
        <w:spacing w:after="0" w:line="175"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vested by key employees.</w:t>
      </w:r>
    </w:p>
    <w:p>
      <w:pPr>
        <w:spacing w:after="0" w:line="188"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 amounts are in thousands.</w:t>
      </w:r>
    </w:p>
    <w:p>
      <w:pPr>
        <w:spacing w:after="0" w:line="175"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is derived from the closing price of our common stock on the date the respective performance-based restricted stock units vested.</w:t>
      </w:r>
    </w:p>
    <w:p>
      <w:pPr>
        <w:spacing w:after="0" w:line="1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recorded compensation expense of $67,000 and $2,000 within selling, general, and administrative expenses associated with our performance-based restrictive stock units for the nine-month periods ended January 28, 2024, and January 29, 2023, respectively. Compensation expense is recorded based on an assessment each reporting period to determine the probability of whether or not certain performance targets will be met and how many shares are expected to be earned as of the end of the vesting period. If certain performance goals are not expected to be achieved, compensation expense would not be recorded, and any previously recognized compensation expense would be reversed.</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January 28, 2024, the remaining unrecognized compensation expense related to our performance-based restricted stock units was $558,000, which is expected to be recognized over a weighted average vesting period of 2.5 years. As of January 28, 2024, the performance-based restricted stock units that are expected to vest had a fair value totaling $498,000.</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Time-Based Restricted Stock Units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The following table summarizes </w:t>
      </w:r>
      <w:r>
        <w:rPr>
          <w:rFonts w:ascii="Times New Roman" w:cs="Times New Roman" w:eastAsia="Times New Roman" w:hAnsi="Times New Roman"/>
          <w:sz w:val="17"/>
          <w:szCs w:val="17"/>
          <w:color w:val="auto"/>
        </w:rPr>
        <w:t>information</w:t>
      </w:r>
      <w:r>
        <w:rPr>
          <w:rFonts w:ascii="Times New Roman" w:cs="Times New Roman" w:eastAsia="Times New Roman" w:hAnsi="Times New Roman"/>
          <w:sz w:val="20"/>
          <w:szCs w:val="20"/>
          <w:color w:val="auto"/>
        </w:rPr>
        <w:t xml:space="preserve"> related to our grants of time-based restricted stock unit awards associated with senior executives, key employees, and outside directors that were unvested as of January 28,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60" w:type="dxa"/>
            <w:vAlign w:val="bottom"/>
            <w:tcBorders>
              <w:top w:val="single" w:sz="8" w:color="auto"/>
            </w:tcBorders>
          </w:tcPr>
          <w:p>
            <w:pPr>
              <w:spacing w:after="0"/>
              <w:rPr>
                <w:sz w:val="19"/>
                <w:szCs w:val="19"/>
                <w:color w:val="auto"/>
              </w:rPr>
            </w:pPr>
          </w:p>
        </w:tc>
        <w:tc>
          <w:tcPr>
            <w:tcW w:w="3520" w:type="dxa"/>
            <w:vAlign w:val="bottom"/>
            <w:tcBorders>
              <w:top w:val="single" w:sz="8" w:color="auto"/>
            </w:tcBorders>
          </w:tcPr>
          <w:p>
            <w:pPr>
              <w:jc w:val="center"/>
              <w:ind w:left="1719"/>
              <w:spacing w:after="0"/>
              <w:rPr>
                <w:sz w:val="20"/>
                <w:szCs w:val="20"/>
                <w:color w:val="auto"/>
              </w:rPr>
            </w:pPr>
            <w:r>
              <w:rPr>
                <w:rFonts w:ascii="Times New Roman" w:cs="Times New Roman" w:eastAsia="Times New Roman" w:hAnsi="Times New Roman"/>
                <w:sz w:val="16"/>
                <w:szCs w:val="16"/>
                <w:color w:val="auto"/>
              </w:rPr>
              <w:t>Time-Based</w:t>
            </w:r>
          </w:p>
        </w:tc>
        <w:tc>
          <w:tcPr>
            <w:tcW w:w="1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r>
      <w:tr>
        <w:trPr>
          <w:trHeight w:val="229"/>
        </w:trPr>
        <w:tc>
          <w:tcPr>
            <w:tcW w:w="3660" w:type="dxa"/>
            <w:vAlign w:val="bottom"/>
          </w:tcPr>
          <w:p>
            <w:pPr>
              <w:spacing w:after="0"/>
              <w:rPr>
                <w:sz w:val="19"/>
                <w:szCs w:val="19"/>
                <w:color w:val="auto"/>
              </w:rPr>
            </w:pPr>
          </w:p>
        </w:tc>
        <w:tc>
          <w:tcPr>
            <w:tcW w:w="352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rPr>
              <w:t>Restricted Stock</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43"/>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Date of Grant</w:t>
            </w:r>
          </w:p>
        </w:tc>
        <w:tc>
          <w:tcPr>
            <w:tcW w:w="3520" w:type="dxa"/>
            <w:vAlign w:val="bottom"/>
            <w:tcBorders>
              <w:bottom w:val="single" w:sz="8" w:color="auto"/>
            </w:tcBorders>
          </w:tcPr>
          <w:p>
            <w:pPr>
              <w:jc w:val="center"/>
              <w:ind w:left="1719"/>
              <w:spacing w:after="0"/>
              <w:rPr>
                <w:sz w:val="20"/>
                <w:szCs w:val="20"/>
                <w:color w:val="auto"/>
              </w:rPr>
            </w:pPr>
            <w:r>
              <w:rPr>
                <w:rFonts w:ascii="Times New Roman" w:cs="Times New Roman" w:eastAsia="Times New Roman" w:hAnsi="Times New Roman"/>
                <w:sz w:val="16"/>
                <w:szCs w:val="16"/>
                <w:color w:val="auto"/>
                <w:w w:val="98"/>
              </w:rPr>
              <w:t>Units Awarded</w:t>
            </w: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Price Per Share</w:t>
            </w:r>
          </w:p>
        </w:tc>
        <w:tc>
          <w:tcPr>
            <w:tcW w:w="1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Vesting Period</w:t>
            </w:r>
          </w:p>
        </w:tc>
      </w:tr>
      <w:tr>
        <w:trPr>
          <w:trHeight w:val="22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8, 2024 (2)</w:t>
            </w:r>
          </w:p>
        </w:tc>
        <w:tc>
          <w:tcPr>
            <w:tcW w:w="3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14,758</w:t>
            </w:r>
          </w:p>
        </w:tc>
        <w:tc>
          <w:tcPr>
            <w:tcW w:w="140" w:type="dxa"/>
            <w:vAlign w:val="bottom"/>
          </w:tcPr>
          <w:p>
            <w:pPr>
              <w:spacing w:after="0"/>
              <w:rPr>
                <w:sz w:val="19"/>
                <w:szCs w:val="19"/>
                <w:color w:val="auto"/>
              </w:rPr>
            </w:pPr>
          </w:p>
        </w:tc>
        <w:tc>
          <w:tcPr>
            <w:tcW w:w="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months</w:t>
            </w:r>
          </w:p>
        </w:tc>
      </w:tr>
      <w:tr>
        <w:trPr>
          <w:trHeight w:val="23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September 28, 2023 (2)</w:t>
            </w:r>
          </w:p>
        </w:tc>
        <w:tc>
          <w:tcPr>
            <w:tcW w:w="3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100,068</w:t>
            </w:r>
          </w:p>
        </w:tc>
        <w:tc>
          <w:tcPr>
            <w:tcW w:w="5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shd w:val="clear" w:color="auto" w:fill="CFF0FC"/>
          </w:tcPr>
          <w:p>
            <w:pPr>
              <w:spacing w:after="0"/>
              <w:rPr>
                <w:sz w:val="20"/>
                <w:szCs w:val="20"/>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 months</w:t>
            </w:r>
          </w:p>
        </w:tc>
      </w:tr>
      <w:tr>
        <w:trPr>
          <w:trHeight w:val="22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28, 2023 (3)</w:t>
            </w:r>
          </w:p>
        </w:tc>
        <w:tc>
          <w:tcPr>
            <w:tcW w:w="3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59,928</w:t>
            </w:r>
          </w:p>
        </w:tc>
        <w:tc>
          <w:tcPr>
            <w:tcW w:w="5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year</w:t>
            </w:r>
          </w:p>
        </w:tc>
      </w:tr>
      <w:tr>
        <w:trPr>
          <w:trHeight w:val="23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September 6, 2022 (2)</w:t>
            </w:r>
          </w:p>
        </w:tc>
        <w:tc>
          <w:tcPr>
            <w:tcW w:w="3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25,114</w:t>
            </w:r>
          </w:p>
        </w:tc>
        <w:tc>
          <w:tcPr>
            <w:tcW w:w="5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shd w:val="clear" w:color="auto" w:fill="CFF0FC"/>
          </w:tcPr>
          <w:p>
            <w:pPr>
              <w:spacing w:after="0"/>
              <w:rPr>
                <w:sz w:val="20"/>
                <w:szCs w:val="20"/>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 to 3 years</w:t>
            </w:r>
          </w:p>
        </w:tc>
      </w:tr>
      <w:tr>
        <w:trPr>
          <w:trHeight w:val="22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10, 2022 (2)</w:t>
            </w:r>
          </w:p>
        </w:tc>
        <w:tc>
          <w:tcPr>
            <w:tcW w:w="3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78,225</w:t>
            </w:r>
          </w:p>
        </w:tc>
        <w:tc>
          <w:tcPr>
            <w:tcW w:w="5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73"/>
        </w:trPr>
        <w:tc>
          <w:tcPr>
            <w:tcW w:w="36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July 22, 2021 (2)</w:t>
            </w:r>
          </w:p>
        </w:tc>
        <w:tc>
          <w:tcPr>
            <w:tcW w:w="3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30,835</w:t>
            </w:r>
          </w:p>
        </w:tc>
        <w:tc>
          <w:tcPr>
            <w:tcW w:w="14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00" w:type="dxa"/>
            <w:vAlign w:val="bottom"/>
            <w:tcBorders>
              <w:bottom w:val="single" w:sz="8" w:color="CFF0FC"/>
            </w:tcBorders>
            <w:shd w:val="clear" w:color="auto" w:fill="CFF0FC"/>
          </w:tcPr>
          <w:p>
            <w:pPr>
              <w:spacing w:after="0"/>
              <w:rPr>
                <w:sz w:val="23"/>
                <w:szCs w:val="23"/>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-25400</wp:posOffset>
            </wp:positionV>
            <wp:extent cx="768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-8255</wp:posOffset>
            </wp:positionV>
            <wp:extent cx="768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closing price of common stock on the date the respective award was granted.</w:t>
      </w:r>
    </w:p>
    <w:p>
      <w:pPr>
        <w:spacing w:after="0" w:line="2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Time-based restricted stock units awarded to senior executives and key employees.</w:t>
      </w:r>
    </w:p>
    <w:p>
      <w:pPr>
        <w:ind w:left="380" w:hanging="372"/>
        <w:spacing w:after="0"/>
        <w:tabs>
          <w:tab w:leader="none" w:pos="3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Time-based restricted stock units awarded to outside directors.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information related to our time-based restricted stock units that vested during the nine-month periods ending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28, 2024, and January 29, 2023,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4"/>
        </w:trPr>
        <w:tc>
          <w:tcPr>
            <w:tcW w:w="3220" w:type="dxa"/>
            <w:vAlign w:val="bottom"/>
            <w:tcBorders>
              <w:top w:val="single" w:sz="8" w:color="auto"/>
            </w:tcBorders>
          </w:tcPr>
          <w:p>
            <w:pPr>
              <w:spacing w:after="0"/>
              <w:rPr>
                <w:sz w:val="19"/>
                <w:szCs w:val="19"/>
                <w:color w:val="auto"/>
              </w:rPr>
            </w:pPr>
          </w:p>
        </w:tc>
        <w:tc>
          <w:tcPr>
            <w:tcW w:w="4000" w:type="dxa"/>
            <w:vAlign w:val="bottom"/>
            <w:tcBorders>
              <w:top w:val="single" w:sz="8" w:color="auto"/>
            </w:tcBorders>
          </w:tcPr>
          <w:p>
            <w:pPr>
              <w:jc w:val="center"/>
              <w:ind w:left="1919"/>
              <w:spacing w:after="0"/>
              <w:rPr>
                <w:sz w:val="20"/>
                <w:szCs w:val="20"/>
                <w:color w:val="auto"/>
              </w:rPr>
            </w:pPr>
            <w:r>
              <w:rPr>
                <w:rFonts w:ascii="Times New Roman" w:cs="Times New Roman" w:eastAsia="Times New Roman" w:hAnsi="Times New Roman"/>
                <w:sz w:val="16"/>
                <w:szCs w:val="16"/>
                <w:color w:val="auto"/>
              </w:rPr>
              <w:t>Time-Based</w:t>
            </w:r>
          </w:p>
        </w:tc>
        <w:tc>
          <w:tcPr>
            <w:tcW w:w="14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w w:val="96"/>
              </w:rPr>
              <w:t>(2)</w:t>
            </w:r>
          </w:p>
        </w:tc>
      </w:tr>
      <w:tr>
        <w:trPr>
          <w:trHeight w:val="229"/>
        </w:trPr>
        <w:tc>
          <w:tcPr>
            <w:tcW w:w="3220" w:type="dxa"/>
            <w:vAlign w:val="bottom"/>
          </w:tcPr>
          <w:p>
            <w:pPr>
              <w:spacing w:after="0"/>
              <w:rPr>
                <w:sz w:val="19"/>
                <w:szCs w:val="19"/>
                <w:color w:val="auto"/>
              </w:rPr>
            </w:pPr>
          </w:p>
        </w:tc>
        <w:tc>
          <w:tcPr>
            <w:tcW w:w="4000" w:type="dxa"/>
            <w:vAlign w:val="bottom"/>
          </w:tcPr>
          <w:p>
            <w:pPr>
              <w:jc w:val="center"/>
              <w:ind w:left="1919"/>
              <w:spacing w:after="0"/>
              <w:rPr>
                <w:sz w:val="20"/>
                <w:szCs w:val="20"/>
                <w:color w:val="auto"/>
              </w:rPr>
            </w:pPr>
            <w:r>
              <w:rPr>
                <w:rFonts w:ascii="Times New Roman" w:cs="Times New Roman" w:eastAsia="Times New Roman" w:hAnsi="Times New Roman"/>
                <w:sz w:val="16"/>
                <w:szCs w:val="16"/>
                <w:color w:val="auto"/>
              </w:rPr>
              <w:t>Restricted Stock</w:t>
            </w:r>
          </w:p>
        </w:tc>
        <w:tc>
          <w:tcPr>
            <w:tcW w:w="14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w:t>
            </w: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Price</w:t>
            </w:r>
          </w:p>
        </w:tc>
      </w:tr>
      <w:tr>
        <w:trPr>
          <w:trHeight w:val="242"/>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4000" w:type="dxa"/>
            <w:vAlign w:val="bottom"/>
            <w:tcBorders>
              <w:bottom w:val="single" w:sz="8" w:color="auto"/>
            </w:tcBorders>
          </w:tcPr>
          <w:p>
            <w:pPr>
              <w:jc w:val="center"/>
              <w:ind w:left="1899"/>
              <w:spacing w:after="0"/>
              <w:rPr>
                <w:sz w:val="20"/>
                <w:szCs w:val="20"/>
                <w:color w:val="auto"/>
              </w:rPr>
            </w:pPr>
            <w:r>
              <w:rPr>
                <w:rFonts w:ascii="Times New Roman" w:cs="Times New Roman" w:eastAsia="Times New Roman" w:hAnsi="Times New Roman"/>
                <w:sz w:val="16"/>
                <w:szCs w:val="16"/>
                <w:color w:val="auto"/>
                <w:w w:val="98"/>
              </w:rPr>
              <w:t>Units Vested</w:t>
            </w: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Fair Value</w:t>
            </w:r>
          </w:p>
        </w:tc>
        <w:tc>
          <w:tcPr>
            <w:tcW w:w="5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rPr>
              <w:t>Per Share</w:t>
            </w:r>
          </w:p>
        </w:tc>
      </w:tr>
      <w:tr>
        <w:trPr>
          <w:trHeight w:val="230"/>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Fiscal 2024</w:t>
            </w:r>
          </w:p>
        </w:tc>
        <w:tc>
          <w:tcPr>
            <w:tcW w:w="4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151,653</w:t>
            </w:r>
          </w:p>
        </w:tc>
        <w:tc>
          <w:tcPr>
            <w:tcW w:w="1400" w:type="dxa"/>
            <w:vAlign w:val="bottom"/>
            <w:shd w:val="clear" w:color="auto" w:fill="CFF0FC"/>
          </w:tcPr>
          <w:p>
            <w:pPr>
              <w:jc w:val="right"/>
              <w:ind w:right="109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857</w:t>
            </w:r>
          </w:p>
        </w:tc>
        <w:tc>
          <w:tcPr>
            <w:tcW w:w="52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5.65</w:t>
            </w:r>
          </w:p>
        </w:tc>
      </w:tr>
      <w:tr>
        <w:trPr>
          <w:trHeight w:val="223"/>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Fiscal 2023</w:t>
            </w:r>
          </w:p>
        </w:tc>
        <w:tc>
          <w:tcPr>
            <w:tcW w:w="4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32,799</w:t>
            </w:r>
          </w:p>
        </w:tc>
        <w:tc>
          <w:tcPr>
            <w:tcW w:w="140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167</w:t>
            </w:r>
          </w:p>
        </w:tc>
        <w:tc>
          <w:tcPr>
            <w:tcW w:w="5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5.10</w:t>
            </w: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 amounts are in thousands.</w:t>
      </w:r>
    </w:p>
    <w:p>
      <w:pPr>
        <w:spacing w:after="0" w:line="175"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Price per share is derived from the closing price of our common stock on the date the respective time-based restricted stock units vested.</w:t>
      </w:r>
    </w:p>
    <w:p>
      <w:pPr>
        <w:spacing w:after="0" w:line="20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recorded compensation expense of $597,000 and $634,000 within selling, general, and administrative expenses associated with our time-based restricted stock unit awards for the nine-month periods ended January 28, 2024, and January 29, 2023, respectively.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January 28, 2024, the remaining unrecognized compensation expense related to our time-based restricted stock units was $1.1 million, which is expected to be recognized over a weighted average vesting period of 1.8 years. As of January 28, 2024, the time-based restricted stock units that are expected to vest had a fair value totaling $1.6 million.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Immediately Vested Common Stock Awards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granted a total of 16,616 shares of common stock to our outside directors on July 3, 2023. These shares of common stock vested immediately and were measured at their fair value on the date of the grant. The fair value of these awards was $5.04 per share on July 3, 2023, respectively, which represents the closing price of our common stock on the date of grant.</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granted a total of 17,819, 18,326, and 19,753 shares of common stock to our outside directors on January 3, 2023, October 3, 2022, and July 1, 2022, respectively. These shares of common stock vested immediately and were measured at their fair value on the date of the grant. The fair value of these awards was $4.70, $4.57, and $4.24 per share on January 3, 2023, October 3, 2022, and July 1, 2022, respectively, which represents the closing price of our common stock on the date of grant.</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recorded $84,000 and $251,000 of compensation expense within selling, general, and administrative expenses for common stock awards to our outside directors for the nine-month periods ended January 28, 2024, and January 29, 2023,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lease manufacturing facilities, showroom and office space, distribution centers, and equipment under operating lease arrangements. Our operating leases have remaining lease terms of one to eight years, with renewal options for additional periods ranging up to twelve years.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right of use assets and lease liabilities associated with our operating leases as of January 28, 2024, January 29, 2023, and April 30, 2023,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January 28,</w:t>
            </w:r>
          </w:p>
        </w:tc>
        <w:tc>
          <w:tcPr>
            <w:tcW w:w="460" w:type="dxa"/>
            <w:vAlign w:val="bottom"/>
          </w:tcPr>
          <w:p>
            <w:pPr>
              <w:spacing w:after="0"/>
              <w:rPr>
                <w:sz w:val="17"/>
                <w:szCs w:val="17"/>
                <w:color w:val="auto"/>
              </w:rPr>
            </w:pP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January 29,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April 30,</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vMerge w:val="continue"/>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1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center"/>
              <w:ind w:left="679"/>
              <w:spacing w:after="0"/>
              <w:rPr>
                <w:sz w:val="20"/>
                <w:szCs w:val="20"/>
                <w:color w:val="auto"/>
              </w:rPr>
            </w:pPr>
            <w:r>
              <w:rPr>
                <w:rFonts w:ascii="Times New Roman" w:cs="Times New Roman" w:eastAsia="Times New Roman" w:hAnsi="Times New Roman"/>
                <w:sz w:val="16"/>
                <w:szCs w:val="16"/>
                <w:color w:val="auto"/>
                <w:w w:val="99"/>
              </w:rPr>
              <w:t>6,952</w:t>
            </w:r>
          </w:p>
        </w:tc>
        <w:tc>
          <w:tcPr>
            <w:tcW w:w="4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8,191</w:t>
            </w: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1920" w:type="dxa"/>
            <w:vAlign w:val="bottom"/>
          </w:tcPr>
          <w:p>
            <w:pPr>
              <w:spacing w:after="0"/>
              <w:rPr>
                <w:sz w:val="19"/>
                <w:szCs w:val="19"/>
                <w:color w:val="auto"/>
              </w:rPr>
            </w:pPr>
          </w:p>
        </w:tc>
        <w:tc>
          <w:tcPr>
            <w:tcW w:w="1120" w:type="dxa"/>
            <w:vAlign w:val="bottom"/>
          </w:tcPr>
          <w:p>
            <w:pPr>
              <w:jc w:val="center"/>
              <w:ind w:left="679"/>
              <w:spacing w:after="0"/>
              <w:rPr>
                <w:sz w:val="20"/>
                <w:szCs w:val="20"/>
                <w:color w:val="auto"/>
              </w:rPr>
            </w:pPr>
            <w:r>
              <w:rPr>
                <w:rFonts w:ascii="Times New Roman" w:cs="Times New Roman" w:eastAsia="Times New Roman" w:hAnsi="Times New Roman"/>
                <w:sz w:val="16"/>
                <w:szCs w:val="16"/>
                <w:color w:val="auto"/>
                <w:w w:val="99"/>
              </w:rPr>
              <w:t>2,524</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2,640</w:t>
            </w:r>
          </w:p>
        </w:tc>
        <w:tc>
          <w:tcPr>
            <w:tcW w:w="0" w:type="dxa"/>
            <w:vAlign w:val="bottom"/>
          </w:tcPr>
          <w:p>
            <w:pPr>
              <w:spacing w:after="0"/>
              <w:rPr>
                <w:sz w:val="1"/>
                <w:szCs w:val="1"/>
                <w:color w:val="auto"/>
              </w:rPr>
            </w:pPr>
          </w:p>
        </w:tc>
      </w:tr>
      <w:tr>
        <w:trPr>
          <w:trHeight w:val="233"/>
        </w:trPr>
        <w:tc>
          <w:tcPr>
            <w:tcW w:w="4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liability – noncurrent</w:t>
            </w:r>
          </w:p>
        </w:tc>
        <w:tc>
          <w:tcPr>
            <w:tcW w:w="19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center"/>
              <w:ind w:left="679"/>
              <w:spacing w:after="0"/>
              <w:rPr>
                <w:sz w:val="20"/>
                <w:szCs w:val="20"/>
                <w:color w:val="auto"/>
              </w:rPr>
            </w:pPr>
            <w:r>
              <w:rPr>
                <w:rFonts w:ascii="Times New Roman" w:cs="Times New Roman" w:eastAsia="Times New Roman" w:hAnsi="Times New Roman"/>
                <w:sz w:val="16"/>
                <w:szCs w:val="16"/>
                <w:color w:val="auto"/>
                <w:w w:val="99"/>
              </w:rPr>
              <w:t>2,656</w:t>
            </w:r>
          </w:p>
        </w:tc>
        <w:tc>
          <w:tcPr>
            <w:tcW w:w="4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4,399</w:t>
            </w:r>
          </w:p>
        </w:tc>
        <w:tc>
          <w:tcPr>
            <w:tcW w:w="18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3,612</w:t>
            </w:r>
          </w:p>
        </w:tc>
        <w:tc>
          <w:tcPr>
            <w:tcW w:w="0" w:type="dxa"/>
            <w:vAlign w:val="bottom"/>
          </w:tcPr>
          <w:p>
            <w:pPr>
              <w:spacing w:after="0"/>
              <w:rPr>
                <w:sz w:val="1"/>
                <w:szCs w:val="1"/>
                <w:color w:val="auto"/>
              </w:rPr>
            </w:pPr>
          </w:p>
        </w:tc>
      </w:tr>
      <w:tr>
        <w:trPr>
          <w:trHeight w:val="451"/>
        </w:trPr>
        <w:tc>
          <w:tcPr>
            <w:tcW w:w="49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Supplemental Cash Flow Information</w:t>
            </w:r>
          </w:p>
        </w:tc>
        <w:tc>
          <w:tcPr>
            <w:tcW w:w="1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gridSpan w:val="2"/>
          </w:tcPr>
          <w:p>
            <w:pPr>
              <w:jc w:val="center"/>
              <w:ind w:right="419"/>
              <w:spacing w:after="0"/>
              <w:rPr>
                <w:sz w:val="20"/>
                <w:szCs w:val="20"/>
                <w:color w:val="auto"/>
              </w:rPr>
            </w:pPr>
            <w:r>
              <w:rPr>
                <w:rFonts w:ascii="Times New Roman" w:cs="Times New Roman" w:eastAsia="Times New Roman" w:hAnsi="Times New Roman"/>
                <w:sz w:val="16"/>
                <w:szCs w:val="16"/>
                <w:color w:val="auto"/>
              </w:rPr>
              <w:t>Nine Months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w w:val="99"/>
              </w:rPr>
              <w:t>Nine Months</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gridSpan w:val="2"/>
          </w:tcPr>
          <w:p>
            <w:pPr>
              <w:jc w:val="center"/>
              <w:ind w:right="419"/>
              <w:spacing w:after="0"/>
              <w:rPr>
                <w:sz w:val="20"/>
                <w:szCs w:val="20"/>
                <w:color w:val="auto"/>
              </w:rPr>
            </w:pPr>
            <w:r>
              <w:rPr>
                <w:rFonts w:ascii="Times New Roman" w:cs="Times New Roman" w:eastAsia="Times New Roman" w:hAnsi="Times New Roman"/>
                <w:sz w:val="16"/>
                <w:szCs w:val="16"/>
                <w:color w:val="auto"/>
              </w:rPr>
              <w:t>Ended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379"/>
              <w:spacing w:after="0"/>
              <w:rPr>
                <w:sz w:val="20"/>
                <w:szCs w:val="20"/>
                <w:color w:val="auto"/>
              </w:rPr>
            </w:pPr>
            <w:r>
              <w:rPr>
                <w:rFonts w:ascii="Times New Roman" w:cs="Times New Roman" w:eastAsia="Times New Roman" w:hAnsi="Times New Roman"/>
                <w:sz w:val="16"/>
                <w:szCs w:val="16"/>
                <w:color w:val="auto"/>
              </w:rPr>
              <w:t>Ended</w:t>
            </w:r>
          </w:p>
        </w:tc>
        <w:tc>
          <w:tcPr>
            <w:tcW w:w="0" w:type="dxa"/>
            <w:vAlign w:val="bottom"/>
          </w:tcPr>
          <w:p>
            <w:pPr>
              <w:spacing w:after="0"/>
              <w:rPr>
                <w:sz w:val="1"/>
                <w:szCs w:val="1"/>
                <w:color w:val="auto"/>
              </w:rPr>
            </w:pPr>
          </w:p>
        </w:tc>
      </w:tr>
      <w:tr>
        <w:trPr>
          <w:trHeight w:val="243"/>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center"/>
              <w:ind w:right="419"/>
              <w:spacing w:after="0"/>
              <w:rPr>
                <w:sz w:val="20"/>
                <w:szCs w:val="20"/>
                <w:color w:val="auto"/>
              </w:rPr>
            </w:pPr>
            <w:r>
              <w:rPr>
                <w:rFonts w:ascii="Times New Roman" w:cs="Times New Roman" w:eastAsia="Times New Roman" w:hAnsi="Times New Roman"/>
                <w:sz w:val="16"/>
                <w:szCs w:val="16"/>
                <w:color w:val="auto"/>
              </w:rPr>
              <w:t>January 28, 2024</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right="179"/>
              <w:spacing w:after="0"/>
              <w:rPr>
                <w:sz w:val="20"/>
                <w:szCs w:val="20"/>
                <w:color w:val="auto"/>
              </w:rPr>
            </w:pPr>
            <w:r>
              <w:rPr>
                <w:rFonts w:ascii="Times New Roman" w:cs="Times New Roman" w:eastAsia="Times New Roman" w:hAnsi="Times New Roman"/>
                <w:sz w:val="16"/>
                <w:szCs w:val="16"/>
                <w:color w:val="auto"/>
              </w:rPr>
              <w:t>January 29, 2023</w:t>
            </w: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liability payments</w:t>
            </w:r>
          </w:p>
        </w:tc>
        <w:tc>
          <w:tcPr>
            <w:tcW w:w="192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lef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1,992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1,704</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Right of use assets exchanged for lease liabilities</w:t>
            </w:r>
          </w:p>
        </w:tc>
        <w:tc>
          <w:tcPr>
            <w:tcW w:w="19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978</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731</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Operating lease expense for the three-month periods ended January 28, 2024, and January 29, 2023, was $789,000 and $921,000, respectively. Operating lease expense for the nine-month periods ended January 28, 2024, and January 29, 2023, was $2.3 million</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0" w:name="page31"/>
    <w:bookmarkEnd w:id="30"/>
    <w:p>
      <w:pPr>
        <w:jc w:val="both"/>
        <w:ind w:right="40"/>
        <w:spacing w:after="0" w:line="269" w:lineRule="auto"/>
        <w:rPr>
          <w:sz w:val="20"/>
          <w:szCs w:val="20"/>
          <w:color w:val="auto"/>
        </w:rPr>
      </w:pPr>
      <w:r>
        <w:rPr>
          <w:rFonts w:ascii="Times New Roman" w:cs="Times New Roman" w:eastAsia="Times New Roman" w:hAnsi="Times New Roman"/>
          <w:sz w:val="20"/>
          <w:szCs w:val="20"/>
          <w:color w:val="auto"/>
        </w:rPr>
        <w:t>and $2.9 million, respectively. Short-term lease and variable lease expenses were immaterial for the three-month and nine-month periods ended January 28, 2024, and January 29,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Maturity of our operating lease liabilities for the remainder of fiscal 2024, the subsequent next four fiscal years, and thereafter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3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614</w:t>
            </w:r>
          </w:p>
        </w:tc>
      </w:tr>
      <w:tr>
        <w:trPr>
          <w:trHeight w:val="220"/>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38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2,248</w:t>
            </w:r>
          </w:p>
        </w:tc>
      </w:tr>
      <w:tr>
        <w:trPr>
          <w:trHeight w:val="23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950</w:t>
            </w:r>
          </w:p>
        </w:tc>
      </w:tr>
      <w:tr>
        <w:trPr>
          <w:trHeight w:val="220"/>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38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609</w:t>
            </w:r>
          </w:p>
        </w:tc>
      </w:tr>
      <w:tr>
        <w:trPr>
          <w:trHeight w:val="23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225</w:t>
            </w:r>
          </w:p>
        </w:tc>
      </w:tr>
      <w:tr>
        <w:trPr>
          <w:trHeight w:val="22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804</w:t>
            </w:r>
          </w:p>
        </w:tc>
      </w:tr>
      <w:tr>
        <w:trPr>
          <w:trHeight w:val="229"/>
        </w:trPr>
        <w:tc>
          <w:tcPr>
            <w:tcW w:w="5660" w:type="dxa"/>
            <w:vAlign w:val="bottom"/>
            <w:shd w:val="clear" w:color="auto" w:fill="CFF0FC"/>
          </w:tcPr>
          <w:p>
            <w:pPr>
              <w:spacing w:after="0"/>
              <w:rPr>
                <w:sz w:val="19"/>
                <w:szCs w:val="19"/>
                <w:color w:val="auto"/>
              </w:rPr>
            </w:pPr>
          </w:p>
        </w:tc>
        <w:tc>
          <w:tcPr>
            <w:tcW w:w="438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5,450</w:t>
            </w:r>
          </w:p>
        </w:tc>
      </w:tr>
      <w:tr>
        <w:trPr>
          <w:trHeight w:val="22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4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(270 )</w:t>
            </w:r>
          </w:p>
        </w:tc>
      </w:tr>
      <w:tr>
        <w:trPr>
          <w:trHeight w:val="263"/>
        </w:trPr>
        <w:tc>
          <w:tcPr>
            <w:tcW w:w="56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438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5,180</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28, 2024, the weighted average remaining lease term and discount rate for our operating leases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80" w:type="dxa"/>
            <w:vAlign w:val="bottom"/>
            <w:tcBorders>
              <w:top w:val="single" w:sz="8" w:color="auto"/>
              <w:bottom w:val="single" w:sz="8" w:color="auto"/>
            </w:tcBorders>
          </w:tcPr>
          <w:p>
            <w:pPr>
              <w:spacing w:after="0"/>
              <w:rPr>
                <w:sz w:val="20"/>
                <w:szCs w:val="20"/>
                <w:color w:val="auto"/>
              </w:rPr>
            </w:pPr>
          </w:p>
        </w:tc>
        <w:tc>
          <w:tcPr>
            <w:tcW w:w="5160" w:type="dxa"/>
            <w:vAlign w:val="bottom"/>
            <w:tcBorders>
              <w:top w:val="single" w:sz="8" w:color="auto"/>
              <w:bottom w:val="single" w:sz="8" w:color="auto"/>
            </w:tcBorders>
          </w:tcPr>
          <w:p>
            <w:pPr>
              <w:ind w:left="3520"/>
              <w:spacing w:after="0"/>
              <w:rPr>
                <w:sz w:val="20"/>
                <w:szCs w:val="20"/>
                <w:color w:val="auto"/>
              </w:rPr>
            </w:pPr>
            <w:r>
              <w:rPr>
                <w:rFonts w:ascii="Times New Roman" w:cs="Times New Roman" w:eastAsia="Times New Roman" w:hAnsi="Times New Roman"/>
                <w:sz w:val="16"/>
                <w:szCs w:val="16"/>
                <w:color w:val="auto"/>
              </w:rPr>
              <w:t>January 28, 2024</w:t>
            </w:r>
          </w:p>
        </w:tc>
        <w:tc>
          <w:tcPr>
            <w:tcW w:w="40" w:type="dxa"/>
            <w:vAlign w:val="bottom"/>
          </w:tcPr>
          <w:p>
            <w:pPr>
              <w:spacing w:after="0"/>
              <w:rPr>
                <w:sz w:val="20"/>
                <w:szCs w:val="20"/>
                <w:color w:val="auto"/>
              </w:rPr>
            </w:pPr>
          </w:p>
        </w:tc>
      </w:tr>
      <w:tr>
        <w:trPr>
          <w:trHeight w:val="229"/>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lease term (in years)</w:t>
            </w:r>
          </w:p>
        </w:tc>
        <w:tc>
          <w:tcPr>
            <w:tcW w:w="5160" w:type="dxa"/>
            <w:vAlign w:val="bottom"/>
            <w:shd w:val="clear" w:color="auto" w:fill="CFF0FC"/>
          </w:tcPr>
          <w:p>
            <w:pPr>
              <w:ind w:left="4760"/>
              <w:spacing w:after="0"/>
              <w:rPr>
                <w:sz w:val="20"/>
                <w:szCs w:val="20"/>
                <w:color w:val="auto"/>
              </w:rPr>
            </w:pPr>
            <w:r>
              <w:rPr>
                <w:rFonts w:ascii="Times New Roman" w:cs="Times New Roman" w:eastAsia="Times New Roman" w:hAnsi="Times New Roman"/>
                <w:sz w:val="16"/>
                <w:szCs w:val="16"/>
                <w:color w:val="auto"/>
              </w:rPr>
              <w:t>3.72</w:t>
            </w:r>
          </w:p>
        </w:tc>
        <w:tc>
          <w:tcPr>
            <w:tcW w:w="40" w:type="dxa"/>
            <w:vAlign w:val="bottom"/>
          </w:tcPr>
          <w:p>
            <w:pPr>
              <w:spacing w:after="0"/>
              <w:rPr>
                <w:sz w:val="19"/>
                <w:szCs w:val="19"/>
                <w:color w:val="auto"/>
              </w:rPr>
            </w:pPr>
          </w:p>
        </w:tc>
      </w:tr>
      <w:tr>
        <w:trPr>
          <w:trHeight w:val="220"/>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200" w:type="dxa"/>
            <w:vAlign w:val="bottom"/>
            <w:gridSpan w:val="2"/>
          </w:tcPr>
          <w:p>
            <w:pPr>
              <w:ind w:left="4760"/>
              <w:spacing w:after="0"/>
              <w:rPr>
                <w:sz w:val="20"/>
                <w:szCs w:val="20"/>
                <w:color w:val="auto"/>
              </w:rPr>
            </w:pPr>
            <w:r>
              <w:rPr>
                <w:rFonts w:ascii="Times New Roman" w:cs="Times New Roman" w:eastAsia="Times New Roman" w:hAnsi="Times New Roman"/>
                <w:sz w:val="16"/>
                <w:szCs w:val="16"/>
                <w:color w:val="auto"/>
                <w:w w:val="92"/>
              </w:rPr>
              <w:t>4.00 %</w:t>
            </w:r>
          </w:p>
        </w:tc>
      </w:tr>
      <w:tr>
        <w:trPr>
          <w:trHeight w:val="23"/>
        </w:trPr>
        <w:tc>
          <w:tcPr>
            <w:tcW w:w="6080" w:type="dxa"/>
            <w:vAlign w:val="bottom"/>
            <w:shd w:val="clear" w:color="auto" w:fill="000000"/>
          </w:tcPr>
          <w:p>
            <w:pPr>
              <w:spacing w:after="0"/>
              <w:rPr>
                <w:sz w:val="2"/>
                <w:szCs w:val="2"/>
                <w:color w:val="auto"/>
              </w:rPr>
            </w:pPr>
          </w:p>
        </w:tc>
        <w:tc>
          <w:tcPr>
            <w:tcW w:w="5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Litigation</w:t>
      </w:r>
    </w:p>
    <w:p>
      <w:pPr>
        <w:spacing w:after="0" w:line="193"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The company is involved in legal proceedings and claims which have arisen in the ordinary course of business. Management has determined that it is not reasonably possible that these actions, when ultimately concluded and settled, will have a material adverse effect upon the consolidated financial position, consolidated results of operations, or consolidated cash flows of the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Capital Expenditures</w:t>
      </w:r>
    </w:p>
    <w:p>
      <w:pPr>
        <w:spacing w:after="0" w:line="179"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As of January 28, 2024, January 29, 2023, and April 30, 2023, we had amounts due regarding capital expenditures totaling $19,000, $25,000, and $56,000, respectively, which pertained to outstanding vendor invoices, none of which were financed.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Commitments – Capital Expenditures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28, 2024, we had open purchase commitments to acquire equipment for our mattress fabrics segment totaling $880,000.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Statutory Reserves</w:t>
      </w:r>
    </w:p>
    <w:p>
      <w:pPr>
        <w:spacing w:after="0" w:line="179"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20"/>
          <w:szCs w:val="20"/>
          <w:color w:val="auto"/>
        </w:rPr>
        <w:t>Our subsidiary located in China was required to transfer 10% of its net income, as determined in accordance with the People’s Republic of China (PRC) accounting rules and regulations, to a statutory surplus reserve fund until such reserve balance reached 50% of the company’s registered capital. As of January 28, 2024, the statutory surplus reserve fund represents the 50% registered capital requirement, and therefore, our subsidiary located in China is no longer required to transfer 10% of its net income in accordance with PRC accounting rules and regulations.</w:t>
      </w:r>
    </w:p>
    <w:p>
      <w:pPr>
        <w:spacing w:after="0" w:line="158"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20"/>
          <w:szCs w:val="20"/>
          <w:color w:val="auto"/>
        </w:rPr>
        <w:t>The transfer to this reserve must be made before distributions of any dividend to shareholders. As of January 28, 2024, the company’s statutory surplus reserve was $4.1 million. The statutory surplus reserve fund is non-distributable other than during liquidation and can be used to fund previous years’ losses, if any. The statutory surplus reserve fund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44"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The company’s subsidiary located in China can transfer funds to the parent company, except for the statutory surplus reserve of $4.1 million, to assist with debt repayment, capital expenditures, and other expenses of the company’s business.</w:t>
      </w:r>
    </w:p>
    <w:p>
      <w:pPr>
        <w:spacing w:after="0" w:line="3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981"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19. Common Stock Repurchase Program</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 including alternative investment opportunities.</w:t>
      </w:r>
    </w:p>
    <w:p>
      <w:pPr>
        <w:spacing w:after="0" w:line="1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did not repurchase any shares of common stock during the nine-month periods ending January 28, 2024, and January 29, 2023,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28, 2024, $3.2 million is available for additional repurchases of our common stock.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0"/>
          <w:szCs w:val="20"/>
          <w:b w:val="1"/>
          <w:bCs w:val="1"/>
          <w:color w:val="auto"/>
        </w:rPr>
        <w:t>CAUTIONARY STATEMENT CONCERNING FORWARD-LOOKING INFORMATION</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report and the exhibits attached hereto contain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Further, forward looking statements are intended to speak only as of the date on which they are made, and we disclaim any duty to update or alter such statements to reflect any changes in management’s expectations or any change in the assumptions or circumstances on which such statements are based, whether due to new information, future events, or otherwise. Forward-looking statements are statements that include projections, expectations, or beliefs about future events or results or otherwise are not statements of historical fact. Such statements are often but not always characterized by qualifying words such as “expect,” “believe,” “anticipate,” “estimate,” “intend,” “plan,” “project,” and their derivatives, and include but are not limited to statements about expectations, projections, or trends for our future operations, strategic initiatives and plans, production levels, new product launches, sales, profit margins, profitability, operating (loss) income, capital expenditures, working capital levels, cost savings, income taxes, SG&amp;A or other expenses, pre-tax (loss) income, earnings, cash flow, and other performance or liquidity measures, as well as any statements regarding dividends, share repurchases, liquidity, use of cash and cash requirements, borrowing capacity, investments, potential acquisitions, future economic or industry trends, public health epidemics, or future developments. There can be no assurance that we will realize these expectations or meet our guidance, or that these beliefs will prove correct.</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The future performance of our business depends in part on our success in conducting and finalizing acquisition negotiations and integrating acquired businesses into our existing operations. Changes in consumer tastes or preferences toward products not produced by us could erode demand for our products. Changes in tariffs or trade policy, including changes in U.S. trade enforcement priorities, or changes in the value of the U.S. dollar versus other currencies, could affect our financial results because a significant portion of our operations are located outside the United States. Strengthening of the U.S. dollar against other currencies could make our products less competitive on the basis of price in markets outside the United States, and strengthening of currencies in Canada and China can have a negative impact on our sales of products produced in those places. In addition, because our foreign operations use the U.S. dollar as their functional currency, changes in the exchange rate between the local currency of those operations and the U.S dollar can affect our reported profits from those foreign operations. Also, economic or political instability in international areas could affect our operations or sources of goods in those areas, as well as demand for our products in international markets. The impact of public health epidemics on employees, customers, suppliers, and the global economy, such as the global coronavirus pandemic currently affecting countries around the world, could also adversely affect our operations and financial performance. In addition, the impact of potential goodwill or intangible asset impairments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Finally, our success in diversifying our supply chain with reliable partners to effectively service our global platform could affect our operations and adversely affect our financial results. Further information about these factors, as well as other factors that could affect our future operations or financial results and the matters discussed in forward-looking statements, are included in Item 1A “Risk Factors” section in our most recent Form 10-K and Form 10-Q reports filed with the Securities and Exchange Commission. A forward-looking statement is neither a prediction nor a guarantee of future events or circumstances, and those future events or circumstances may not occur. Additional risks and uncertainties that we do not presently know about or that we currently consider to be immaterial may also affect our business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auto"/>
        </w:rPr>
        <w:t>ITEM 2. MANAGEMENT’S DISCUSSION AND ANALYSIS OF FINANCIAL CONDITION AND RESULTS OF OPERATIONS</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analysis of financial condition and results of operations should be read in conjunction with the consolidated financial statements and notes and other exhibits included elsewhere in this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fiscal year is the 52 or 53-week period ending on the Sunday closest to April 30. The nine months ended January 28, 2024, and January 29, 2023, both represent 39-week periods.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Mattress Fabrics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mattress fabrics segment manufactures, sources, and sells fabrics and mattress covers primarily to bedding manufacturers. Currently, we have mattress fabric operations located in Stokesdale, NC, Quebec, Canada, and Ouanaminthe, Haiti.</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Upholstery Fabrics</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upholstery fabrics segment develops, sources, manufactures, and sells fabrics primarily to residential and commercial furniture manufacturers. Currently, we have upholstery fabric operations located in Shanghai, China, and Burlington, NC. During the third quarter of fiscal 2022, we commenced operation of a new leased facility located in Ouanaminthe, Haiti, dedicated to the production of cut and sewn upholstery kits. However, due to a decline in demand, we (i) terminated the agreement to lease this new facility during the third quarter of fiscal 2023, (ii) relocated a scaled-down upholstery cut and sew operation into our existing mattress cover facility located in Ouanaminthe, Haiti, during the fourth quarter of fiscal 2023, and (iii) thereafter discontinued the production of cut and sewn upholstery kits in Haiti during the latter part of the first quarter of fiscal 2024. (See Note 9 to the consolidated financial statements for further details.)</w:t>
      </w:r>
    </w:p>
    <w:p>
      <w:pPr>
        <w:spacing w:after="0" w:line="1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Additionally, Read Window Products, LLC (“Read”), a wholly-owned subsidiary with operations located in Knoxville, TN,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evaluate the operating performance of our business segments based upon (loss) income from operations before certain unallocated corporate expenses and other items that are not expected to occur on a regular basis. Cost of sales for each business segment includes costs to develop, manufacture, or source our products, including costs such as raw material and finished good purchases, direct and indirect labor, overhead, and incoming freight charges. Unallocated corporate expenses primarily represent compensation and benefits for certain executive officers and their support staff, all costs associated with being a public company, amortization of intangible assets, and other miscellaneous expenses.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Results of Operations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0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January 28,</w:t>
            </w:r>
          </w:p>
        </w:tc>
        <w:tc>
          <w:tcPr>
            <w:tcW w:w="200" w:type="dxa"/>
            <w:vAlign w:val="bottom"/>
          </w:tcPr>
          <w:p>
            <w:pPr>
              <w:spacing w:after="0"/>
              <w:rPr>
                <w:sz w:val="18"/>
                <w:szCs w:val="18"/>
                <w:color w:val="auto"/>
              </w:rPr>
            </w:pPr>
          </w:p>
        </w:tc>
        <w:tc>
          <w:tcPr>
            <w:tcW w:w="154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color w:val="auto"/>
              </w:rPr>
              <w:t>January 29,</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60,418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52,523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center"/>
              <w:ind w:right="179"/>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268.0%</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120" w:type="dxa"/>
            <w:vAlign w:val="bottom"/>
            <w:shd w:val="clear" w:color="auto" w:fill="CFF0FC"/>
          </w:tcPr>
          <w:p>
            <w:pPr>
              <w:spacing w:after="0"/>
              <w:rPr>
                <w:sz w:val="20"/>
                <w:szCs w:val="20"/>
                <w:color w:val="auto"/>
              </w:rPr>
            </w:pPr>
          </w:p>
        </w:tc>
        <w:tc>
          <w:tcPr>
            <w:tcW w:w="148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12.7 %</w:t>
            </w:r>
          </w:p>
        </w:tc>
        <w:tc>
          <w:tcPr>
            <w:tcW w:w="15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4.0 %</w:t>
            </w: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w w:val="99"/>
              </w:rPr>
              <w:t>876bp</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(credit) expense</w:t>
            </w:r>
          </w:p>
        </w:tc>
        <w:tc>
          <w:tcPr>
            <w:tcW w:w="2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(50 )</w:t>
            </w: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w w:val="99"/>
              </w:rPr>
              <w:t>(107.0)%</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(1,740 )</w:t>
            </w: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(7,783 )</w:t>
            </w:r>
          </w:p>
        </w:tc>
        <w:tc>
          <w:tcPr>
            <w:tcW w:w="280" w:type="dxa"/>
            <w:vAlign w:val="bottom"/>
          </w:tcPr>
          <w:p>
            <w:pPr>
              <w:spacing w:after="0"/>
              <w:rPr>
                <w:sz w:val="19"/>
                <w:szCs w:val="19"/>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(77.6)%</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20" w:type="dxa"/>
            <w:vAlign w:val="bottom"/>
            <w:shd w:val="clear" w:color="auto" w:fill="CFF0FC"/>
          </w:tcPr>
          <w:p>
            <w:pPr>
              <w:spacing w:after="0"/>
              <w:rPr>
                <w:sz w:val="20"/>
                <w:szCs w:val="20"/>
                <w:color w:val="auto"/>
              </w:rPr>
            </w:pPr>
          </w:p>
        </w:tc>
        <w:tc>
          <w:tcPr>
            <w:tcW w:w="148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(2.9 )%</w:t>
            </w:r>
          </w:p>
        </w:tc>
        <w:tc>
          <w:tcPr>
            <w:tcW w:w="15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(14.8 )%</w:t>
            </w: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w w:val="99"/>
              </w:rPr>
              <w:t>1194bp</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(2,161 )</w:t>
            </w: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(8,682 )</w:t>
            </w:r>
          </w:p>
        </w:tc>
        <w:tc>
          <w:tcPr>
            <w:tcW w:w="280" w:type="dxa"/>
            <w:vAlign w:val="bottom"/>
          </w:tcPr>
          <w:p>
            <w:pPr>
              <w:spacing w:after="0"/>
              <w:rPr>
                <w:sz w:val="19"/>
                <w:szCs w:val="19"/>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(75.1)%</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center"/>
              <w:ind w:right="179"/>
              <w:spacing w:after="0"/>
              <w:rPr>
                <w:sz w:val="20"/>
                <w:szCs w:val="20"/>
                <w:color w:val="auto"/>
              </w:rPr>
            </w:pPr>
            <w:r>
              <w:rPr>
                <w:rFonts w:ascii="Times New Roman" w:cs="Times New Roman" w:eastAsia="Times New Roman" w:hAnsi="Times New Roman"/>
                <w:sz w:val="16"/>
                <w:szCs w:val="16"/>
                <w:color w:val="auto"/>
              </w:rPr>
              <w:t>259.1%</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(3,188 )</w:t>
            </w: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(8,968 )</w:t>
            </w:r>
          </w:p>
        </w:tc>
        <w:tc>
          <w:tcPr>
            <w:tcW w:w="280" w:type="dxa"/>
            <w:vAlign w:val="bottom"/>
          </w:tcPr>
          <w:p>
            <w:pPr>
              <w:spacing w:after="0"/>
              <w:rPr>
                <w:sz w:val="19"/>
                <w:szCs w:val="19"/>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(64.5)%</w:t>
            </w:r>
          </w:p>
        </w:tc>
        <w:tc>
          <w:tcPr>
            <w:tcW w:w="0" w:type="dxa"/>
            <w:vAlign w:val="bottom"/>
          </w:tcPr>
          <w:p>
            <w:pPr>
              <w:spacing w:after="0"/>
              <w:rPr>
                <w:sz w:val="1"/>
                <w:szCs w:val="1"/>
                <w:color w:val="auto"/>
              </w:rPr>
            </w:pPr>
          </w:p>
        </w:tc>
      </w:tr>
      <w:tr>
        <w:trPr>
          <w:trHeight w:val="23"/>
        </w:trPr>
        <w:tc>
          <w:tcPr>
            <w:tcW w:w="490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4"/>
        </w:trPr>
        <w:tc>
          <w:tcPr>
            <w:tcW w:w="490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Nine Months Ended</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2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January 28,</w:t>
            </w:r>
          </w:p>
        </w:tc>
        <w:tc>
          <w:tcPr>
            <w:tcW w:w="200" w:type="dxa"/>
            <w:vAlign w:val="bottom"/>
          </w:tcPr>
          <w:p>
            <w:pPr>
              <w:spacing w:after="0"/>
              <w:rPr>
                <w:sz w:val="19"/>
                <w:szCs w:val="19"/>
                <w:color w:val="auto"/>
              </w:rPr>
            </w:pPr>
          </w:p>
        </w:tc>
        <w:tc>
          <w:tcPr>
            <w:tcW w:w="156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color w:val="auto"/>
              </w:rPr>
              <w:t>January 29,</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175,804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173,508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467.3%</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120" w:type="dxa"/>
            <w:vAlign w:val="bottom"/>
            <w:shd w:val="clear" w:color="auto" w:fill="CFF0FC"/>
          </w:tcPr>
          <w:p>
            <w:pPr>
              <w:spacing w:after="0"/>
              <w:rPr>
                <w:sz w:val="20"/>
                <w:szCs w:val="20"/>
                <w:color w:val="auto"/>
              </w:rPr>
            </w:pPr>
          </w:p>
        </w:tc>
        <w:tc>
          <w:tcPr>
            <w:tcW w:w="148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12.9 %</w:t>
            </w:r>
          </w:p>
        </w:tc>
        <w:tc>
          <w:tcPr>
            <w:tcW w:w="15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2.3 %</w:t>
            </w:r>
          </w:p>
        </w:tc>
        <w:tc>
          <w:tcPr>
            <w:tcW w:w="1180" w:type="dxa"/>
            <w:vAlign w:val="bottom"/>
            <w:shd w:val="clear" w:color="auto" w:fill="CFF0FC"/>
          </w:tcPr>
          <w:p>
            <w:pPr>
              <w:jc w:val="center"/>
              <w:ind w:right="219"/>
              <w:spacing w:after="0"/>
              <w:rPr>
                <w:sz w:val="20"/>
                <w:szCs w:val="20"/>
                <w:color w:val="auto"/>
              </w:rPr>
            </w:pPr>
            <w:r>
              <w:rPr>
                <w:rFonts w:ascii="Times New Roman" w:cs="Times New Roman" w:eastAsia="Times New Roman" w:hAnsi="Times New Roman"/>
                <w:sz w:val="16"/>
                <w:szCs w:val="16"/>
                <w:color w:val="auto"/>
                <w:w w:val="99"/>
              </w:rPr>
              <w:t>1062bp</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2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center"/>
              <w:ind w:right="219"/>
              <w:spacing w:after="0"/>
              <w:rPr>
                <w:sz w:val="20"/>
                <w:szCs w:val="20"/>
                <w:color w:val="auto"/>
              </w:rPr>
            </w:pPr>
            <w:r>
              <w:rPr>
                <w:rFonts w:ascii="Times New Roman" w:cs="Times New Roman" w:eastAsia="Times New Roman" w:hAnsi="Times New Roman"/>
                <w:sz w:val="16"/>
                <w:szCs w:val="16"/>
                <w:color w:val="auto"/>
                <w:w w:val="99"/>
              </w:rPr>
              <w:t>(67.4)%</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(7,061 )</w:t>
            </w: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(24,451 )</w:t>
            </w:r>
          </w:p>
        </w:tc>
        <w:tc>
          <w:tcPr>
            <w:tcW w:w="300" w:type="dxa"/>
            <w:vAlign w:val="bottom"/>
          </w:tcPr>
          <w:p>
            <w:pPr>
              <w:spacing w:after="0"/>
              <w:rPr>
                <w:sz w:val="19"/>
                <w:szCs w:val="19"/>
                <w:color w:val="auto"/>
              </w:rPr>
            </w:pPr>
          </w:p>
        </w:tc>
        <w:tc>
          <w:tcPr>
            <w:tcW w:w="11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9"/>
              </w:rPr>
              <w:t>(71.1)%</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20" w:type="dxa"/>
            <w:vAlign w:val="bottom"/>
            <w:shd w:val="clear" w:color="auto" w:fill="CFF0FC"/>
          </w:tcPr>
          <w:p>
            <w:pPr>
              <w:spacing w:after="0"/>
              <w:rPr>
                <w:sz w:val="20"/>
                <w:szCs w:val="20"/>
                <w:color w:val="auto"/>
              </w:rPr>
            </w:pPr>
          </w:p>
        </w:tc>
        <w:tc>
          <w:tcPr>
            <w:tcW w:w="148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(4.0 )%</w:t>
            </w:r>
          </w:p>
        </w:tc>
        <w:tc>
          <w:tcPr>
            <w:tcW w:w="15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(14.1 )%</w:t>
            </w:r>
          </w:p>
        </w:tc>
        <w:tc>
          <w:tcPr>
            <w:tcW w:w="1180" w:type="dxa"/>
            <w:vAlign w:val="bottom"/>
            <w:shd w:val="clear" w:color="auto" w:fill="CFF0FC"/>
          </w:tcPr>
          <w:p>
            <w:pPr>
              <w:jc w:val="center"/>
              <w:ind w:right="219"/>
              <w:spacing w:after="0"/>
              <w:rPr>
                <w:sz w:val="20"/>
                <w:szCs w:val="20"/>
                <w:color w:val="auto"/>
              </w:rPr>
            </w:pPr>
            <w:r>
              <w:rPr>
                <w:rFonts w:ascii="Times New Roman" w:cs="Times New Roman" w:eastAsia="Times New Roman" w:hAnsi="Times New Roman"/>
                <w:sz w:val="16"/>
                <w:szCs w:val="16"/>
                <w:color w:val="auto"/>
                <w:w w:val="99"/>
              </w:rPr>
              <w:t>1008bp</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(6,710 )</w:t>
            </w: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(24,507 )</w:t>
            </w:r>
          </w:p>
        </w:tc>
        <w:tc>
          <w:tcPr>
            <w:tcW w:w="300" w:type="dxa"/>
            <w:vAlign w:val="bottom"/>
          </w:tcPr>
          <w:p>
            <w:pPr>
              <w:spacing w:after="0"/>
              <w:rPr>
                <w:sz w:val="19"/>
                <w:szCs w:val="19"/>
                <w:color w:val="auto"/>
              </w:rPr>
            </w:pPr>
          </w:p>
        </w:tc>
        <w:tc>
          <w:tcPr>
            <w:tcW w:w="11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9"/>
              </w:rPr>
              <w:t>(72.6)%</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2,332</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center"/>
              <w:ind w:right="219"/>
              <w:spacing w:after="0"/>
              <w:rPr>
                <w:sz w:val="20"/>
                <w:szCs w:val="20"/>
                <w:color w:val="auto"/>
              </w:rPr>
            </w:pPr>
            <w:r>
              <w:rPr>
                <w:rFonts w:ascii="Times New Roman" w:cs="Times New Roman" w:eastAsia="Times New Roman" w:hAnsi="Times New Roman"/>
                <w:sz w:val="16"/>
                <w:szCs w:val="16"/>
                <w:color w:val="auto"/>
                <w:w w:val="99"/>
              </w:rPr>
              <w:t>(3.8)%</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(8,954 )</w:t>
            </w: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(26,839 )</w:t>
            </w:r>
          </w:p>
        </w:tc>
        <w:tc>
          <w:tcPr>
            <w:tcW w:w="300" w:type="dxa"/>
            <w:vAlign w:val="bottom"/>
          </w:tcPr>
          <w:p>
            <w:pPr>
              <w:spacing w:after="0"/>
              <w:rPr>
                <w:sz w:val="19"/>
                <w:szCs w:val="19"/>
                <w:color w:val="auto"/>
              </w:rPr>
            </w:pPr>
          </w:p>
        </w:tc>
        <w:tc>
          <w:tcPr>
            <w:tcW w:w="11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9"/>
              </w:rPr>
              <w:t>(66.6)%</w:t>
            </w:r>
          </w:p>
        </w:tc>
        <w:tc>
          <w:tcPr>
            <w:tcW w:w="0" w:type="dxa"/>
            <w:vAlign w:val="bottom"/>
          </w:tcPr>
          <w:p>
            <w:pPr>
              <w:spacing w:after="0"/>
              <w:rPr>
                <w:sz w:val="1"/>
                <w:szCs w:val="1"/>
                <w:color w:val="auto"/>
              </w:rPr>
            </w:pPr>
          </w:p>
        </w:tc>
      </w:tr>
      <w:tr>
        <w:trPr>
          <w:trHeight w:val="23"/>
        </w:trPr>
        <w:tc>
          <w:tcPr>
            <w:tcW w:w="490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Net Sales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Overall, our net sales for the third quarter of fiscal 2024 increased by 15% compared with the same period a year ago, with mattress fabrics sales increasing 21.6% and upholstery fabrics sales increasing 9.2%. Our net sales for the first nine months of fiscal 2024 increased by 1.3% compared with the same period a year ago, with mattress fabrics sales increasing 12.9% and upholstery fabrics sales decreasing 8.6%.</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increase in net sales in our mattress fabrics segment for both the third quarter and the first nine months of fiscal 2024 was primarily driven by new fabric and sewn cover placements that are priced in line with current costs, and, to a lesser extent, SKU rationalization and the re-pricing of some underperforming SKUs to reflect current costs, resulting in higher average selling prices overall.</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increase in net sales for our upholstery fabrics segment for the third quarter of fiscal 2024 was driven by the timing of the Chinese New Year holiday (which falls primarily in the fourth quarter of fiscal 2024, as compared to the third quarter of fiscal 2023), as well as improved residential home furnishing sales during the period.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decrease in net sales for our upholstery fabrics segment for the first nine months of fiscal 2024 reflects reduced demand for our residential upholstery fabrics products during the first half of the year, driven by a slowdown in new retail business in the residential home furnishings industry during this period.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Loss Before Income Taxes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Overall, our loss before income taxes for the third quarter of fiscal 2024 was $(2.2) million, compared with loss before income taxes of $(8.7) million for the prior-year period, while our loss before income taxes for the first nine months of fiscal 2024 was $(6.7) million, compared with loss before income taxes of $(24.5) for the prior-year period.</w:t>
      </w:r>
    </w:p>
    <w:p>
      <w:pPr>
        <w:spacing w:after="0" w:line="1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Operating performance for the third quarter of fiscal 2024, as compared to the prior-year period, was positively affected by higher sales volume and a more profitable mix of sales for both the mattress fabrics and upholstery fabrics segment; a more favorable foreign exchange rate associated with our upholstery fabrics operation in China; and fixed cost savings in the upholstery fabrics segment. These factors were partially offset by higher SG&amp;A expense during the period, as well as production inefficiencies relating to the start up of certain new product launches in the mattress fabrics segment. Notably, operating performance for the third quarter of fiscal 2023 was negatively affected by restructuring and related charges associated with our upholstery fabrics segment.</w:t>
      </w:r>
    </w:p>
    <w:p>
      <w:pPr>
        <w:spacing w:after="0" w:line="1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Operating performance for the first nine months of fiscal 2024 was positively affected by the same factors that affected the third quarter, as well as better inventory management. These factors were partially offset by higher SG&amp;A expense over the nine-month period; lower residential upholstery fabrics sales during the first six months of fiscal 2024; and production inefficiencies that negatively affected our mattress fabrics segment during the third quarter of fiscal 2024. Notably, operating performance for the first nine months of fiscal 2023 was negatively affected by inventory impairment charges and inventory closeout sales for our mattress fabrics segment; higher than normal markdowns of inventory for our upholstery fabrics segment; and restructuring and related charges associated with our upholstery fabrics segment.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recorded income tax expense of $2.2 million, or (33.4%) of loss before income taxes, for the nine-month period ending January 28, 2024, compared with income tax expense of $2.3 million, or (9.5%) of loss before income taxes, for the nine-month period ending January 29, 2023.</w:t>
      </w:r>
    </w:p>
    <w:p>
      <w:pPr>
        <w:spacing w:after="0" w:line="18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consolidated effective income tax rates during the first nine months of fiscal 2024 and the first nine months of fiscal 2023 were both adversely affected by the mix of earnings between our U.S. operations and foreign subsidiaries, as our taxable income stems from our China operations during fiscal 2024 and from our China and Canada operations during fiscal 2023, which have higher income tax rates than the U.S. In addition, during both the first nine months of fiscal 2024 and fiscal 2023, we incurred pre-tax losses associated with our U.S. operations, for which an income tax benefit was not recorded due to the full valuation allowance applied against our U.S. net deferred income tax assets. The income tax charge associated with the full valuation allowance applied against our U.S. net deferred income tax assets was lower during the first nine months of fiscal 2024 compared with the first nine months of fiscal 2023, as our $(11.3) million U.S. pre-tax loss incurred during the first nine months of fiscal 2024 was significantly lower than the $(28.8) million U.S. pre-tax loss incurred during the first nine months of fiscal 2023.</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first nine months of fiscal 2024, we incurred a lower consolidated pre-tax loss totaling $(6.7) million, compared with $(24.5) million during the first nine months of fiscal 2023. As a result, the principal differences between income tax expense at the U.S. federal income tax rate and the effective income tax rate reflected in the consolidated financial statements were more pronounced during the first nine months of fiscal 2024, as compared with the first nine months of fiscal 2023.</w:t>
      </w:r>
    </w:p>
    <w:p>
      <w:pPr>
        <w:spacing w:after="0" w:line="139" w:lineRule="exact"/>
        <w:rPr>
          <w:sz w:val="20"/>
          <w:szCs w:val="20"/>
          <w:color w:val="auto"/>
        </w:rPr>
      </w:pPr>
    </w:p>
    <w:p>
      <w:pPr>
        <w:ind w:right="1960"/>
        <w:spacing w:after="0" w:line="429" w:lineRule="auto"/>
        <w:rPr>
          <w:sz w:val="20"/>
          <w:szCs w:val="20"/>
          <w:color w:val="auto"/>
        </w:rPr>
      </w:pPr>
      <w:r>
        <w:rPr>
          <w:rFonts w:ascii="Times New Roman" w:cs="Times New Roman" w:eastAsia="Times New Roman" w:hAnsi="Times New Roman"/>
          <w:sz w:val="20"/>
          <w:szCs w:val="20"/>
          <w:color w:val="auto"/>
        </w:rPr>
        <w:t xml:space="preserve">Refer to Note 14 of the consolidated financial statements for further details regarding our provision for income taxes. </w:t>
      </w:r>
      <w:r>
        <w:rPr>
          <w:rFonts w:ascii="Times New Roman" w:cs="Times New Roman" w:eastAsia="Times New Roman" w:hAnsi="Times New Roman"/>
          <w:sz w:val="20"/>
          <w:szCs w:val="20"/>
          <w:u w:val="single" w:color="auto"/>
          <w:color w:val="auto"/>
        </w:rPr>
        <w:t>Liquidity</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January 28, 2024, our cash and cash equivalents (collectively, “cash”) totaled $12.6 million, a decrease of $8.4 million compared with cash of $21.0 million as of April 30, 2023. This decrease was mostly due to net cash used in operating activities totaling $(6.0) million and capital expenditures mostly related to our mattress fabrics segment totaling $(3.2) million, partially offset by proceeds from the sale of rabbi trust investments totaling $1.2 million to fund withdrawals from our deferred compensation plan for certain retired employees (see offsetting decrease to the decrease in deferred compensation liability in item (iii) of the below paragraph).</w:t>
      </w:r>
    </w:p>
    <w:p>
      <w:pPr>
        <w:spacing w:after="0" w:line="14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net cash used in operating activities was $(6.0) million during the first nine months of fiscal 2024, a decrease of $10.6 million compared with net cash provided by operating activities of $4.6 million during the first nine months of fiscal 2023. This trend primarily reflects (i) a significant decrease in inventory during the first nine months of fiscal 2023 due to improved alignment of inventory purchases with customer demand trends, promotional programs to reduce aged raw materials and finished goods inventory, and a significant decline in net sales (27.1%) during the period, which did not recur during the first nine months of fiscal 2024; (ii) annual incentive payments made during the first quarter of fiscal 2024, which did not occur during the first quarter of fiscal 2023; (iii) payments to certain retired employees totaling $1.2 million for withdrawals from our deferred compensation plan during the first nine months of fiscal 2024; partially offset by (iv) an increase in cash earnings during the first nine months of fiscal 2024 compared with the first nine months of fiscal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28, 2024, there were no outstanding borrowings under our lines of credit.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Segment Analysis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Mattress Fabrics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0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2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January 28,</w:t>
            </w:r>
          </w:p>
        </w:tc>
        <w:tc>
          <w:tcPr>
            <w:tcW w:w="200" w:type="dxa"/>
            <w:vAlign w:val="bottom"/>
          </w:tcPr>
          <w:p>
            <w:pPr>
              <w:spacing w:after="0"/>
              <w:rPr>
                <w:sz w:val="19"/>
                <w:szCs w:val="19"/>
                <w:color w:val="auto"/>
              </w:rPr>
            </w:pPr>
          </w:p>
        </w:tc>
        <w:tc>
          <w:tcPr>
            <w:tcW w:w="154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color w:val="auto"/>
              </w:rPr>
              <w:t>January 29,</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30,021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24,697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center"/>
              <w:ind w:right="179"/>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2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(1,237 )</w:t>
            </w:r>
          </w:p>
        </w:tc>
        <w:tc>
          <w:tcPr>
            <w:tcW w:w="280" w:type="dxa"/>
            <w:vAlign w:val="bottom"/>
          </w:tcPr>
          <w:p>
            <w:pPr>
              <w:spacing w:after="0"/>
              <w:rPr>
                <w:sz w:val="19"/>
                <w:szCs w:val="19"/>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(222.9)%</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2120" w:type="dxa"/>
            <w:vAlign w:val="bottom"/>
            <w:shd w:val="clear" w:color="auto" w:fill="CFF0FC"/>
          </w:tcPr>
          <w:p>
            <w:pPr>
              <w:spacing w:after="0"/>
              <w:rPr>
                <w:sz w:val="20"/>
                <w:szCs w:val="20"/>
                <w:color w:val="auto"/>
              </w:rPr>
            </w:pPr>
          </w:p>
        </w:tc>
        <w:tc>
          <w:tcPr>
            <w:tcW w:w="148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5.1 %</w:t>
            </w:r>
          </w:p>
        </w:tc>
        <w:tc>
          <w:tcPr>
            <w:tcW w:w="15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(5.0 )%</w:t>
            </w: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w w:val="99"/>
              </w:rPr>
              <w:t>1007bp</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2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(1,582 )</w:t>
            </w: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(4,229 )</w:t>
            </w: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w w:val="99"/>
              </w:rPr>
              <w:t>(62.6)%</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20" w:type="dxa"/>
            <w:vAlign w:val="bottom"/>
          </w:tcPr>
          <w:p>
            <w:pPr>
              <w:spacing w:after="0"/>
              <w:rPr>
                <w:sz w:val="19"/>
                <w:szCs w:val="19"/>
                <w:color w:val="auto"/>
              </w:rPr>
            </w:pPr>
          </w:p>
        </w:tc>
        <w:tc>
          <w:tcPr>
            <w:tcW w:w="14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(5.3 )%</w:t>
            </w: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(17.1 )%</w:t>
            </w: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1185bp</w:t>
            </w:r>
          </w:p>
        </w:tc>
        <w:tc>
          <w:tcPr>
            <w:tcW w:w="0" w:type="dxa"/>
            <w:vAlign w:val="bottom"/>
          </w:tcPr>
          <w:p>
            <w:pPr>
              <w:spacing w:after="0"/>
              <w:rPr>
                <w:sz w:val="1"/>
                <w:szCs w:val="1"/>
                <w:color w:val="auto"/>
              </w:rPr>
            </w:pPr>
          </w:p>
        </w:tc>
      </w:tr>
      <w:tr>
        <w:trPr>
          <w:trHeight w:val="486"/>
        </w:trPr>
        <w:tc>
          <w:tcPr>
            <w:tcW w:w="4900" w:type="dxa"/>
            <w:vAlign w:val="bottom"/>
            <w:tcBorders>
              <w:top w:val="single" w:sz="8" w:color="auto"/>
              <w:bottom w:val="single" w:sz="8" w:color="auto"/>
            </w:tcBorders>
          </w:tcPr>
          <w:p>
            <w:pPr>
              <w:spacing w:after="0"/>
              <w:rPr>
                <w:sz w:val="24"/>
                <w:szCs w:val="24"/>
                <w:color w:val="auto"/>
              </w:rPr>
            </w:pPr>
          </w:p>
        </w:tc>
        <w:tc>
          <w:tcPr>
            <w:tcW w:w="21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9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64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Nine Months Ended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2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January 28,</w:t>
            </w:r>
          </w:p>
        </w:tc>
        <w:tc>
          <w:tcPr>
            <w:tcW w:w="200" w:type="dxa"/>
            <w:vAlign w:val="bottom"/>
          </w:tcPr>
          <w:p>
            <w:pPr>
              <w:spacing w:after="0"/>
              <w:rPr>
                <w:sz w:val="19"/>
                <w:szCs w:val="19"/>
                <w:color w:val="auto"/>
              </w:rPr>
            </w:pPr>
          </w:p>
        </w:tc>
        <w:tc>
          <w:tcPr>
            <w:tcW w:w="154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color w:val="auto"/>
              </w:rPr>
              <w:t>January 29,</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90,619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80,299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center"/>
              <w:ind w:right="179"/>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2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(7,330 )</w:t>
            </w:r>
          </w:p>
        </w:tc>
        <w:tc>
          <w:tcPr>
            <w:tcW w:w="280" w:type="dxa"/>
            <w:vAlign w:val="bottom"/>
          </w:tcPr>
          <w:p>
            <w:pPr>
              <w:spacing w:after="0"/>
              <w:rPr>
                <w:sz w:val="19"/>
                <w:szCs w:val="19"/>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(181.8)%</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120" w:type="dxa"/>
            <w:vAlign w:val="bottom"/>
            <w:shd w:val="clear" w:color="auto" w:fill="CFF0FC"/>
          </w:tcPr>
          <w:p>
            <w:pPr>
              <w:spacing w:after="0"/>
              <w:rPr>
                <w:sz w:val="20"/>
                <w:szCs w:val="20"/>
                <w:color w:val="auto"/>
              </w:rPr>
            </w:pPr>
          </w:p>
        </w:tc>
        <w:tc>
          <w:tcPr>
            <w:tcW w:w="148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6.6 %</w:t>
            </w:r>
          </w:p>
        </w:tc>
        <w:tc>
          <w:tcPr>
            <w:tcW w:w="15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(9.1 )%</w:t>
            </w: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w w:val="99"/>
              </w:rPr>
              <w:t>1575bp</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(3,916 )</w:t>
            </w: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(16,151 )</w:t>
            </w: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w w:val="99"/>
              </w:rPr>
              <w:t>(75.8)%</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20" w:type="dxa"/>
            <w:vAlign w:val="bottom"/>
          </w:tcPr>
          <w:p>
            <w:pPr>
              <w:spacing w:after="0"/>
              <w:rPr>
                <w:sz w:val="19"/>
                <w:szCs w:val="19"/>
                <w:color w:val="auto"/>
              </w:rPr>
            </w:pPr>
          </w:p>
        </w:tc>
        <w:tc>
          <w:tcPr>
            <w:tcW w:w="14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(4.3 )%</w:t>
            </w: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(20.1 )%</w:t>
            </w: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1579bp</w:t>
            </w:r>
          </w:p>
        </w:tc>
        <w:tc>
          <w:tcPr>
            <w:tcW w:w="0" w:type="dxa"/>
            <w:vAlign w:val="bottom"/>
          </w:tcPr>
          <w:p>
            <w:pPr>
              <w:spacing w:after="0"/>
              <w:rPr>
                <w:sz w:val="1"/>
                <w:szCs w:val="1"/>
                <w:color w:val="auto"/>
              </w:rPr>
            </w:pPr>
          </w:p>
        </w:tc>
      </w:tr>
      <w:tr>
        <w:trPr>
          <w:trHeight w:val="23"/>
        </w:trPr>
        <w:tc>
          <w:tcPr>
            <w:tcW w:w="490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Mattress fabrics sales increased 21.6% in the third quarter of fiscal 2024 compared to the prior-year period. Mattress fabrics sales increased 12.9% in the first nine months of fiscal 2024 compared to the first nine months of fiscal 2023.</w:t>
      </w:r>
    </w:p>
    <w:p>
      <w:pPr>
        <w:spacing w:after="0" w:line="1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increase in net sales in our mattress fabrics segment for both the third quarter and the first nine months of fiscal 2024 was primarily driven by new fabric and sewn cover placements that are priced in line with current raw material and operational costs, and, to a lesser extent, SKU rationalization and the re-pricing of some underperforming SKUs to reflect current costs, resulting in higher average selling prices as compared to historical average selling prices.</w:t>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third quarter, we maintained our focus on executing our product-driven strategy with an ongoing emphasis on innovation, design creativity, and customer relationships. The strength and flexibility of our global manufacturing and sourcing operations in the U.S., Canada, Haiti, Asia, and Turkey continued to support the evolving needs of our mattress fabrics and cover customers during the period. We also continued to implement improvement initiatives to support future profitable sales growth and enhance operating efficiencies.</w:t>
      </w:r>
    </w:p>
    <w:p>
      <w:pPr>
        <w:spacing w:after="0" w:line="1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Looking ahead, we are diligently focused on winning new placements to drive revenue and increase margins. We are optimistic about the mid-to-long term growth potential for our business and believe our market position is strong. However, the industry demand backdrop has deteriorated further than expected during the first few weeks of the fourth quarter. We expect current macro-economic conditions will continue to affect consumer spending trends for some time, resulting in ongoing industry softness that could affect near-term sales results. In the face of these macro headwinds, we are working to manage the aspects of our business we can control. We believe we will mitigate demand pressures to some extent by the continued rollout of new programs priced in line with current costs, along with opportunities to make additional gains with customers. However, greater macro-industry and end-consumer support will be needed to drive recovery in the mattress industry and support our future sales growth. Additionally, the potential ongoing geopolitical disruptions related to wars in Ukraine and the Middle East, as well as possible economic and health effects from additional surges in the coronavirus, remain unknown and depend on factors beyond our knowledge or control. These situations could cause disruption to global markets that could adversely affect our operations and financial performance.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 Selling, General &amp; Administrative Expenses, and Loss from Operations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decrease in this segment’s operating loss during the third quarter of fiscal 2024, as compared to the prior-year period, was primarily due to higher sales of products with better pricing and margins, as well as a more favorable product mix. These factors were partially offset by production inefficiencies mostly relating to the start up of certain new product launches, as well as higher SG&amp;A expense.</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decrease in operating loss during the first nine months of fiscal 2024, as compared to the prior-year period (which was negatively affected by certain inventory impairment charges and losses from inventory close out sales), was primarily due to the same factors that positively affected the third quarter, along with better inventory management. These factors were partially offset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739" w:gutter="0" w:footer="0" w:header="0"/>
        </w:sectPr>
      </w:pPr>
    </w:p>
    <w:bookmarkStart w:id="37" w:name="page38"/>
    <w:bookmarkEnd w:id="37"/>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by higher SG&amp;A expense during the period, as well as the production inefficiencies relating to the start up of certain new product launches that negatively affected the third quarter.</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Higher SG&amp;A expense during both the third quarter and the first nine months of fiscal 2024, as compared to the prior-year periods, was due mostly to an increase in provision for bad debts (reflecting current unfavorable macro-economic conditions relating to bedding products), an increase in sampling expense driven by new product roll outs; and an increase in personnel; partially offset by lower compensation expense.</w:t>
      </w:r>
    </w:p>
    <w:p>
      <w:pPr>
        <w:spacing w:after="0" w:line="1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expect the ongoing (and further deteriorating) industry softness affecting sales volumes will continue to affect profitability for this segment, although we believe these headwinds will be mitigated to some extent by our ongoing efforts to improve operational efficiencies and control internal costs, as well as our continued roll out of new products priced in line with current costs. Additionally, the internal inefficiencies relating to the start up and production of certain new products that negatively affected this segment's operating performance during the third quarter of fiscal 2024 are also expected to affect operating performance during the fourth quarter.</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Looking ahead, with the uncertainty of consumer demand in the near term, we are evaluating strategic actions to adjust and right-size our global platform to align with current demand levels, while still supporting our valued customers. We will also consider additional reasonable pricing actions as competitive conditions permit to further mitigate and manage inflation.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and right 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5273040</wp:posOffset>
            </wp:positionH>
            <wp:positionV relativeFrom="paragraph">
              <wp:posOffset>138430</wp:posOffset>
            </wp:positionV>
            <wp:extent cx="10287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6327140</wp:posOffset>
            </wp:positionH>
            <wp:positionV relativeFrom="paragraph">
              <wp:posOffset>138430</wp:posOffset>
            </wp:positionV>
            <wp:extent cx="9398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138430</wp:posOffset>
            </wp:positionV>
            <wp:extent cx="9398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January 28, 2024</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January 29, 2023</w:t>
            </w:r>
          </w:p>
        </w:tc>
        <w:tc>
          <w:tcPr>
            <w:tcW w:w="120" w:type="dxa"/>
            <w:vAlign w:val="bottom"/>
          </w:tcPr>
          <w:p>
            <w:pPr>
              <w:spacing w:after="0"/>
              <w:rPr>
                <w:sz w:val="20"/>
                <w:szCs w:val="20"/>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April 30, 2023</w:t>
            </w:r>
          </w:p>
        </w:tc>
        <w:tc>
          <w:tcPr>
            <w:tcW w:w="100" w:type="dxa"/>
            <w:vAlign w:val="bottom"/>
          </w:tcPr>
          <w:p>
            <w:pPr>
              <w:spacing w:after="0"/>
              <w:rPr>
                <w:sz w:val="20"/>
                <w:szCs w:val="20"/>
                <w:color w:val="auto"/>
              </w:rPr>
            </w:pPr>
          </w:p>
        </w:tc>
      </w:tr>
      <w:tr>
        <w:trPr>
          <w:trHeight w:val="229"/>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11,463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8,314</w:t>
            </w:r>
          </w:p>
        </w:tc>
        <w:tc>
          <w:tcPr>
            <w:tcW w:w="4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12,396</w:t>
            </w:r>
          </w:p>
        </w:tc>
        <w:tc>
          <w:tcPr>
            <w:tcW w:w="100" w:type="dxa"/>
            <w:vAlign w:val="bottom"/>
            <w:shd w:val="clear" w:color="auto" w:fill="CFF0FC"/>
          </w:tcPr>
          <w:p>
            <w:pPr>
              <w:spacing w:after="0"/>
              <w:rPr>
                <w:sz w:val="19"/>
                <w:szCs w:val="19"/>
                <w:color w:val="auto"/>
              </w:rPr>
            </w:pPr>
          </w:p>
        </w:tc>
      </w:tr>
      <w:tr>
        <w:trPr>
          <w:trHeight w:val="22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25,674</w:t>
            </w:r>
          </w:p>
        </w:tc>
        <w:tc>
          <w:tcPr>
            <w:tcW w:w="100" w:type="dxa"/>
            <w:vAlign w:val="bottom"/>
          </w:tcPr>
          <w:p>
            <w:pPr>
              <w:spacing w:after="0"/>
              <w:rPr>
                <w:sz w:val="19"/>
                <w:szCs w:val="19"/>
                <w:color w:val="auto"/>
              </w:rPr>
            </w:pPr>
          </w:p>
        </w:tc>
      </w:tr>
      <w:tr>
        <w:trPr>
          <w:trHeight w:val="239"/>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26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32,263</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34,661</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33,749</w:t>
            </w:r>
          </w:p>
        </w:tc>
        <w:tc>
          <w:tcPr>
            <w:tcW w:w="100" w:type="dxa"/>
            <w:vAlign w:val="bottom"/>
            <w:shd w:val="clear" w:color="auto" w:fill="CFF0FC"/>
          </w:tcPr>
          <w:p>
            <w:pPr>
              <w:spacing w:after="0"/>
              <w:rPr>
                <w:sz w:val="20"/>
                <w:szCs w:val="20"/>
                <w:color w:val="auto"/>
              </w:rPr>
            </w:pPr>
          </w:p>
        </w:tc>
      </w:tr>
      <w:tr>
        <w:trPr>
          <w:trHeight w:val="223"/>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26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2,476</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100" w:type="dxa"/>
            <w:vAlign w:val="bottom"/>
          </w:tcPr>
          <w:p>
            <w:pPr>
              <w:spacing w:after="0"/>
              <w:rPr>
                <w:sz w:val="19"/>
                <w:szCs w:val="19"/>
                <w:color w:val="auto"/>
              </w:rPr>
            </w:pPr>
          </w:p>
        </w:tc>
      </w:tr>
      <w:tr>
        <w:trPr>
          <w:trHeight w:val="223"/>
        </w:trPr>
        <w:tc>
          <w:tcPr>
            <w:tcW w:w="4440" w:type="dxa"/>
            <w:vAlign w:val="bottom"/>
            <w:tcBorders>
              <w:bottom w:val="single" w:sz="8" w:color="auto"/>
            </w:tcBorders>
            <w:shd w:val="clear" w:color="auto" w:fill="CFF0FC"/>
          </w:tcPr>
          <w:p>
            <w:pPr>
              <w:spacing w:after="0"/>
              <w:rPr>
                <w:sz w:val="19"/>
                <w:szCs w:val="19"/>
                <w:color w:val="auto"/>
              </w:rPr>
            </w:pPr>
          </w:p>
        </w:tc>
        <w:tc>
          <w:tcPr>
            <w:tcW w:w="2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73,449</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74,208</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74,127</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-8255</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1760"/>
        <w:spacing w:after="0" w:line="429" w:lineRule="auto"/>
        <w:rPr>
          <w:sz w:val="20"/>
          <w:szCs w:val="20"/>
          <w:color w:val="auto"/>
        </w:rPr>
      </w:pPr>
      <w:r>
        <w:rPr>
          <w:rFonts w:ascii="Times New Roman" w:cs="Times New Roman" w:eastAsia="Times New Roman" w:hAnsi="Times New Roman"/>
          <w:sz w:val="20"/>
          <w:szCs w:val="20"/>
          <w:color w:val="auto"/>
        </w:rPr>
        <w:t xml:space="preserve">Refer to Note 13 of the consolidated financial statements for disclosures regarding determination of our segment assets. </w:t>
      </w:r>
      <w:r>
        <w:rPr>
          <w:rFonts w:ascii="Times New Roman" w:cs="Times New Roman" w:eastAsia="Times New Roman" w:hAnsi="Times New Roman"/>
          <w:sz w:val="20"/>
          <w:szCs w:val="20"/>
          <w:i w:val="1"/>
          <w:iCs w:val="1"/>
          <w:color w:val="auto"/>
        </w:rPr>
        <w:t>Accounts Receivable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As of January 28, 2024, accounts receivable increased by $3.1 million, or 37.9%, compared with January 29, 2023. This increase reflects the increase in net sales during the third quarter of fiscal 2024 compared with fiscal 2023, as described in the </w:t>
      </w:r>
      <w:r>
        <w:rPr>
          <w:rFonts w:ascii="Times New Roman" w:cs="Times New Roman" w:eastAsia="Times New Roman" w:hAnsi="Times New Roman"/>
          <w:sz w:val="20"/>
          <w:szCs w:val="20"/>
          <w:i w:val="1"/>
          <w:iCs w:val="1"/>
          <w:color w:val="auto"/>
        </w:rPr>
        <w:t>Net Sales</w:t>
      </w:r>
      <w:r>
        <w:rPr>
          <w:rFonts w:ascii="Times New Roman" w:cs="Times New Roman" w:eastAsia="Times New Roman" w:hAnsi="Times New Roman"/>
          <w:sz w:val="20"/>
          <w:szCs w:val="20"/>
          <w:color w:val="auto"/>
        </w:rPr>
        <w:t xml:space="preserve"> section above. In addition, we experienced slower cash collections as customers did not take advantage of cash discounts as much during the third quarter of fiscal 2024, as compared with the third quarter of fiscal 2023, and more customers elected to source our products from China, (where we have longer payment terms) as opposed to the U.S. This led to an increase in days' sales outstanding to 35 days for the third quarter of fiscal 2024, as compared with 31 days for the third quarter of fiscal 2023.</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January 28, 2024, accounts receivable decreased by $933,000, or 7.5%, compared with April 30, 2023. This decrease primarily reflects faster cash collections, as we had a mix of higher sales to customers with longer credit terms during the fourth quarter of fiscal 2023, as compared with the third quarter of fiscal 2024. As a result, days’ sales outstanding decreased to 35 days during the third quarter of fiscal 2024, a decrease from 37 days during the fourth quarter of fiscal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January 28, 2024, inventory decreased by $832,000, or 2.9%, compared with January 29, 2023. Although net sales increased by 21.6% during the third quarter of fiscal 2024, as compared with the third quarter of fiscal 2023, inventory modestly decreased during the third quarter of fiscal 2024, as compared with the prior-year period, due to improved raw materials inventory management in relation to current customer demand trends and promotional programs to reduce aged raw materials and finished goods.</w:t>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January 28, 2024, inventory increased by $2.3 million, or 8.8%, compared with April 30, 2023. This trend primarily reflects lower than anticipated demands trends during the third quarter of fiscal 2024, compared with the fourth quarter of fiscal 2024. Net sales for the third quarter of fiscal 2024 were $30.0 million, a decrease of 2.2%, compared with net sales of $30.7 million during the fourth quarter of fiscal 2023.</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38" w:name="page39"/>
    <w:bookmarkEnd w:id="38"/>
    <w:p>
      <w:pPr>
        <w:jc w:val="both"/>
        <w:spacing w:after="0" w:line="269" w:lineRule="auto"/>
        <w:rPr>
          <w:sz w:val="20"/>
          <w:szCs w:val="20"/>
          <w:color w:val="auto"/>
        </w:rPr>
      </w:pPr>
      <w:r>
        <w:rPr>
          <w:rFonts w:ascii="Times New Roman" w:cs="Times New Roman" w:eastAsia="Times New Roman" w:hAnsi="Times New Roman"/>
          <w:sz w:val="20"/>
          <w:szCs w:val="20"/>
          <w:color w:val="auto"/>
        </w:rPr>
        <w:t>Inventory turns were 4.0 for the third quarter of fiscal 2024, compared with 3.5 for the third quarter of fiscal 2023 and 4.4 for the fourth quarter of fiscal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January 28, 2024, property, plant, and equipment has steadily decreased compared to January 29, 2023, and April 30, 2023, due to reduced capital spending stemming from the current and expected unfavorable macro-economic conditions and our strategic focus on limited capital projects that will increase efficiencies and improve the quality of our products.</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$32.3 million as of January 28, 2024, represents property, plant, and equipment of $21.9 million, $9.8 million, and $600,000 located in the U.S., Canada, and Haiti, respectively. The $34.7 million as of January 29, 2023, represents property, plant, and equipment of $23.1 million, $10.9 million, and $651,000 located in the U.S., Canada, and Haiti, respectively. The $33.7 million as of April 30, 2023, represents property, plant, and equipment of $22.7 million, $10.4 million, and $608,000 located in the U.S., Canada, and Haiti,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28, 2024, right of use assets have decreased due to rent expense incurred over the terms of existing lease agreements.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$1.8 million as of January 28, 2024, represents right of use assets of $1.2 million and $604,000 located in Haiti and Canada, respectively.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$2.5 million as of January 29, 2023, represents right of use assets of $1.6 million and $833,000 located in Haiti and Canada, respectively.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$2.3 million as of April 30, 2023, represents right of use assets of $1.5 million and $776,000 located in Haiti and Canada,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Upholstery Fabrics Segment</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900" w:type="dxa"/>
            <w:vAlign w:val="bottom"/>
            <w:tcBorders>
              <w:top w:val="single" w:sz="8" w:color="auto"/>
            </w:tcBorders>
          </w:tcPr>
          <w:p>
            <w:pPr>
              <w:spacing w:after="0"/>
              <w:rPr>
                <w:sz w:val="19"/>
                <w:szCs w:val="19"/>
                <w:color w:val="auto"/>
              </w:rPr>
            </w:pPr>
          </w:p>
        </w:tc>
        <w:tc>
          <w:tcPr>
            <w:tcW w:w="5460" w:type="dxa"/>
            <w:vAlign w:val="bottom"/>
            <w:tcBorders>
              <w:top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6"/>
                <w:szCs w:val="16"/>
                <w:color w:val="auto"/>
              </w:rPr>
              <w:t>Three Months Ended</w:t>
            </w:r>
          </w:p>
        </w:tc>
        <w:tc>
          <w:tcPr>
            <w:tcW w:w="8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540" w:type="dxa"/>
            <w:vAlign w:val="bottom"/>
          </w:tcPr>
          <w:p>
            <w:pPr>
              <w:jc w:val="center"/>
              <w:ind w:left="2039"/>
              <w:spacing w:after="0"/>
              <w:rPr>
                <w:sz w:val="20"/>
                <w:szCs w:val="20"/>
                <w:color w:val="auto"/>
              </w:rPr>
            </w:pPr>
            <w:r>
              <w:rPr>
                <w:rFonts w:ascii="Times New Roman" w:cs="Times New Roman" w:eastAsia="Times New Roman" w:hAnsi="Times New Roman"/>
                <w:sz w:val="16"/>
                <w:szCs w:val="16"/>
                <w:color w:val="auto"/>
              </w:rPr>
              <w:t>January 28,</w:t>
            </w:r>
          </w:p>
        </w:tc>
        <w:tc>
          <w:tcPr>
            <w:tcW w:w="640" w:type="dxa"/>
            <w:vAlign w:val="bottom"/>
          </w:tcPr>
          <w:p>
            <w:pPr>
              <w:spacing w:after="0"/>
              <w:rPr>
                <w:sz w:val="19"/>
                <w:szCs w:val="19"/>
                <w:color w:val="auto"/>
              </w:rPr>
            </w:pPr>
          </w:p>
        </w:tc>
        <w:tc>
          <w:tcPr>
            <w:tcW w:w="12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January 29,</w:t>
            </w: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auto"/>
            </w:tcBorders>
            <w:vMerge w:val="continue"/>
          </w:tcPr>
          <w:p>
            <w:pPr>
              <w:spacing w:after="0"/>
              <w:rPr>
                <w:sz w:val="19"/>
                <w:szCs w:val="19"/>
                <w:color w:val="auto"/>
              </w:rPr>
            </w:pPr>
          </w:p>
        </w:tc>
        <w:tc>
          <w:tcPr>
            <w:tcW w:w="3540" w:type="dxa"/>
            <w:vAlign w:val="bottom"/>
            <w:tcBorders>
              <w:bottom w:val="single" w:sz="8" w:color="auto"/>
            </w:tcBorders>
          </w:tcPr>
          <w:p>
            <w:pPr>
              <w:jc w:val="center"/>
              <w:ind w:left="2039"/>
              <w:spacing w:after="0"/>
              <w:rPr>
                <w:sz w:val="20"/>
                <w:szCs w:val="20"/>
                <w:color w:val="auto"/>
              </w:rPr>
            </w:pPr>
            <w:r>
              <w:rPr>
                <w:rFonts w:ascii="Times New Roman" w:cs="Times New Roman" w:eastAsia="Times New Roman" w:hAnsi="Times New Roman"/>
                <w:sz w:val="16"/>
                <w:szCs w:val="16"/>
                <w:color w:val="auto"/>
              </w:rPr>
              <w:t>2024</w:t>
            </w:r>
          </w:p>
        </w:tc>
        <w:tc>
          <w:tcPr>
            <w:tcW w:w="6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2023</w:t>
            </w:r>
          </w:p>
        </w:tc>
        <w:tc>
          <w:tcPr>
            <w:tcW w:w="8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Change</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Non-U.S. Produced</w:t>
            </w:r>
          </w:p>
        </w:tc>
        <w:tc>
          <w:tcPr>
            <w:tcW w:w="3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$28,425</w:t>
            </w:r>
          </w:p>
        </w:tc>
        <w:tc>
          <w:tcPr>
            <w:tcW w:w="6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94%</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$25,514</w:t>
            </w:r>
          </w:p>
        </w:tc>
        <w:tc>
          <w:tcPr>
            <w:tcW w:w="8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92%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U.S. Produced</w:t>
            </w:r>
          </w:p>
        </w:tc>
        <w:tc>
          <w:tcPr>
            <w:tcW w:w="3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6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8%</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$30,397</w:t>
            </w:r>
          </w:p>
        </w:tc>
        <w:tc>
          <w:tcPr>
            <w:tcW w:w="64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100%</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$27,826</w:t>
            </w:r>
          </w:p>
        </w:tc>
        <w:tc>
          <w:tcPr>
            <w:tcW w:w="80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100%</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405"/>
        </w:trPr>
        <w:tc>
          <w:tcPr>
            <w:tcW w:w="39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3"/>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900" w:type="dxa"/>
            <w:vAlign w:val="bottom"/>
          </w:tcPr>
          <w:p>
            <w:pPr>
              <w:spacing w:after="0"/>
              <w:rPr>
                <w:sz w:val="17"/>
                <w:szCs w:val="17"/>
                <w:color w:val="auto"/>
              </w:rPr>
            </w:pPr>
          </w:p>
        </w:tc>
        <w:tc>
          <w:tcPr>
            <w:tcW w:w="546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color w:val="auto"/>
              </w:rPr>
              <w:t>Nine Months Ended</w:t>
            </w: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540" w:type="dxa"/>
            <w:vAlign w:val="bottom"/>
          </w:tcPr>
          <w:p>
            <w:pPr>
              <w:jc w:val="center"/>
              <w:ind w:left="2039"/>
              <w:spacing w:after="0"/>
              <w:rPr>
                <w:sz w:val="20"/>
                <w:szCs w:val="20"/>
                <w:color w:val="auto"/>
              </w:rPr>
            </w:pPr>
            <w:r>
              <w:rPr>
                <w:rFonts w:ascii="Times New Roman" w:cs="Times New Roman" w:eastAsia="Times New Roman" w:hAnsi="Times New Roman"/>
                <w:sz w:val="16"/>
                <w:szCs w:val="16"/>
                <w:color w:val="auto"/>
              </w:rPr>
              <w:t>January 28,</w:t>
            </w:r>
          </w:p>
        </w:tc>
        <w:tc>
          <w:tcPr>
            <w:tcW w:w="640" w:type="dxa"/>
            <w:vAlign w:val="bottom"/>
          </w:tcPr>
          <w:p>
            <w:pPr>
              <w:spacing w:after="0"/>
              <w:rPr>
                <w:sz w:val="19"/>
                <w:szCs w:val="19"/>
                <w:color w:val="auto"/>
              </w:rPr>
            </w:pPr>
          </w:p>
        </w:tc>
        <w:tc>
          <w:tcPr>
            <w:tcW w:w="12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January 29,</w:t>
            </w: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auto"/>
            </w:tcBorders>
            <w:vMerge w:val="continue"/>
          </w:tcPr>
          <w:p>
            <w:pPr>
              <w:spacing w:after="0"/>
              <w:rPr>
                <w:sz w:val="19"/>
                <w:szCs w:val="19"/>
                <w:color w:val="auto"/>
              </w:rPr>
            </w:pPr>
          </w:p>
        </w:tc>
        <w:tc>
          <w:tcPr>
            <w:tcW w:w="3540" w:type="dxa"/>
            <w:vAlign w:val="bottom"/>
            <w:tcBorders>
              <w:bottom w:val="single" w:sz="8" w:color="auto"/>
            </w:tcBorders>
          </w:tcPr>
          <w:p>
            <w:pPr>
              <w:jc w:val="center"/>
              <w:ind w:left="2039"/>
              <w:spacing w:after="0"/>
              <w:rPr>
                <w:sz w:val="20"/>
                <w:szCs w:val="20"/>
                <w:color w:val="auto"/>
              </w:rPr>
            </w:pPr>
            <w:r>
              <w:rPr>
                <w:rFonts w:ascii="Times New Roman" w:cs="Times New Roman" w:eastAsia="Times New Roman" w:hAnsi="Times New Roman"/>
                <w:sz w:val="16"/>
                <w:szCs w:val="16"/>
                <w:color w:val="auto"/>
              </w:rPr>
              <w:t>2024</w:t>
            </w:r>
          </w:p>
        </w:tc>
        <w:tc>
          <w:tcPr>
            <w:tcW w:w="6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2023</w:t>
            </w:r>
          </w:p>
        </w:tc>
        <w:tc>
          <w:tcPr>
            <w:tcW w:w="8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Change</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Non-U.S. Produced</w:t>
            </w:r>
          </w:p>
        </w:tc>
        <w:tc>
          <w:tcPr>
            <w:tcW w:w="3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$77,187</w:t>
            </w:r>
          </w:p>
        </w:tc>
        <w:tc>
          <w:tcPr>
            <w:tcW w:w="6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91%</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$86,633</w:t>
            </w:r>
          </w:p>
        </w:tc>
        <w:tc>
          <w:tcPr>
            <w:tcW w:w="8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93%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U.S. Produced</w:t>
            </w:r>
          </w:p>
        </w:tc>
        <w:tc>
          <w:tcPr>
            <w:tcW w:w="3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7,998</w:t>
            </w:r>
          </w:p>
        </w:tc>
        <w:tc>
          <w:tcPr>
            <w:tcW w:w="6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9%</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6,576</w:t>
            </w: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7%</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$85,185</w:t>
            </w:r>
          </w:p>
        </w:tc>
        <w:tc>
          <w:tcPr>
            <w:tcW w:w="64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100%</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$93,209</w:t>
            </w:r>
          </w:p>
        </w:tc>
        <w:tc>
          <w:tcPr>
            <w:tcW w:w="80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100%</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Upholstery fabrics sales increased 9.2% in the third quarter of fiscal 2024 compared to the prior-year period. Upholstery fabrics sales decreased 8.6% in the first nine months of fiscal 2024 compared to the first nine months of fiscal 2023.</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increase in upholstery fabrics net sales during the third quarter was driven by the timing of the Chinese New Year holiday (which falls primarily in the fourth quarter of fiscal 2024, as opposed to the third quarter of fiscal 2023), as well as some improvement in residential home furnishing sales during the period. This increase was partially offset by moderately lower sales in our hospitality/contract fabric business primarily due to the impact of winter weather events in January; short-term supply chain issues that affected production in our Read business; and increased construction costs affecting demand for new and ongoing hospitality/contract projects.</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decrease in upholstery fabrics net sales during the first nine months of fiscal 2024 reflects softness in the residential home furnishings industry, where demand was pressured during the first half of the year by a challenging macro-economic environment.</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Although we saw a year over year increase in residential fabric sales during the third quarter, the industry demand backdrop for residential home furnishings has deteriorated further than expected during the first few weeks of the fourth quarter, and we expect this ongoing softness may affect demand for our residential business for some time. Despite this challenge, we believe our business is well positioned for the long term with our product-driven strategy and innovative product offerings, including our popular portfolio of LiveSmart® performance products, supported by our flexible Asian platform and our long-term supplier relationships. We also believe overall demand remains solid for our hospitality/contract business.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090" w:gutter="0" w:footer="0" w:header="0"/>
        </w:sectPr>
      </w:pPr>
    </w:p>
    <w:bookmarkStart w:id="39" w:name="page40"/>
    <w:bookmarkEnd w:id="39"/>
    <w:p>
      <w:pPr>
        <w:jc w:val="both"/>
        <w:spacing w:after="0" w:line="246" w:lineRule="auto"/>
        <w:rPr>
          <w:sz w:val="20"/>
          <w:szCs w:val="20"/>
          <w:color w:val="auto"/>
        </w:rPr>
      </w:pPr>
      <w:r>
        <w:rPr>
          <w:rFonts w:ascii="Times New Roman" w:cs="Times New Roman" w:eastAsia="Times New Roman" w:hAnsi="Times New Roman"/>
          <w:sz w:val="20"/>
          <w:szCs w:val="20"/>
          <w:color w:val="auto"/>
        </w:rPr>
        <w:t>Notably, the potential ongoing geopolitical disruptions related to wars in Ukraine and the Middle East, as well as the economic and health effects from possible additional surges in the coronavirus, remain unknown and depend on factors beyond our control. At this time, we cannot reasonably estimate the impact on our upholstery fabrics segment, but we note that if conditions worsen in any of these situations, including additional COVID-related shutdowns of our China operations, the impact on our operations, and/or on our suppliers, customers, consumers, and the global economy, could adversely affect our financial performance.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 Selling, General &amp; Administrative Expenses, and Income (Loss) from Operations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40" w:type="dxa"/>
            <w:vAlign w:val="bottom"/>
            <w:tcBorders>
              <w:top w:val="single" w:sz="8" w:color="auto"/>
            </w:tcBorders>
          </w:tcPr>
          <w:p>
            <w:pPr>
              <w:spacing w:after="0"/>
              <w:rPr>
                <w:sz w:val="19"/>
                <w:szCs w:val="19"/>
                <w:color w:val="auto"/>
              </w:rPr>
            </w:pPr>
          </w:p>
        </w:tc>
        <w:tc>
          <w:tcPr>
            <w:tcW w:w="4580" w:type="dxa"/>
            <w:vAlign w:val="bottom"/>
            <w:tcBorders>
              <w:top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color w:val="auto"/>
              </w:rPr>
              <w:t>Three Months Ended</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80" w:type="dxa"/>
            <w:vAlign w:val="bottom"/>
            <w:gridSpan w:val="3"/>
          </w:tcPr>
          <w:p>
            <w:pPr>
              <w:jc w:val="center"/>
              <w:ind w:left="1599"/>
              <w:spacing w:after="0"/>
              <w:rPr>
                <w:sz w:val="20"/>
                <w:szCs w:val="20"/>
                <w:color w:val="auto"/>
              </w:rPr>
            </w:pPr>
            <w:r>
              <w:rPr>
                <w:rFonts w:ascii="Times New Roman" w:cs="Times New Roman" w:eastAsia="Times New Roman" w:hAnsi="Times New Roman"/>
                <w:sz w:val="16"/>
                <w:szCs w:val="16"/>
                <w:color w:val="auto"/>
              </w:rPr>
              <w:t>January 28,</w:t>
            </w:r>
          </w:p>
        </w:tc>
        <w:tc>
          <w:tcPr>
            <w:tcW w:w="150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color w:val="auto"/>
              </w:rPr>
              <w:t>January 29,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vMerge w:val="continue"/>
          </w:tcPr>
          <w:p>
            <w:pPr>
              <w:spacing w:after="0"/>
              <w:rPr>
                <w:sz w:val="19"/>
                <w:szCs w:val="19"/>
                <w:color w:val="auto"/>
              </w:rPr>
            </w:pPr>
          </w:p>
        </w:tc>
        <w:tc>
          <w:tcPr>
            <w:tcW w:w="3180" w:type="dxa"/>
            <w:vAlign w:val="bottom"/>
            <w:tcBorders>
              <w:bottom w:val="single" w:sz="8" w:color="auto"/>
            </w:tcBorders>
          </w:tcPr>
          <w:p>
            <w:pPr>
              <w:jc w:val="center"/>
              <w:ind w:left="1899"/>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3,330</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59"/>
              <w:spacing w:after="0"/>
              <w:rPr>
                <w:sz w:val="20"/>
                <w:szCs w:val="20"/>
                <w:color w:val="auto"/>
              </w:rPr>
            </w:pPr>
            <w:r>
              <w:rPr>
                <w:rFonts w:ascii="Times New Roman" w:cs="Times New Roman" w:eastAsia="Times New Roman" w:hAnsi="Times New Roman"/>
                <w:sz w:val="16"/>
                <w:szCs w:val="16"/>
                <w:color w:val="auto"/>
              </w:rPr>
              <w:t>83.8%</w:t>
            </w:r>
          </w:p>
        </w:tc>
        <w:tc>
          <w:tcPr>
            <w:tcW w:w="0" w:type="dxa"/>
            <w:vAlign w:val="bottom"/>
          </w:tcPr>
          <w:p>
            <w:pPr>
              <w:spacing w:after="0"/>
              <w:rPr>
                <w:sz w:val="1"/>
                <w:szCs w:val="1"/>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4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20.1 %</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12.0 %</w:t>
            </w: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817bp</w:t>
            </w: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4,030</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center"/>
              <w:ind w:right="39"/>
              <w:spacing w:after="0"/>
              <w:rPr>
                <w:sz w:val="20"/>
                <w:szCs w:val="20"/>
                <w:color w:val="auto"/>
              </w:rPr>
            </w:pPr>
            <w:r>
              <w:rPr>
                <w:rFonts w:ascii="Times New Roman" w:cs="Times New Roman" w:eastAsia="Times New Roman" w:hAnsi="Times New Roman"/>
                <w:sz w:val="16"/>
                <w:szCs w:val="16"/>
                <w:color w:val="auto"/>
                <w:w w:val="95"/>
              </w:rPr>
              <w:t>7.5%</w:t>
            </w:r>
          </w:p>
        </w:tc>
        <w:tc>
          <w:tcPr>
            <w:tcW w:w="0" w:type="dxa"/>
            <w:vAlign w:val="bottom"/>
          </w:tcPr>
          <w:p>
            <w:pPr>
              <w:spacing w:after="0"/>
              <w:rPr>
                <w:sz w:val="1"/>
                <w:szCs w:val="1"/>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(credit) expense</w:t>
            </w:r>
          </w:p>
        </w:tc>
        <w:tc>
          <w:tcPr>
            <w:tcW w:w="3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(50 )</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(107.0)%</w:t>
            </w: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(420 )</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center"/>
              <w:ind w:right="39"/>
              <w:spacing w:after="0"/>
              <w:rPr>
                <w:sz w:val="20"/>
                <w:szCs w:val="20"/>
                <w:color w:val="auto"/>
              </w:rPr>
            </w:pPr>
            <w:r>
              <w:rPr>
                <w:rFonts w:ascii="Times New Roman" w:cs="Times New Roman" w:eastAsia="Times New Roman" w:hAnsi="Times New Roman"/>
                <w:sz w:val="16"/>
                <w:szCs w:val="16"/>
                <w:color w:val="auto"/>
                <w:w w:val="99"/>
              </w:rPr>
              <w:t>(598.1)%</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34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6.9 %</w:t>
            </w: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(1.5 )%</w:t>
            </w: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839bp</w:t>
            </w:r>
          </w:p>
        </w:tc>
        <w:tc>
          <w:tcPr>
            <w:tcW w:w="0" w:type="dxa"/>
            <w:vAlign w:val="bottom"/>
          </w:tcPr>
          <w:p>
            <w:pPr>
              <w:spacing w:after="0"/>
              <w:rPr>
                <w:sz w:val="1"/>
                <w:szCs w:val="1"/>
                <w:color w:val="auto"/>
              </w:rPr>
            </w:pPr>
          </w:p>
        </w:tc>
      </w:tr>
      <w:tr>
        <w:trPr>
          <w:trHeight w:val="378"/>
        </w:trPr>
        <w:tc>
          <w:tcPr>
            <w:tcW w:w="5140" w:type="dxa"/>
            <w:vAlign w:val="bottom"/>
            <w:tcBorders>
              <w:top w:val="single" w:sz="8" w:color="auto"/>
              <w:bottom w:val="single" w:sz="8" w:color="auto"/>
            </w:tcBorders>
          </w:tcPr>
          <w:p>
            <w:pPr>
              <w:spacing w:after="0"/>
              <w:rPr>
                <w:sz w:val="24"/>
                <w:szCs w:val="24"/>
                <w:color w:val="auto"/>
              </w:rPr>
            </w:pPr>
          </w:p>
        </w:tc>
        <w:tc>
          <w:tcPr>
            <w:tcW w:w="31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gridSpan w:val="2"/>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140" w:type="dxa"/>
            <w:vAlign w:val="bottom"/>
          </w:tcPr>
          <w:p>
            <w:pPr>
              <w:spacing w:after="0"/>
              <w:rPr>
                <w:sz w:val="17"/>
                <w:szCs w:val="17"/>
                <w:color w:val="auto"/>
              </w:rPr>
            </w:pPr>
          </w:p>
        </w:tc>
        <w:tc>
          <w:tcPr>
            <w:tcW w:w="458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color w:val="auto"/>
              </w:rPr>
              <w:t>Nine Months Ended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80" w:type="dxa"/>
            <w:vAlign w:val="bottom"/>
            <w:gridSpan w:val="3"/>
          </w:tcPr>
          <w:p>
            <w:pPr>
              <w:jc w:val="center"/>
              <w:ind w:left="1559"/>
              <w:spacing w:after="0"/>
              <w:rPr>
                <w:sz w:val="20"/>
                <w:szCs w:val="20"/>
                <w:color w:val="auto"/>
              </w:rPr>
            </w:pPr>
            <w:r>
              <w:rPr>
                <w:rFonts w:ascii="Times New Roman" w:cs="Times New Roman" w:eastAsia="Times New Roman" w:hAnsi="Times New Roman"/>
                <w:sz w:val="16"/>
                <w:szCs w:val="16"/>
                <w:color w:val="auto"/>
              </w:rPr>
              <w:t>January 28,</w:t>
            </w:r>
          </w:p>
        </w:tc>
        <w:tc>
          <w:tcPr>
            <w:tcW w:w="150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color w:val="auto"/>
              </w:rPr>
              <w:t>January 29,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vMerge w:val="continue"/>
          </w:tcPr>
          <w:p>
            <w:pPr>
              <w:spacing w:after="0"/>
              <w:rPr>
                <w:sz w:val="19"/>
                <w:szCs w:val="19"/>
                <w:color w:val="auto"/>
              </w:rPr>
            </w:pPr>
          </w:p>
        </w:tc>
        <w:tc>
          <w:tcPr>
            <w:tcW w:w="3180" w:type="dxa"/>
            <w:vAlign w:val="bottom"/>
            <w:tcBorders>
              <w:bottom w:val="single" w:sz="8" w:color="auto"/>
            </w:tcBorders>
          </w:tcPr>
          <w:p>
            <w:pPr>
              <w:jc w:val="center"/>
              <w:ind w:left="1859"/>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16,780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11,436</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59"/>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4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19.7 %</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12.3 %</w:t>
            </w: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740bp</w:t>
            </w: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11,969</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11,053</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center"/>
              <w:ind w:right="39"/>
              <w:spacing w:after="0"/>
              <w:rPr>
                <w:sz w:val="20"/>
                <w:szCs w:val="20"/>
                <w:color w:val="auto"/>
              </w:rPr>
            </w:pPr>
            <w:r>
              <w:rPr>
                <w:rFonts w:ascii="Times New Roman" w:cs="Times New Roman" w:eastAsia="Times New Roman" w:hAnsi="Times New Roman"/>
                <w:sz w:val="16"/>
                <w:szCs w:val="16"/>
                <w:color w:val="auto"/>
                <w:w w:val="95"/>
              </w:rPr>
              <w:t>8.3%</w:t>
            </w:r>
          </w:p>
        </w:tc>
        <w:tc>
          <w:tcPr>
            <w:tcW w:w="0" w:type="dxa"/>
            <w:vAlign w:val="bottom"/>
          </w:tcPr>
          <w:p>
            <w:pPr>
              <w:spacing w:after="0"/>
              <w:rPr>
                <w:sz w:val="1"/>
                <w:szCs w:val="1"/>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(67.4)%</w:t>
            </w: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4,811</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center"/>
              <w:ind w:right="39"/>
              <w:spacing w:after="0"/>
              <w:rPr>
                <w:sz w:val="20"/>
                <w:szCs w:val="20"/>
                <w:color w:val="auto"/>
              </w:rPr>
            </w:pPr>
            <w:r>
              <w:rPr>
                <w:rFonts w:ascii="Times New Roman" w:cs="Times New Roman" w:eastAsia="Times New Roman" w:hAnsi="Times New Roman"/>
                <w:sz w:val="16"/>
                <w:szCs w:val="16"/>
                <w:color w:val="auto"/>
                <w:w w:val="97"/>
              </w:rPr>
              <w:t>1156.1%</w:t>
            </w:r>
          </w:p>
        </w:tc>
        <w:tc>
          <w:tcPr>
            <w:tcW w:w="0" w:type="dxa"/>
            <w:vAlign w:val="bottom"/>
          </w:tcPr>
          <w:p>
            <w:pPr>
              <w:spacing w:after="0"/>
              <w:rPr>
                <w:sz w:val="1"/>
                <w:szCs w:val="1"/>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34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5.6 %</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0.4 %</w:t>
            </w: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525bp</w:t>
            </w:r>
          </w:p>
        </w:tc>
        <w:tc>
          <w:tcPr>
            <w:tcW w:w="0" w:type="dxa"/>
            <w:vAlign w:val="bottom"/>
          </w:tcPr>
          <w:p>
            <w:pPr>
              <w:spacing w:after="0"/>
              <w:rPr>
                <w:sz w:val="1"/>
                <w:szCs w:val="1"/>
                <w:color w:val="auto"/>
              </w:rPr>
            </w:pPr>
          </w:p>
        </w:tc>
      </w:tr>
      <w:tr>
        <w:trPr>
          <w:trHeight w:val="23"/>
        </w:trPr>
        <w:tc>
          <w:tcPr>
            <w:tcW w:w="5140" w:type="dxa"/>
            <w:vAlign w:val="bottom"/>
            <w:shd w:val="clear" w:color="auto" w:fill="000000"/>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increase in upholstery fabrics profitability for the third quarter of fiscal 2024, as compared to the prior year period (which was negatively affected by restructuring and related charges), primarily reflects higher sales volume; a more profitable mix of sales; a more favorable foreign exchange rate in China; and lower fixed costs resulting from the previous restructuring of the upholstery fabrics segment's cut and sew platforms. These factors were partially offset by lower hospitality/contract sales and higher SG&amp;A expense during the period.</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increase in upholstery fabrics profitability for the first nine months of fiscal 2024, as compared to the prior-year period (which was negatively affected by higher than normal inventory markdowns and restructuring and related charges), primarily reflects a more profitable mix of sales; better inventory management; a more favorable foreign exchange rate in China; lower fixed costs resulting from the previous restructuring of the upholstery fabrics cut and sew platform; and lower freight costs. These factors were partially offset by lower residential fabric sales and higher SG&amp;A expense during the period.</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increase in SG&amp;A expense during both the third quarter and the first nine months of fiscal 2024, as compared to the prior-year periods, was mostly due to wage inflation, higher professional and consulting fees, higher travel and tradeshow costs as business travel and industry tradeshows have resumed, and an increase in sampling expense driven by new product roll outs.</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Looking ahead, the residential home furnishings industry remains under pressure, and we expect further deterioration during the fourth quarter of fiscal 2024 due to shifting consumer demand trends and inflation affecting overall consumer spending. As a result, we expect lower sales volumes in our residential business will continue to affect our profitability. However, we still expect to benefit in fiscal 2024 from</w:t>
      </w:r>
    </w:p>
    <w:p>
      <w:pPr>
        <w:jc w:val="both"/>
        <w:ind w:firstLine="8"/>
        <w:spacing w:after="0" w:line="241" w:lineRule="auto"/>
        <w:tabs>
          <w:tab w:leader="none" w:pos="23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strategic decision to discontinue production of cut and sewn upholstery kits in Haiti; (ii) improved inventory management; (iii) a solid hospitality/contract fabric business; and (iv) improvement in our Read business. We will also continue our ongoing cost reduction efforts and will consider further adjustments to right-size and restructure our operations as necessary to align with current demand levels, while maintaining our ability to service our customers.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Activities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Ouanaminthe, Haiti</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third quarter of fiscal 2023, Culp Upholstery Fabrics Haiti, Ltd. ("CUF Haiti") entered into an agreement to terminate a lease associated with a facility located in Ouanaminthe, Haiti, and, in turn, moved its production of upholstery cut and sew kits to an existing facility leased by Culp Home Fashions Haiti, Ltd. (“CHF Haiti”) during the fourth quarter of fiscal 2023. Both CUF</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036"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20"/>
          <w:szCs w:val="20"/>
          <w:color w:val="auto"/>
        </w:rPr>
        <w:t>Haiti and CHF Haiti are indirect wholly-owned subsidiaries of the company. During the first quarter of fiscal 2024, demand for upholstery cut and sewn kits declined more than previously anticipated, resulting in the strategic action to discontinue the production of upholstery cut and sew kits in Haiti.</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Shanghai, China</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second quarter of fiscal 2023, we closed our cut and sew upholstery fabrics operation located in Shanghai, China, which included the termination of an agreement to lease a building. This strategic action, along with the further use of our Asian supply chain, was taken in order to adjust our operating costs to better align with the declining customer demand for cut and sewn products.</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summarizes our restructuring expense and restructuring related charges from both our restructuring activities noted above for the nine months ending January 28, 2024, and January 29,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Nine Months Ended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43"/>
        </w:trPr>
        <w:tc>
          <w:tcPr>
            <w:tcW w:w="58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January 28, 2024</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January 29, 2023</w:t>
            </w:r>
          </w:p>
        </w:tc>
        <w:tc>
          <w:tcPr>
            <w:tcW w:w="100" w:type="dxa"/>
            <w:vAlign w:val="bottom"/>
          </w:tcPr>
          <w:p>
            <w:pPr>
              <w:spacing w:after="0"/>
              <w:rPr>
                <w:sz w:val="21"/>
                <w:szCs w:val="21"/>
                <w:color w:val="auto"/>
              </w:rPr>
            </w:pPr>
          </w:p>
        </w:tc>
      </w:tr>
      <w:tr>
        <w:trPr>
          <w:trHeight w:val="22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 termination costs</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CFF0FC"/>
          </w:tcPr>
          <w:p>
            <w:pPr>
              <w:spacing w:after="0"/>
              <w:rPr>
                <w:sz w:val="19"/>
                <w:szCs w:val="19"/>
                <w:color w:val="auto"/>
              </w:rPr>
            </w:pPr>
          </w:p>
        </w:tc>
      </w:tr>
      <w:tr>
        <w:trPr>
          <w:trHeight w:val="220"/>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9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Pr>
          <w:p>
            <w:pPr>
              <w:spacing w:after="0"/>
              <w:rPr>
                <w:sz w:val="19"/>
                <w:szCs w:val="19"/>
                <w:color w:val="auto"/>
              </w:rPr>
            </w:pPr>
          </w:p>
        </w:tc>
      </w:tr>
      <w:tr>
        <w:trPr>
          <w:trHeight w:val="23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Impairment loss - leasehold improvements and equipment</w:t>
            </w:r>
          </w:p>
        </w:tc>
        <w:tc>
          <w:tcPr>
            <w:tcW w:w="19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FF0FC"/>
          </w:tcPr>
          <w:p>
            <w:pPr>
              <w:spacing w:after="0"/>
              <w:rPr>
                <w:sz w:val="20"/>
                <w:szCs w:val="20"/>
                <w:color w:val="auto"/>
              </w:rPr>
            </w:pPr>
          </w:p>
        </w:tc>
      </w:tr>
      <w:tr>
        <w:trPr>
          <w:trHeight w:val="220"/>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19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9"/>
                <w:szCs w:val="19"/>
                <w:color w:val="auto"/>
              </w:rPr>
            </w:pPr>
          </w:p>
        </w:tc>
      </w:tr>
      <w:tr>
        <w:trPr>
          <w:trHeight w:val="233"/>
        </w:trPr>
        <w:tc>
          <w:tcPr>
            <w:tcW w:w="58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associated costs</w:t>
            </w:r>
          </w:p>
        </w:tc>
        <w:tc>
          <w:tcPr>
            <w:tcW w:w="19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 (2)</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-161925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280" w:right="20" w:hanging="272"/>
        <w:spacing w:after="0" w:line="282" w:lineRule="auto"/>
        <w:tabs>
          <w:tab w:leader="none" w:pos="2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$472,000, $432,000 and $40,000 were recorded within restructuring expense and cost of sales, respectively, in the Consolidated Statement of Net Loss for the nine-month period ending January 28, 2024.</w:t>
      </w:r>
    </w:p>
    <w:p>
      <w:pPr>
        <w:spacing w:after="0" w:line="161" w:lineRule="exact"/>
        <w:rPr>
          <w:rFonts w:ascii="Times New Roman" w:cs="Times New Roman" w:eastAsia="Times New Roman" w:hAnsi="Times New Roman"/>
          <w:sz w:val="18"/>
          <w:szCs w:val="18"/>
          <w:color w:val="auto"/>
        </w:rPr>
      </w:pPr>
    </w:p>
    <w:p>
      <w:pPr>
        <w:ind w:left="280" w:hanging="272"/>
        <w:spacing w:after="0" w:line="282" w:lineRule="auto"/>
        <w:tabs>
          <w:tab w:leader="none" w:pos="2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$1.4 million, $1.3 million and $98,000 were recorded within restructuring expense and cost of sales, respectively, in the Consolidated Statement of Net Loss for the nine-month period ending January 29,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9 of the consolidated financial statement for further details regarding our restructuring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right of use assets, and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5204460</wp:posOffset>
            </wp:positionH>
            <wp:positionV relativeFrom="paragraph">
              <wp:posOffset>138430</wp:posOffset>
            </wp:positionV>
            <wp:extent cx="102235" cy="1879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235" cy="187960"/>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138430</wp:posOffset>
            </wp:positionV>
            <wp:extent cx="93980" cy="1879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138430</wp:posOffset>
            </wp:positionV>
            <wp:extent cx="93980" cy="1879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3980" cy="18796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January 28, 2024</w:t>
            </w:r>
          </w:p>
        </w:tc>
        <w:tc>
          <w:tcPr>
            <w:tcW w:w="120" w:type="dxa"/>
            <w:vAlign w:val="bottom"/>
          </w:tcPr>
          <w:p>
            <w:pPr>
              <w:spacing w:after="0"/>
              <w:rPr>
                <w:sz w:val="20"/>
                <w:szCs w:val="20"/>
                <w:color w:val="auto"/>
              </w:rPr>
            </w:pP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January 29, 2023</w:t>
            </w:r>
          </w:p>
        </w:tc>
        <w:tc>
          <w:tcPr>
            <w:tcW w:w="100" w:type="dxa"/>
            <w:vAlign w:val="bottom"/>
          </w:tcPr>
          <w:p>
            <w:pPr>
              <w:spacing w:after="0"/>
              <w:rPr>
                <w:sz w:val="20"/>
                <w:szCs w:val="20"/>
                <w:color w:val="auto"/>
              </w:rPr>
            </w:pPr>
          </w:p>
        </w:tc>
        <w:tc>
          <w:tcPr>
            <w:tcW w:w="130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April 30, 2023</w:t>
            </w:r>
          </w:p>
        </w:tc>
        <w:tc>
          <w:tcPr>
            <w:tcW w:w="100" w:type="dxa"/>
            <w:vAlign w:val="bottom"/>
          </w:tcPr>
          <w:p>
            <w:pPr>
              <w:spacing w:after="0"/>
              <w:rPr>
                <w:sz w:val="20"/>
                <w:szCs w:val="20"/>
                <w:color w:val="auto"/>
              </w:rPr>
            </w:pPr>
          </w:p>
        </w:tc>
      </w:tr>
      <w:tr>
        <w:trPr>
          <w:trHeight w:val="230"/>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12,223</w:t>
            </w:r>
          </w:p>
        </w:tc>
        <w:tc>
          <w:tcPr>
            <w:tcW w:w="72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12,927</w:t>
            </w:r>
          </w:p>
        </w:tc>
        <w:tc>
          <w:tcPr>
            <w:tcW w:w="64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12,382</w:t>
            </w:r>
          </w:p>
        </w:tc>
        <w:tc>
          <w:tcPr>
            <w:tcW w:w="100" w:type="dxa"/>
            <w:vAlign w:val="bottom"/>
            <w:shd w:val="clear" w:color="auto" w:fill="CFF0FC"/>
          </w:tcPr>
          <w:p>
            <w:pPr>
              <w:spacing w:after="0"/>
              <w:rPr>
                <w:sz w:val="19"/>
                <w:szCs w:val="19"/>
                <w:color w:val="auto"/>
              </w:rPr>
            </w:pP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19,406</w:t>
            </w:r>
          </w:p>
        </w:tc>
        <w:tc>
          <w:tcPr>
            <w:tcW w:w="100" w:type="dxa"/>
            <w:vAlign w:val="bottom"/>
          </w:tcPr>
          <w:p>
            <w:pPr>
              <w:spacing w:after="0"/>
              <w:rPr>
                <w:sz w:val="19"/>
                <w:szCs w:val="19"/>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26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00" w:type="dxa"/>
            <w:vAlign w:val="bottom"/>
            <w:shd w:val="clear" w:color="auto" w:fill="CFF0FC"/>
          </w:tcPr>
          <w:p>
            <w:pPr>
              <w:spacing w:after="0"/>
              <w:rPr>
                <w:sz w:val="20"/>
                <w:szCs w:val="20"/>
                <w:color w:val="auto"/>
              </w:rPr>
            </w:pP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2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w:t>
            </w:r>
          </w:p>
        </w:tc>
        <w:tc>
          <w:tcPr>
            <w:tcW w:w="100" w:type="dxa"/>
            <w:vAlign w:val="bottom"/>
          </w:tcPr>
          <w:p>
            <w:pPr>
              <w:spacing w:after="0"/>
              <w:rPr>
                <w:sz w:val="19"/>
                <w:szCs w:val="19"/>
                <w:color w:val="auto"/>
              </w:rPr>
            </w:pPr>
          </w:p>
        </w:tc>
      </w:tr>
      <w:tr>
        <w:trPr>
          <w:trHeight w:val="233"/>
        </w:trPr>
        <w:tc>
          <w:tcPr>
            <w:tcW w:w="44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 held for sale</w:t>
            </w:r>
          </w:p>
        </w:tc>
        <w:tc>
          <w:tcPr>
            <w:tcW w:w="26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10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44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34,675</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38,536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36,077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-162560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-162560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5" w:lineRule="exact"/>
        <w:rPr>
          <w:sz w:val="20"/>
          <w:szCs w:val="20"/>
          <w:color w:val="auto"/>
        </w:rPr>
      </w:pPr>
    </w:p>
    <w:p>
      <w:pPr>
        <w:ind w:right="1760"/>
        <w:spacing w:after="0" w:line="422" w:lineRule="auto"/>
        <w:rPr>
          <w:sz w:val="20"/>
          <w:szCs w:val="20"/>
          <w:color w:val="auto"/>
        </w:rPr>
      </w:pPr>
      <w:r>
        <w:rPr>
          <w:rFonts w:ascii="Times New Roman" w:cs="Times New Roman" w:eastAsia="Times New Roman" w:hAnsi="Times New Roman"/>
          <w:sz w:val="20"/>
          <w:szCs w:val="20"/>
          <w:color w:val="auto"/>
        </w:rPr>
        <w:t xml:space="preserve">Refer to Note 13 of the consolidated financial statements for disclosures regarding determination of our segment assets. </w:t>
      </w:r>
      <w:r>
        <w:rPr>
          <w:rFonts w:ascii="Times New Roman" w:cs="Times New Roman" w:eastAsia="Times New Roman" w:hAnsi="Times New Roman"/>
          <w:sz w:val="20"/>
          <w:szCs w:val="20"/>
          <w:i w:val="1"/>
          <w:iCs w:val="1"/>
          <w:color w:val="auto"/>
        </w:rPr>
        <w:t>Accounts Receivable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January 28, 2024, accounts receivable decreased by $704,000, or 5.4%, compared with January 29, 2023. Although net sales increased by 9.2% during the third quarter of fiscal 2024, as compared with the third quarter of fiscal 2023, accounts receivable decreased. This trend reflects a timing difference of cash receipts from certain significant customers during the last week of the third quarter of fiscal 2024, which cash receipts did not occur during the third quarter of fiscal 2023. It also reflects the expiration of extended credit terms with certain customers. As a result, days’ sales outstanding for this segment decreased to 31 days for the third quarter of fiscal 2024, as compared with 38 days for the third quarter of fiscal 2023.</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January 28, 2024, accounts receivable decreased by 1.3%, compared with April 30, 2023. This trend reflects a static net sales of $30.4 million for the third quarter of fiscal 2024, that was comparable with net sales of $30.7 million during the fourth quarter of fiscal 2023. Days' sales outstanding was 31 days for the third quarter of fiscal 2024, as compared with 33 days for the fourth quarter of fiscal 2023.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1" w:name="page42"/>
    <w:bookmarkEnd w:id="41"/>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As of January 28, 2024, inventory increased by 0.4%, compared with January 29, 2023. Although net sales increased by 9.2% during the third quarter of fiscal 2024, as compared with the third quarter of fiscal 2023, inventory remained flat as inventory levels were well managed in relation to current customer demand trends.</w:t>
      </w:r>
    </w:p>
    <w:p>
      <w:pPr>
        <w:spacing w:after="0" w:line="147"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As of January 28, 2024, inventory decreased by $454,000, or 2.3%, compared with April 30, 2023. The trend reflects a modest decrease in net sales of 1.1% during the third quarter of fiscal 2024, as compared with the fourth quarter of fiscal 2023. Net sales for the third quarter of fiscal 2024 were $30.4 million, compared with net sales of $30.7 million during the fourth quarter of fiscal 2023.</w:t>
      </w:r>
    </w:p>
    <w:p>
      <w:pPr>
        <w:spacing w:after="0" w:line="134"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20"/>
          <w:szCs w:val="20"/>
          <w:color w:val="auto"/>
        </w:rPr>
        <w:t>Inventory turns were 5.1 for the third quarter of fiscal 2024, compared with 4.1 for the third quarter of fiscal 2023 and 4.8 for the fourth quarter of fiscal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193"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As of January 28, 2024, property, plant, and equipment steadily decreased compared to January 29, 2023, and April 30, 2023, due to (i) impairment charges of $329,000 related to our strategic action to discontinue the production of upholstery cut and sew kits in Ouanaminthe, Haiti, and (ii) a reduction in capital spending as a result of current and expected unfavorable macro-economic conditions.</w:t>
      </w:r>
    </w:p>
    <w:p>
      <w:pPr>
        <w:spacing w:after="0" w:line="134"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The $1.2 million as of January 28, 2024, represents property, plant, and equipment of $1.1 million and $134,000 located in the U.S. and China, respectively. The $1.8 million as of January 29, 2023, represents property, plant, and equipment of $1.0 million, $630,000, and $121,000 located in the U.S., Haiti, and China, respectively. The $1.7 million as of April 30, 2023, represents property, plant, and equipment of $974,000, $592,000, and $105,000 located in the U.S., Haiti, and China,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93"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As of January 28, 2024, right of use assets has steadily decreased compared with January 29, 2023, and April 30, 2023. This is due to rent expense incurred over the terms of existing lease agreements, partially offset by the renewal of our agreement to lease our facility associated with Read and certain facilities associated with our operations located in China.</w:t>
      </w:r>
    </w:p>
    <w:p>
      <w:pPr>
        <w:spacing w:after="0" w:line="134"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The $2.3 million as of January 28, 2024, represents right of use assets of $944,000 and $1.4 million located in China and the U.S., respectively. The $3.0 million as of January 29, 2023, represents right of use assets of $1.7 million and $1.3 million located in China and the U.S., respectively. The $2.6 million as of April 30, 2023, represents right of use assets of $1.5 million and $1.1 million, located in China and the U.S.,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Assets Held for Sale</w:t>
      </w:r>
    </w:p>
    <w:p>
      <w:pPr>
        <w:spacing w:after="0" w:line="193"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20"/>
          <w:szCs w:val="20"/>
          <w:color w:val="auto"/>
        </w:rPr>
        <w:t>The $2.0 million as of January 29, 2023, represents a right of use asset associated with an agreement to lease a facility located in Ouanaminthe, Haiti, which such lease was terminated in connection with a restructuring activity. See Note 9 of the consolidated financial statement for further details regarding our restructuring activity associated with our upholstery cut and sew operation located in Ouanaminthe, Haiti. This right of use asset was sold to a third party during the fourth quarter of fiscal 2023, which resulted in a note receivable. See Note 7 to the consolidated financial statements for further details regarding this note receivable.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 Income Statement Categories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6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Three Months Ended</w:t>
            </w:r>
          </w:p>
        </w:tc>
        <w:tc>
          <w:tcPr>
            <w:tcW w:w="6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42"/>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January 28, 2024</w:t>
            </w:r>
          </w:p>
        </w:tc>
        <w:tc>
          <w:tcPr>
            <w:tcW w:w="120" w:type="dxa"/>
            <w:vAlign w:val="bottom"/>
          </w:tcPr>
          <w:p>
            <w:pPr>
              <w:spacing w:after="0"/>
              <w:rPr>
                <w:sz w:val="21"/>
                <w:szCs w:val="21"/>
                <w:color w:val="auto"/>
              </w:rPr>
            </w:pPr>
          </w:p>
        </w:tc>
        <w:tc>
          <w:tcPr>
            <w:tcW w:w="14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color w:val="auto"/>
              </w:rPr>
              <w:t>January 29, 2023</w:t>
            </w:r>
          </w:p>
        </w:tc>
        <w:tc>
          <w:tcPr>
            <w:tcW w:w="100" w:type="dxa"/>
            <w:vAlign w:val="bottom"/>
          </w:tcPr>
          <w:p>
            <w:pPr>
              <w:spacing w:after="0"/>
              <w:rPr>
                <w:sz w:val="21"/>
                <w:szCs w:val="21"/>
                <w:color w:val="auto"/>
              </w:rPr>
            </w:pPr>
          </w:p>
        </w:tc>
        <w:tc>
          <w:tcPr>
            <w:tcW w:w="14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 Change</w:t>
            </w:r>
          </w:p>
        </w:tc>
        <w:tc>
          <w:tcPr>
            <w:tcW w:w="200" w:type="dxa"/>
            <w:vAlign w:val="bottom"/>
          </w:tcPr>
          <w:p>
            <w:pPr>
              <w:spacing w:after="0"/>
              <w:rPr>
                <w:sz w:val="21"/>
                <w:szCs w:val="21"/>
                <w:color w:val="auto"/>
              </w:rPr>
            </w:pPr>
          </w:p>
        </w:tc>
      </w:tr>
      <w:tr>
        <w:trPr>
          <w:trHeight w:val="210"/>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SG&amp;A expenses</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9,493</w:t>
            </w:r>
          </w:p>
        </w:tc>
        <w:tc>
          <w:tcPr>
            <w:tcW w:w="94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9,165</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3.6 %</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196</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44.9 %</w:t>
            </w: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26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(35.6 )%</w:t>
            </w:r>
          </w:p>
        </w:tc>
      </w:tr>
      <w:tr>
        <w:trPr>
          <w:trHeight w:val="486"/>
        </w:trPr>
        <w:tc>
          <w:tcPr>
            <w:tcW w:w="4060" w:type="dxa"/>
            <w:vAlign w:val="bottom"/>
            <w:tcBorders>
              <w:top w:val="single" w:sz="8" w:color="auto"/>
              <w:bottom w:val="single" w:sz="8" w:color="auto"/>
            </w:tcBorders>
          </w:tcPr>
          <w:p>
            <w:pPr>
              <w:spacing w:after="0"/>
              <w:rPr>
                <w:sz w:val="24"/>
                <w:szCs w:val="24"/>
                <w:color w:val="auto"/>
              </w:rPr>
            </w:pPr>
          </w:p>
        </w:tc>
        <w:tc>
          <w:tcPr>
            <w:tcW w:w="268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04"/>
        </w:trPr>
        <w:tc>
          <w:tcPr>
            <w:tcW w:w="40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18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Nine Months Ended</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42"/>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January 28, 2024</w:t>
            </w:r>
          </w:p>
        </w:tc>
        <w:tc>
          <w:tcPr>
            <w:tcW w:w="120" w:type="dxa"/>
            <w:vAlign w:val="bottom"/>
          </w:tcPr>
          <w:p>
            <w:pPr>
              <w:spacing w:after="0"/>
              <w:rPr>
                <w:sz w:val="21"/>
                <w:szCs w:val="21"/>
                <w:color w:val="auto"/>
              </w:rPr>
            </w:pPr>
          </w:p>
        </w:tc>
        <w:tc>
          <w:tcPr>
            <w:tcW w:w="144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January 29, 2023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 Change</w:t>
            </w:r>
          </w:p>
        </w:tc>
        <w:tc>
          <w:tcPr>
            <w:tcW w:w="200" w:type="dxa"/>
            <w:vAlign w:val="bottom"/>
          </w:tcPr>
          <w:p>
            <w:pPr>
              <w:spacing w:after="0"/>
              <w:rPr>
                <w:sz w:val="21"/>
                <w:szCs w:val="21"/>
                <w:color w:val="auto"/>
              </w:rPr>
            </w:pPr>
          </w:p>
        </w:tc>
      </w:tr>
      <w:tr>
        <w:trPr>
          <w:trHeight w:val="210"/>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SG&amp;A expenses</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29,366</w:t>
            </w:r>
          </w:p>
        </w:tc>
        <w:tc>
          <w:tcPr>
            <w:tcW w:w="94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27,133</w:t>
            </w:r>
          </w:p>
        </w:tc>
        <w:tc>
          <w:tcPr>
            <w:tcW w:w="20" w:type="dxa"/>
            <w:vAlign w:val="bottom"/>
          </w:tcPr>
          <w:p>
            <w:pPr>
              <w:spacing w:after="0"/>
              <w:rPr>
                <w:sz w:val="18"/>
                <w:szCs w:val="18"/>
                <w:color w:val="auto"/>
              </w:rPr>
            </w:pP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8.2 %</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0" w:type="dxa"/>
            <w:vAlign w:val="bottom"/>
          </w:tcPr>
          <w:p>
            <w:pPr>
              <w:spacing w:after="0"/>
              <w:rPr>
                <w:sz w:val="19"/>
                <w:szCs w:val="19"/>
                <w:color w:val="auto"/>
              </w:rPr>
            </w:pP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212.0 %</w:t>
            </w:r>
          </w:p>
        </w:tc>
      </w:tr>
      <w:tr>
        <w:trPr>
          <w:trHeight w:val="239"/>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26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60.9 %</w:t>
            </w:r>
          </w:p>
        </w:tc>
      </w:tr>
      <w:tr>
        <w:trPr>
          <w:trHeight w:val="23"/>
        </w:trPr>
        <w:tc>
          <w:tcPr>
            <w:tcW w:w="4060" w:type="dxa"/>
            <w:vAlign w:val="bottom"/>
            <w:shd w:val="clear" w:color="auto" w:fill="000000"/>
          </w:tcPr>
          <w:p>
            <w:pPr>
              <w:spacing w:after="0"/>
              <w:rPr>
                <w:sz w:val="2"/>
                <w:szCs w:val="2"/>
                <w:color w:val="auto"/>
              </w:rPr>
            </w:pPr>
          </w:p>
        </w:tc>
        <w:tc>
          <w:tcPr>
            <w:tcW w:w="26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45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56"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increase in selling, general, and administrative expenses during the third quarter and first nine months of fiscal 2024, compared with the third quarter and first nine months of fiscal 2023, is due to a variety of factors, including (i) wage inflation; (ii) higher professional and consulting fees; (iii) an increase in provision for bad debts reflecting current unfavorable macro-economic conditions relating to furniture and bedding products; and (iv) an increase in sampling expense driven by new product roll outs in both business segments.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increase in interest income is due primarily to higher market interest rates during the third quarter and first nine months of fiscal 2024, as compared with the third quarter and first nine months of fiscal 2023.</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Expense</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Management is required to assess certain economic factors to determine the currency of the primary economic environment in which our foreign subsidiaries operate. Based on our assessments, the U.S. dollar was determined to be the functional currency of our operations located in China and Canada.</w:t>
      </w:r>
    </w:p>
    <w:p>
      <w:pPr>
        <w:spacing w:after="0" w:line="1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decrease in other expense during the third quarter of fiscal 2024, as compared with the third quarter of fiscal 2023, is due mostly to more favorable foreign currency exchange rates applied against our balance sheet accounts denominated in Chinese Renminbi to determine the corresponding U.S. dollar financial reporting amounts during third quarter, as compared with the third quarter of fiscal 2023. During the third quarter of fiscal 2024, we reported a foreign currency exchange loss associated with our operations located in China of $290,000, compared with $757,000 during the third quarter of fiscal 2023. The decrease in other expense due to more favorable foreign exchange rates noted above, was partially offset by an increase in unrealized gains associated with our rabbi trust that funds our deferred compensation liability.</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increase in other expense during the first nine months of fiscal 2024, as compared with the first nine months of fiscal 2023, is mostly due to the increase in fees associated with our ABL Credit Agreement effective on January 19, 2023. See Note 10 located in the consolidated financial statements for further details. In addition, the increase in other expense is due an increase in unrealized gains associated with our rabbi trust that increased our deferred compensation liability.</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 foreign currency exchange gain of $389,000 was reported during the first nine months of fiscal 2024 that (i) related to our operations located in China, (ii) was mostly non-cash, and (iii) was offset by a $477,000 income tax charge. This income tax charge of $477,000 was associated with taxable foreign currency exchange gains based on less favorable foreign currency exchange rates applied against balance sheet accounts denominated in U.S. dollars to determine the corresponding Chinese Renminbi local currency amounts. The foreign currency exchange rate gains incurred on our U.S. dollar denominated balance sheet accounts associated with our operations located in China are considered taxable income, as we incur income tax expense and pay income taxes in China's local currency. The $477,000 income tax charge represents an increase in our income tax payments and withholding tax payments associated with future earnings and profits that will ultimately be repatriated from our operations located in China to the company's U.S. parent.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Income Tax Rate &amp; Income Tax Expense</w:t>
      </w:r>
    </w:p>
    <w:p>
      <w:pPr>
        <w:spacing w:after="0" w:line="19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We recorded income tax expense of $2.2 million, or (33.4%) of loss before income taxes, for the nine-month period ending January 28, 2024, compared with income tax expense of $2.3 million, or (9.5%) of loss before income taxes, for the nine-month period ending January 29, 2023</w:t>
      </w:r>
    </w:p>
    <w:p>
      <w:pPr>
        <w:spacing w:after="0" w:line="9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effective income tax rates for the nine-month periods ended January 28, 2024, and January 29, 2023, were based upon the estimated effective income tax rate applicable for the full year after giving effect to any significant items related specifically to interim periods. When calculating the annual estimated effective income tax rates for the nine-month periods ended January 28, 2024, and January 29, 2023, we were subject to loss limitation rules. These loss limitation rules require any taxable loss associated with our U.S. or foreign operations to be excluded from the annual estimated effective income tax rate calculation if it was determined that no income tax benefit could be recognized during the current fiscal year. The effective income tax rate can be affected over the fiscal year by the mix and timing of actual earnings from our U.S. operations and foreign subsidiaries located in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color w:val="auto"/>
        </w:rPr>
        <w:t>China, Canada, and Haiti as compared to annual projections, as well as changes in foreign currency exchange rates in relation to the 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dollar.</w:t>
      </w:r>
    </w:p>
    <w:p>
      <w:pPr>
        <w:spacing w:after="0" w:line="167"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at the U.S. federal income tax rate and the effective income tax rate reflected in the consolidated financial statements for the nine-month periods ending January 28, 2024, and January 29, 2023: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tcPr>
          <w:p>
            <w:pPr>
              <w:spacing w:after="0"/>
              <w:rPr>
                <w:sz w:val="18"/>
                <w:szCs w:val="18"/>
                <w:color w:val="auto"/>
              </w:rPr>
            </w:pPr>
          </w:p>
        </w:tc>
        <w:tc>
          <w:tcPr>
            <w:tcW w:w="3840" w:type="dxa"/>
            <w:vAlign w:val="bottom"/>
            <w:gridSpan w:val="3"/>
          </w:tcPr>
          <w:p>
            <w:pPr>
              <w:jc w:val="right"/>
              <w:ind w:right="840"/>
              <w:spacing w:after="0"/>
              <w:rPr>
                <w:sz w:val="20"/>
                <w:szCs w:val="20"/>
                <w:color w:val="auto"/>
              </w:rPr>
            </w:pPr>
            <w:r>
              <w:rPr>
                <w:rFonts w:ascii="Times New Roman" w:cs="Times New Roman" w:eastAsia="Times New Roman" w:hAnsi="Times New Roman"/>
                <w:sz w:val="16"/>
                <w:szCs w:val="16"/>
                <w:color w:val="auto"/>
              </w:rPr>
              <w:t>January 28,</w:t>
            </w:r>
          </w:p>
        </w:tc>
        <w:tc>
          <w:tcPr>
            <w:tcW w:w="158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color w:val="auto"/>
              </w:rPr>
              <w:t>January 29,</w:t>
            </w:r>
          </w:p>
        </w:tc>
      </w:tr>
      <w:tr>
        <w:trPr>
          <w:trHeight w:val="243"/>
        </w:trPr>
        <w:tc>
          <w:tcPr>
            <w:tcW w:w="586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38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21.0 %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39"/>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valuation allowance</w:t>
            </w:r>
          </w:p>
        </w:tc>
        <w:tc>
          <w:tcPr>
            <w:tcW w:w="3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(42.0 )</w:t>
            </w:r>
          </w:p>
        </w:tc>
        <w:tc>
          <w:tcPr>
            <w:tcW w:w="30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(29.3 )</w:t>
            </w:r>
          </w:p>
        </w:tc>
        <w:tc>
          <w:tcPr>
            <w:tcW w:w="40" w:type="dxa"/>
            <w:vAlign w:val="bottom"/>
          </w:tcPr>
          <w:p>
            <w:pPr>
              <w:spacing w:after="0"/>
              <w:rPr>
                <w:sz w:val="20"/>
                <w:szCs w:val="20"/>
                <w:color w:val="auto"/>
              </w:rPr>
            </w:pPr>
          </w:p>
        </w:tc>
      </w:tr>
      <w:tr>
        <w:trPr>
          <w:trHeight w:val="239"/>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Withholding taxes associated with foreign jurisdictions</w:t>
            </w:r>
          </w:p>
        </w:tc>
        <w:tc>
          <w:tcPr>
            <w:tcW w:w="3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(8.1 )</w:t>
            </w:r>
          </w:p>
        </w:tc>
        <w:tc>
          <w:tcPr>
            <w:tcW w:w="3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(2.0 )</w:t>
            </w:r>
          </w:p>
        </w:tc>
        <w:tc>
          <w:tcPr>
            <w:tcW w:w="40" w:type="dxa"/>
            <w:vAlign w:val="bottom"/>
          </w:tcPr>
          <w:p>
            <w:pPr>
              <w:spacing w:after="0"/>
              <w:rPr>
                <w:sz w:val="20"/>
                <w:szCs w:val="20"/>
                <w:color w:val="auto"/>
              </w:rPr>
            </w:pPr>
          </w:p>
        </w:tc>
      </w:tr>
      <w:tr>
        <w:trPr>
          <w:trHeight w:val="220"/>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 deduction - Quebec, Canada</w:t>
            </w:r>
          </w:p>
        </w:tc>
        <w:tc>
          <w:tcPr>
            <w:tcW w:w="384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(1.6 )</w:t>
            </w:r>
          </w:p>
        </w:tc>
        <w:tc>
          <w:tcPr>
            <w:tcW w:w="40" w:type="dxa"/>
            <w:vAlign w:val="bottom"/>
          </w:tcPr>
          <w:p>
            <w:pPr>
              <w:spacing w:after="0"/>
              <w:rPr>
                <w:sz w:val="19"/>
                <w:szCs w:val="19"/>
                <w:color w:val="auto"/>
              </w:rPr>
            </w:pPr>
          </w:p>
        </w:tc>
      </w:tr>
      <w:tr>
        <w:trPr>
          <w:trHeight w:val="239"/>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3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(5.2 )</w:t>
            </w:r>
          </w:p>
        </w:tc>
        <w:tc>
          <w:tcPr>
            <w:tcW w:w="30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(2.9 )</w:t>
            </w:r>
          </w:p>
        </w:tc>
        <w:tc>
          <w:tcPr>
            <w:tcW w:w="30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(0.4 )</w:t>
            </w:r>
          </w:p>
        </w:tc>
        <w:tc>
          <w:tcPr>
            <w:tcW w:w="40" w:type="dxa"/>
            <w:vAlign w:val="bottom"/>
          </w:tcPr>
          <w:p>
            <w:pPr>
              <w:spacing w:after="0"/>
              <w:rPr>
                <w:sz w:val="19"/>
                <w:szCs w:val="19"/>
                <w:color w:val="auto"/>
              </w:rPr>
            </w:pPr>
          </w:p>
        </w:tc>
      </w:tr>
      <w:tr>
        <w:trPr>
          <w:trHeight w:val="239"/>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 effects of local currency foreign exchange gains</w:t>
            </w:r>
          </w:p>
        </w:tc>
        <w:tc>
          <w:tcPr>
            <w:tcW w:w="3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84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3"/>
        </w:trPr>
        <w:tc>
          <w:tcPr>
            <w:tcW w:w="5860" w:type="dxa"/>
            <w:vAlign w:val="bottom"/>
            <w:tcBorders>
              <w:top w:val="single" w:sz="8" w:color="auto"/>
              <w:bottom w:val="single" w:sz="8" w:color="auto"/>
            </w:tcBorders>
            <w:shd w:val="clear" w:color="auto" w:fill="CFF0FC"/>
          </w:tcPr>
          <w:p>
            <w:pPr>
              <w:spacing w:after="0"/>
              <w:rPr>
                <w:sz w:val="22"/>
                <w:szCs w:val="22"/>
                <w:color w:val="auto"/>
              </w:rPr>
            </w:pPr>
          </w:p>
        </w:tc>
        <w:tc>
          <w:tcPr>
            <w:tcW w:w="3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spacing w:after="0"/>
              <w:rPr>
                <w:sz w:val="22"/>
                <w:szCs w:val="22"/>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FF0FC"/>
            </w:tcBorders>
            <w:shd w:val="clear" w:color="auto" w:fill="CFF0FC"/>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45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20"/>
          <w:szCs w:val="20"/>
          <w:color w:val="auto"/>
        </w:rPr>
        <w:t>Our consolidated effective income tax rates during the first nine months of fiscal 2024 and fiscal 2023 were both adversely affected by the mix of earnings between our U.S. operations and foreign subsidiaries, as our taxable income stems from our operations located in China during fiscal 2024 and from our operations located in both China and Canada during fiscal 2023, each of which has higher income tax rates than the U.S. In addition, during the first nine months of fiscal 2024 and the first nine months of fiscal 2023, we incurred pre-tax losses associated with our U.S. operations, for which an income tax benefit was not recorded due to the full valuation allowance applied against our U.S. net deferred income tax assets (as described below). The income tax charge associated with the full valuation allowance applied against our U.S. net deferred income tax assets was lower during the first nine months of fiscal 2024 compared with the first nine months of fiscal 2023, as our $(11.3) million U.S. pre-tax loss incurred during the first nine months of fiscal 2024 was significantly lower than the $(28.8) million U.S. pre-tax loss incurred during the first nine months of fiscal 2023.</w:t>
      </w:r>
    </w:p>
    <w:p>
      <w:pPr>
        <w:spacing w:after="0" w:line="199"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During the first nine months of fiscal 2024, we incurred a lower consolidated pre-tax loss totaling $(6.7) million, compared with $(24.5) million during the first nine months of fiscal 2023. As a result, the principal differences between income tax expense at the U.S. federal income tax rate and the effective income tax rate reflected in the consolidated financial statements were more pronounced during the first nine months of fiscal 2024, as compared with the first nine months of fiscal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Valuation Allowance</w:t>
      </w:r>
    </w:p>
    <w:p>
      <w:pPr>
        <w:spacing w:after="0" w:line="179"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We evaluate the realizability of our U.S. net deferred income tax assets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39" w:lineRule="exact"/>
        <w:rPr>
          <w:sz w:val="20"/>
          <w:szCs w:val="20"/>
          <w:color w:val="auto"/>
        </w:rPr>
      </w:pPr>
    </w:p>
    <w:p>
      <w:pPr>
        <w:jc w:val="both"/>
        <w:ind w:right="40"/>
        <w:spacing w:after="0" w:line="245" w:lineRule="auto"/>
        <w:rPr>
          <w:sz w:val="20"/>
          <w:szCs w:val="20"/>
          <w:color w:val="auto"/>
        </w:rPr>
      </w:pPr>
      <w:r>
        <w:rPr>
          <w:rFonts w:ascii="Times New Roman" w:cs="Times New Roman" w:eastAsia="Times New Roman" w:hAnsi="Times New Roman"/>
          <w:sz w:val="20"/>
          <w:szCs w:val="20"/>
          <w:color w:val="auto"/>
        </w:rPr>
        <w:t>As of January 28, 2024, we evaluated the realizability of our U.S. net deferred income tax assets to determine if a full valuation allowance was required. Based on our assessment, we determined we still have a recent history of significant cumulative U.S. pre-tax losses, in that we experienced U.S. pre-tax losses during each of the last three fiscal years from 2021 through 2023, and we are currently expecting significant U.S. pre-tax losses to continue during fiscal 2024. As a result of the significant weight of this negative evidence, we believe it is more likely than not that our U.S. deferred income tax assets will not be fully realizable, and therefore we provided for a full valuation allowance against our U.S. net deferred income tax assets.</w:t>
      </w:r>
    </w:p>
    <w:p>
      <w:pPr>
        <w:spacing w:after="0" w:line="198"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20"/>
          <w:szCs w:val="20"/>
          <w:color w:val="auto"/>
        </w:rPr>
        <w:t>Based on our assessments as of January 28, 2024, January 29, 2023, and April 30, 2023, valuation allowances against our net deferred income tax assets pertain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5118735</wp:posOffset>
            </wp:positionH>
            <wp:positionV relativeFrom="paragraph">
              <wp:posOffset>102870</wp:posOffset>
            </wp:positionV>
            <wp:extent cx="102235" cy="1879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235" cy="18796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102870</wp:posOffset>
            </wp:positionV>
            <wp:extent cx="93980" cy="1879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102870</wp:posOffset>
            </wp:positionV>
            <wp:extent cx="93980" cy="1879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3980" cy="18796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7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January 28, 2024</w:t>
            </w:r>
          </w:p>
        </w:tc>
        <w:tc>
          <w:tcPr>
            <w:tcW w:w="120" w:type="dxa"/>
            <w:vAlign w:val="bottom"/>
          </w:tcPr>
          <w:p>
            <w:pPr>
              <w:spacing w:after="0"/>
              <w:rPr>
                <w:sz w:val="20"/>
                <w:szCs w:val="20"/>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January 29, 2023</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April 30, 2023</w:t>
            </w:r>
          </w:p>
        </w:tc>
        <w:tc>
          <w:tcPr>
            <w:tcW w:w="100" w:type="dxa"/>
            <w:vAlign w:val="bottom"/>
          </w:tcPr>
          <w:p>
            <w:pPr>
              <w:spacing w:after="0"/>
              <w:rPr>
                <w:sz w:val="20"/>
                <w:szCs w:val="20"/>
                <w:color w:val="auto"/>
              </w:rPr>
            </w:pPr>
          </w:p>
        </w:tc>
      </w:tr>
      <w:tr>
        <w:trPr>
          <w:trHeight w:val="230"/>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19,162</w:t>
            </w:r>
          </w:p>
        </w:tc>
        <w:tc>
          <w:tcPr>
            <w:tcW w:w="72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15,741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16,345</w:t>
            </w:r>
          </w:p>
        </w:tc>
        <w:tc>
          <w:tcPr>
            <w:tcW w:w="100" w:type="dxa"/>
            <w:vAlign w:val="bottom"/>
            <w:shd w:val="clear" w:color="auto" w:fill="CFF0FC"/>
          </w:tcPr>
          <w:p>
            <w:pPr>
              <w:spacing w:after="0"/>
              <w:rPr>
                <w:sz w:val="19"/>
                <w:szCs w:val="19"/>
                <w:color w:val="auto"/>
              </w:rPr>
            </w:pPr>
          </w:p>
        </w:tc>
      </w:tr>
      <w:tr>
        <w:trPr>
          <w:trHeight w:val="223"/>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1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9"/>
                <w:szCs w:val="19"/>
                <w:color w:val="auto"/>
              </w:rPr>
            </w:pPr>
          </w:p>
        </w:tc>
      </w:tr>
      <w:tr>
        <w:trPr>
          <w:trHeight w:val="263"/>
        </w:trPr>
        <w:tc>
          <w:tcPr>
            <w:tcW w:w="508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21,492</w:t>
            </w:r>
          </w:p>
        </w:tc>
        <w:tc>
          <w:tcPr>
            <w:tcW w:w="12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18,071</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18,675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768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Undistributed Earnings</w:t>
      </w: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56" w:right="299" w:bottom="1440"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20"/>
          <w:szCs w:val="20"/>
          <w:color w:val="auto"/>
        </w:rPr>
        <w:t>Refer to Note 14 of the consolidated financial statements for disclosures regarding our assessments of our recorded deferred income tax liability balances associated with undistributed earnings from our foreign subsidiaries as of January 28, 2024, January 29, 2023, and April 30, 2023,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Uncertain Income Tax Positions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 14 of the consolidated financial statements for disclosures regarding our assessments of our uncertain income tax positions as of January 28, 2024, January 29, 2023, and April 30, 2023,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 Paid</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sets forth income taxes paid by jurisdiction for the nine months ended January 28, 2024, and January 29, 2023, respectively:</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48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Nine Months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w w:val="99"/>
              </w:rPr>
              <w:t>Nine Months</w:t>
            </w:r>
          </w:p>
        </w:tc>
      </w:tr>
      <w:tr>
        <w:trPr>
          <w:trHeight w:val="270"/>
        </w:trPr>
        <w:tc>
          <w:tcPr>
            <w:tcW w:w="6740" w:type="dxa"/>
            <w:vAlign w:val="bottom"/>
          </w:tcPr>
          <w:p>
            <w:pPr>
              <w:spacing w:after="0"/>
              <w:rPr>
                <w:sz w:val="23"/>
                <w:szCs w:val="23"/>
                <w:color w:val="auto"/>
              </w:rPr>
            </w:pPr>
          </w:p>
        </w:tc>
        <w:tc>
          <w:tcPr>
            <w:tcW w:w="148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Ended</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w w:val="97"/>
              </w:rPr>
              <w:t>Ended</w:t>
            </w:r>
          </w:p>
        </w:tc>
      </w:tr>
      <w:tr>
        <w:trPr>
          <w:trHeight w:val="270"/>
        </w:trPr>
        <w:tc>
          <w:tcPr>
            <w:tcW w:w="6740" w:type="dxa"/>
            <w:vAlign w:val="bottom"/>
          </w:tcPr>
          <w:p>
            <w:pPr>
              <w:spacing w:after="0"/>
              <w:rPr>
                <w:sz w:val="23"/>
                <w:szCs w:val="23"/>
                <w:color w:val="auto"/>
              </w:rPr>
            </w:pPr>
          </w:p>
        </w:tc>
        <w:tc>
          <w:tcPr>
            <w:tcW w:w="148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January 28,</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January 29,</w:t>
            </w:r>
          </w:p>
        </w:tc>
      </w:tr>
      <w:tr>
        <w:trPr>
          <w:trHeight w:val="24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8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rPr>
              <w:t>2024</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21"/>
                <w:szCs w:val="21"/>
                <w:color w:val="auto"/>
              </w:rPr>
            </w:pPr>
          </w:p>
        </w:tc>
      </w:tr>
      <w:tr>
        <w:trPr>
          <w:trHeight w:val="223"/>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United States Transition Tax Payment</w:t>
            </w:r>
          </w:p>
        </w:tc>
        <w:tc>
          <w:tcPr>
            <w:tcW w:w="1480" w:type="dxa"/>
            <w:vAlign w:val="bottom"/>
            <w:shd w:val="clear" w:color="auto" w:fill="CFF0FC"/>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8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FF0FC"/>
          </w:tcPr>
          <w:p>
            <w:pPr>
              <w:spacing w:after="0"/>
              <w:rPr>
                <w:sz w:val="19"/>
                <w:szCs w:val="19"/>
                <w:color w:val="auto"/>
              </w:rPr>
            </w:pPr>
          </w:p>
        </w:tc>
      </w:tr>
      <w:tr>
        <w:trPr>
          <w:trHeight w:val="220"/>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China Income Taxes, Net of Refunds</w:t>
            </w:r>
          </w:p>
        </w:tc>
        <w:tc>
          <w:tcPr>
            <w:tcW w:w="14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tcPr>
          <w:p>
            <w:pPr>
              <w:spacing w:after="0"/>
              <w:rPr>
                <w:sz w:val="19"/>
                <w:szCs w:val="19"/>
                <w:color w:val="auto"/>
              </w:rPr>
            </w:pPr>
          </w:p>
        </w:tc>
      </w:tr>
      <w:tr>
        <w:trPr>
          <w:trHeight w:val="236"/>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Canada - Income Taxes, Net of Refunds</w:t>
            </w:r>
          </w:p>
        </w:tc>
        <w:tc>
          <w:tcPr>
            <w:tcW w:w="148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(9 )</w:t>
            </w:r>
          </w:p>
        </w:tc>
      </w:tr>
      <w:tr>
        <w:trPr>
          <w:trHeight w:val="219"/>
        </w:trPr>
        <w:tc>
          <w:tcPr>
            <w:tcW w:w="6740" w:type="dxa"/>
            <w:vAlign w:val="bottom"/>
            <w:tcBorders>
              <w:top w:val="single" w:sz="8" w:color="CFF0FC"/>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100" w:type="dxa"/>
            <w:vAlign w:val="bottom"/>
            <w:tcBorders>
              <w:top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100" w:type="dxa"/>
            <w:vAlign w:val="bottom"/>
            <w:tcBorders>
              <w:top w:val="single" w:sz="8" w:color="CFF0FC"/>
            </w:tcBorders>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-179070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Future Liquidity</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are currently projecting annual cash income tax payments of approximately $3.2 million for fiscal 2024, compared with $2.3 million for fiscal 2023. Our estimated income tax payments for fiscal 2024 are management’s current projections only and can be affected by actual earnings from our foreign subsidiaries located in China and Canada versus annual projections; changes in the foreign exchange rates associated with our China operations in relation to the U.S. dollar; the timing of when we will repatriate earnings and profits from China and Canada; and the timing of when significant capital projects will be placed into service, which determines the deductibility of accelerated depreciation.</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Additionally, we currently expect to pay minimal income taxes in the U.S. on a cash basis during fiscal 2024 due to the immediate expensing of U.S. capital expenditures and our existing U.S. federal net operating loss carryforwards that totaled $49.4 million as of April 30, 2023, which are projected to increase as a result of the significant U.S. loss carryforward we expect to generate during fiscal 2024.</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January 28, 2024, we will be required to pay annual U.S. federal transition tax payments, in accordance with the 2017 Tax Cuts and Jobs Act, as follows: FY 2025 - $665,000; and FY 2026 - $830,000.</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Currently, our sources of liquidity include cash and cash equivalents (collectively, "cash"), cash flow from operations, and amounts available under our revolving credit lines. As of January 28, 2024, we believe our cash of $12.6 million and the current availability under our revolving credit lines totaling $26.2 million (Refer to Note 10 of the consolidated financial statements for further details) will be sufficient to fund our foreseeable business needs, commitments, and contractual obligations.</w:t>
      </w:r>
    </w:p>
    <w:p>
      <w:pPr>
        <w:spacing w:after="0" w:line="1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January 28, 2024, our cash totaled $12.6 million, a decrease of $8.4 million compared with cash of $21.0 million as of April 30, 2023. This decrease was mostly due to net cash used in operating activities totaling $(6.0) million and capital expenditures mostly related to our mattress fabrics segment totaling $(3.2) million, partially offset by proceeds from the sale of our rabbi trust investments totaling $1.2 million to fund withdrawals from our deferred compensation plan for certain retired employees (see offsetting decrease to the decrease in deferred compensation liability in item (iii) of the below paragraph).</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net cash used in operating activities was $(6.0) million during the first nine months of fiscal 2024, a decrease of $10.6 million compared with net cash provided by operating activities of $4.6 million during the first nine months of fiscal 2023. This trend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5" w:name="page46"/>
    <w:bookmarkEnd w:id="45"/>
    <w:p>
      <w:pPr>
        <w:jc w:val="both"/>
        <w:spacing w:after="0" w:line="260" w:lineRule="auto"/>
        <w:rPr>
          <w:sz w:val="20"/>
          <w:szCs w:val="20"/>
          <w:color w:val="auto"/>
        </w:rPr>
      </w:pPr>
      <w:r>
        <w:rPr>
          <w:rFonts w:ascii="Times New Roman" w:cs="Times New Roman" w:eastAsia="Times New Roman" w:hAnsi="Times New Roman"/>
          <w:sz w:val="19"/>
          <w:szCs w:val="19"/>
          <w:color w:val="auto"/>
        </w:rPr>
        <w:t>primarily reflects (i) a significant decrease in inventory during the first nine months of fiscal 2023 due to improved alignment of inventory purchases with customer demand trends, promotional programs to reduce aged raw materials and finished goods inventory, and a significant decline net sales of (27.1%) during the period, which did not recur during the first nine months of fiscal 2024; (ii) annual incentive payments made during the first quarter of fiscal 2024, which did not occur during the first quarter of fiscal 2023; and (iii) payments to certain retired employees totaling $1.2 million for withdrawals from our deferred compensation plan during the first nine months of fiscal 2024; partially offset by (iv) an increase in cash earnings during the first nine months of fiscal 2024 compared with the first nine months of fiscal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28, 2024, there were no outstanding borrowings under our lines of credit.</w:t>
      </w:r>
    </w:p>
    <w:p>
      <w:pPr>
        <w:spacing w:after="0" w:line="17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The income taxes we pay also affect our liquidity. See the above section titled </w:t>
      </w:r>
      <w:r>
        <w:rPr>
          <w:rFonts w:ascii="Times New Roman" w:cs="Times New Roman" w:eastAsia="Times New Roman" w:hAnsi="Times New Roman"/>
          <w:sz w:val="20"/>
          <w:szCs w:val="20"/>
          <w:i w:val="1"/>
          <w:iCs w:val="1"/>
          <w:color w:val="auto"/>
        </w:rPr>
        <w:t>“Income Taxes Paid”</w:t>
      </w:r>
      <w:r>
        <w:rPr>
          <w:rFonts w:ascii="Times New Roman" w:cs="Times New Roman" w:eastAsia="Times New Roman" w:hAnsi="Times New Roman"/>
          <w:sz w:val="20"/>
          <w:szCs w:val="20"/>
          <w:color w:val="auto"/>
        </w:rPr>
        <w:t xml:space="preserve"> of this Item 2 – MANAGEMENT’S DISCUSSION AND ANALYSIS OF FINANCIAL CONDITION for further detail.</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cash balance may be adversely affected by factors beyond our control, such as (i) recent customer demand trends, (ii) supply chain disruptions, (iii) rising interest rates and inflation, (iv) world events (including wars in Ukraine and the Middle East), and (v) the continuing uncertainty associated with COVID-19. These factors could cause delays in receipt of payment on accounts receivable and could increase cash disbursements due to rising prices.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By Geographic Area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our cash by geographic area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0637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January 28, 2024</w:t>
            </w:r>
          </w:p>
        </w:tc>
        <w:tc>
          <w:tcPr>
            <w:tcW w:w="100" w:type="dxa"/>
            <w:vAlign w:val="bottom"/>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January 29, 2023</w:t>
            </w:r>
          </w:p>
        </w:tc>
        <w:tc>
          <w:tcPr>
            <w:tcW w:w="120" w:type="dxa"/>
            <w:vAlign w:val="bottom"/>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April 30, 2023</w:t>
            </w:r>
          </w:p>
        </w:tc>
        <w:tc>
          <w:tcPr>
            <w:tcW w:w="100" w:type="dxa"/>
            <w:vAlign w:val="bottom"/>
          </w:tcPr>
          <w:p>
            <w:pPr>
              <w:spacing w:after="0"/>
              <w:rPr>
                <w:sz w:val="19"/>
                <w:szCs w:val="19"/>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2,816</w:t>
            </w:r>
          </w:p>
        </w:tc>
        <w:tc>
          <w:tcPr>
            <w:tcW w:w="70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9,658</w:t>
            </w:r>
          </w:p>
        </w:tc>
        <w:tc>
          <w:tcPr>
            <w:tcW w:w="6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9,769</w:t>
            </w:r>
          </w:p>
        </w:tc>
        <w:tc>
          <w:tcPr>
            <w:tcW w:w="100" w:type="dxa"/>
            <w:vAlign w:val="bottom"/>
            <w:shd w:val="clear" w:color="auto" w:fill="CFF0FC"/>
          </w:tcPr>
          <w:p>
            <w:pPr>
              <w:spacing w:after="0"/>
              <w:rPr>
                <w:sz w:val="19"/>
                <w:szCs w:val="19"/>
                <w:color w:val="auto"/>
              </w:rPr>
            </w:pPr>
          </w:p>
        </w:tc>
      </w:tr>
      <w:tr>
        <w:trPr>
          <w:trHeight w:val="22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2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10,669</w:t>
            </w:r>
          </w:p>
        </w:tc>
        <w:tc>
          <w:tcPr>
            <w:tcW w:w="100" w:type="dxa"/>
            <w:vAlign w:val="bottom"/>
          </w:tcPr>
          <w:p>
            <w:pPr>
              <w:spacing w:after="0"/>
              <w:rPr>
                <w:sz w:val="19"/>
                <w:szCs w:val="19"/>
                <w:color w:val="auto"/>
              </w:rPr>
            </w:pPr>
          </w:p>
        </w:tc>
      </w:tr>
      <w:tr>
        <w:trPr>
          <w:trHeight w:val="23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8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FF0FC"/>
          </w:tcPr>
          <w:p>
            <w:pPr>
              <w:spacing w:after="0"/>
              <w:rPr>
                <w:sz w:val="20"/>
                <w:szCs w:val="20"/>
                <w:color w:val="auto"/>
              </w:rPr>
            </w:pPr>
          </w:p>
        </w:tc>
      </w:tr>
      <w:tr>
        <w:trPr>
          <w:trHeight w:val="22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Haiti</w:t>
            </w:r>
          </w:p>
        </w:tc>
        <w:tc>
          <w:tcPr>
            <w:tcW w:w="2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9"/>
                <w:szCs w:val="19"/>
                <w:color w:val="auto"/>
              </w:rPr>
            </w:pPr>
          </w:p>
        </w:tc>
      </w:tr>
      <w:tr>
        <w:trPr>
          <w:trHeight w:val="233"/>
        </w:trPr>
        <w:tc>
          <w:tcPr>
            <w:tcW w:w="4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c>
          <w:tcPr>
            <w:tcW w:w="28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42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12,585</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16,725</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20,964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-162560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-162560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 Repurchase Program</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 including alternative investment opportunities.</w:t>
      </w:r>
    </w:p>
    <w:p>
      <w:pPr>
        <w:spacing w:after="0" w:line="1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We did not repurchase any shares of common stock during either of the nine-month periods ending January 28, 2024, or January 29, 2023, respectively. As a result, as of January 28, 2024, $3.2 million is available for additional repurchases of our common stock. Despite the current share repurchase authorization, the company does not expect to repurchase any shares through at least the fourth quarter of fiscal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Dividends</w:t>
      </w:r>
    </w:p>
    <w:p>
      <w:pPr>
        <w:spacing w:after="0" w:line="17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In June 2022, our board of directors suspended the company’s quarterly cash dividend. Considering the current and expected macroeconomic conditions, we believe that preserving capital and managing our liquidity is in the company’s best interest to support future growth and the long-term interests of our shareholders. Accordingly, we do not expect to pay any dividends through at least the fourth quarter of fiscal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Working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Working Capital</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Operating working capital (the total of accounts receivable and inventories, less accounts payable-trade, less accounts payable-capital expenditures, and less deferred revenue) was $39.0 million as of January 28, 2024, compared with $44.9 million as of January 29, 2023, and $39.2 million as of April 30, 2023. Operating working capital turnover was 5.9 during the third quarter of fiscal 2024, compared with 4.1 during the third quarter of fiscal 2023, and 4.6 during the fourth quarter of fiscal 2023.</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i w:val="1"/>
          <w:iCs w:val="1"/>
          <w:color w:val="auto"/>
        </w:rPr>
        <w:t>Accounts Receivable</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Accounts receivable was $23.7 million as of January 28, 2024, an increase of $2.5 million, or 11.5%, compared with $21.2 million as of January 29, 2023. This increase mostly reflects a 15.0% increase in net sales during the third quarter of fiscal 2024, as compared with the third quarter of fiscal 2023. Days’ sales outstanding were 33 days during the third quarter of fiscal 2024, compared with 34 days during the third quarter of fiscal 2023.</w:t>
      </w:r>
    </w:p>
    <w:p>
      <w:pPr>
        <w:spacing w:after="0" w:line="1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Accounts receivable was $23.7 million as of January 28, 2024, a decrease of $1.1 million, or 4.4%, compared with $24.8 million as of April 30, 2023. This decrease primarily reflects a decrease in net sales during the third quarter of fiscal 2024, as compared with the fourth quarter of fiscal 2023. Net sales were $60.4 million during the third quarter of fiscal 2024, a decrease of $1.0 million, or 1.6%, compared with net sales of $61.4 million during the fourth quarter of fiscal 2023. In addition, this decrease reflects faster cash collections associated with our mattress fabrics segment, as we had a mix of higher sales to customers with longer credit terms during the fourth quarter of fiscal 2023, as compared with the third quarter of fiscal 2024. As a result, days’ sales outstanding decreased to 33 days during the third quarter of fiscal 2024, a decrease from 35 days during the fourth quarter of fiscal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Inventory was $46.9 million as of January 28, 2024, a decrease of $750,000, or 1.6%, compared with $47.6 million as of January 29, 2023. Although net sales increased by 15.0% during the third quarter of fiscal 2024, as compared with the third quarter of fiscal 2023, inventory modestly decreased during the third quarter of fiscal 2024, as compared with the prior-year period, as inventory levels were well managed in relation to current customer demand trends by both our mattress and upholstery fabrics segments, and our mattress fabrics segment implemented promotional programs to reduce aged raw materials and finished goods.</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Inventory was $46.9 million as of January 28, 2024, an increase of $1.8 million, or 4.0%, compared with $45.1 million as of April 30, 2023. This trend primarily reflects lower than anticipated demand trends associated with our mattress fabrics segment during the third quarter of fiscal 2024, compared with the second quarter of fiscal 2024. Net sales related to our mattress fabrics segment for the third quarter of fiscal 2024 were $30.0 million, a decrease of 4.3%, compared with net sales of $31.4 million during the second quarter of fiscal 2024.</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Inventory turns were 4.5 for the third quarter of fiscal 2024, as compared with 4.0 for the third quarter of fiscal 2023 and 4.7 for the fourth quarter of fiscal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Trade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Accounts payable - trade was $29.8 million as of January 28, 2024, an increase of $7.3 million, or 32.2%, compared with $22.5 million as of January 29, 2023. This increase is mostly due to the timing of vendor payments associated with the Chinese New Year holiday, where a higher level of vendor payments was made prior to January 29, 2023, as compared with January 28, 2024.</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Accounts payable - trade was $29.8 million as of January 28, 2024, a decrease of 1.2% compared with $29.4 million as of April 30, 2023. This trend reflects a decline in net sales during the third quarter of fiscal 2024, as compared with the fourth quarter of fiscal 2023. Net sales were $60.4 million during the third quarter of fiscal 2024, a decrease of $1.0 million, or 1.6%, compared with net sales of $61.4 million during the fourth quarter of fiscal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Financing Arrangements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Currently, we have revolving credit agreements with banks for our U.S parent company and our operations located in China. As of January 28, 2024, we did not have any outstanding borrowings associated with our revolving credit agreements. Our loan agreements require, among other things, that we maintain compliance with certain financial covenants. As of January 28, 2024, we were in compliance with these financial covenants.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Note 10 of the consolidated financial statements for further disclosure regarding our revolving credit agreements.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Capital Expenditures and Depreciation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Capital expenditures on a cash basis during the first nine months of fiscal 2024 totaled $3.2 million and were mostly related to machinery and equipment associated with our mattress fabrics segment. Capital expenditures on a cash basis during the first nine months of fiscal 2023 totaled $1.6 million and pertained to (i) manufacturing equipment associated with our mattress fabrics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7" w:name="page48"/>
    <w:bookmarkEnd w:id="47"/>
    <w:p>
      <w:pPr>
        <w:jc w:val="both"/>
        <w:spacing w:after="0" w:line="269" w:lineRule="auto"/>
        <w:rPr>
          <w:sz w:val="20"/>
          <w:szCs w:val="20"/>
          <w:color w:val="auto"/>
        </w:rPr>
      </w:pPr>
      <w:r>
        <w:rPr>
          <w:rFonts w:ascii="Times New Roman" w:cs="Times New Roman" w:eastAsia="Times New Roman" w:hAnsi="Times New Roman"/>
          <w:sz w:val="20"/>
          <w:szCs w:val="20"/>
          <w:color w:val="auto"/>
        </w:rPr>
        <w:t>segment, (ii) machinery and equipment associated with our former upholstery cut and sew operation located in Haiti; and (iii) IT equipment associated with both our business segments.</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Depreciation expense was $4.9 million during the first nine months of fiscal 2024, compared with $5.2 million for the same period a year ago. Depreciation expense mostly related to our mattress fabrics segment for both periods. For the remainder of fiscal 2024, our planned capital spending will be centered on our mattress fabrics segment, with a strategic focus on capital projects that will increase efficiencies and improve the quality of our products. Funding for capital expenditures is expected to be from cash provided from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Capital Expenditures</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January 28, 2024, we had amounts due regarding capital expenditures totaling $19,000 that pertained to outstanding vendor invoices, none of which were financed. The total amount outstanding of $19,000 is required to be paid based on normal credit terms.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Commitments – Capital Expenditures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28, 2024, we had open purchase commitments to acquire equipment for our mattress fabrics segment totaling $880,000.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Recent Accounting Developments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January 28, 2024, there were no changes in our significant accounting policies or the application of those policies from those reported in our annual report on Form 10-K for the year ended April 30, 2023.</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 2 of the consolidated financial statements for recently adopted and issued accounting pronouncements, if any, since the filing of our Form 10-K for the year ended April 30,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19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There were no significant or new contractual obligations since those reported in our annual report on Form 10-K for the year ended April 30, 2023, except for those disclosed in Note 10 of the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Any significant increase in our raw material costs, utility/energy costs, and general economic inflation could have a material adverse impact on the company, because competitive conditions have limited our ability to pass significant operating cost increases on to customers.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fiscal 2023 and continuing through the third quarter of fiscal 2024, raw material costs started to decline due to lower oil prices and slowing global demand; however, higher cost of labor remained challenging during fiscal 2023 and continuing through the third quarter of fiscal 2024.</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Inflationary pressures also affected consumer spending during fiscal 2023 and through the third quarter of fiscal 2024, causing a slowdown in business in both the mattress industry and the residential home furnishings industry. This slowdown has caused reduced demand for our mattress fabrics and residential upholstery fabrics products during fiscal 2023 and during the first nine months of fiscal 2024.</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are unable to predict how long these trends will last, or to what extent inflationary pressures may affect the economic and purchasing cycle for home furnishing products (and therefore affect demand for our products) over the short and long term.</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auto"/>
        </w:rPr>
        <w:t>ITEM 3.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exposed to market risk from changes in interest rates with regards to our revolving credit agreements.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Effective January 19, 2023, we entered into a second amended and restated U.S. revolving credit agreement (the “Amended Agreement”) that established an asset-based revolving credit facility that required interest to be charged at a rate (applicable interest rate of 6.81% as of January 28, 2024) calculated using an applicable margin over the Federal Reserve Bank of New York’s secured overnight fund rate, as defined in the Amended Agreement. As of January 28, 2024, there were no outstanding borrowings under the Amended Agreement.</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revolving credit line associated with our operations located in China bears interest at a rate determined by the Chinese government at the time of borrowing. As of January 28, 2024, there were no borrowings outstanding under our revolving credit agreement associated with our operations located in China.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Currency</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are exposed to market risk from changes in the value of foreign currencies related to our subsidiaries domiciled in Canada and China. We try to maintain a natural hedge by keeping a balance of our assets and liabilities denominated in the local currency of our subsidiaries domiciled in Canada and China. However, there is no assurance that we will be able to continually maintain this natural hedge. Our foreign subsidiaries use the United States dollar as their functional currency. A substantial portion of the company’s imports purchased outside the United States are denominated in U.S. dollars. A 10% change in the above exchange rates as of January 28, 2024, would not have materially affected our results of operations or financial position.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4. CONTROLS AND PROCEDURES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January 28, 2024, we conducted an evaluation of the effectiveness of our disclosure controls and procedures, as defined in Rules 13a-15(e) and 15d-15(e) under the Securities Exchange Act of 1934, as amended (the “Exchange Act”). This evaluation was conducted under the supervision and with the participation of our management, including our Chief Executive Officer and Chief Financial Officer. Based upon that evaluation, our Chief Executive Officer and Chief Financial Officer concluded that these disclosure controls and procedures were effective as of such date, in all material respects, to ensure that information required to be disclosed in the reports filed by us and submitted under the Exchange Act, is recorded, processed, summarized, and reported as and when required, and that these disclosure controls and procedures were effective as of such date to ensure that information required to be disclosed in reports filed by us under the Exchange Act is accumulated and communicated to management, including our Chief Executive Officer and Chief Financial Officer, in a manner to allow timely decisions regarding the required disclosure.</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quarter ended January 28, 2024,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 II –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 Legal Proceedings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have not been any material changes to our legal proceedings during the three months ended January 28, 2024. Our legal proceedings are disclosed in the company’s annual report on Form 10-K filed with the Securities and Exchange Commission on July 14, 2023, for the fiscal year ended April 30,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1A. Risk Factors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have not been any material changes to our risk factors during the three months ended January 28, 2024. Our risk factors are disclosed in Item 1A “Risk Factors” of the company’s annual report on Form 10-K filed with the Securities and Exchange Commission on July 14, 2023, for the fiscal year ended April 30, 2023.</w:t>
      </w:r>
    </w:p>
    <w:p>
      <w:pPr>
        <w:spacing w:after="0" w:line="14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u w:val="single" w:color="auto"/>
          <w:color w:val="auto"/>
        </w:rPr>
        <w:t>Item 2.</w:t>
      </w:r>
      <w:r>
        <w:rPr>
          <w:sz w:val="20"/>
          <w:szCs w:val="20"/>
          <w:color w:val="auto"/>
        </w:rPr>
        <w:tab/>
      </w:r>
      <w:r>
        <w:rPr>
          <w:rFonts w:ascii="Times New Roman" w:cs="Times New Roman" w:eastAsia="Times New Roman" w:hAnsi="Times New Roman"/>
          <w:sz w:val="19"/>
          <w:szCs w:val="19"/>
          <w:u w:val="single" w:color="auto"/>
          <w:color w:val="auto"/>
        </w:rPr>
        <w:t>Unregistered Sales of Equity Securities and Use of Proceeds</w:t>
      </w:r>
    </w:p>
    <w:p>
      <w:pPr>
        <w:spacing w:after="0" w:line="1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5260" w:type="dxa"/>
            <w:vAlign w:val="bottom"/>
            <w:tcBorders>
              <w:top w:val="single" w:sz="8" w:color="auto"/>
              <w:left w:val="single" w:sz="8" w:color="auto"/>
              <w:right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Borders>
              <w:top w:val="single" w:sz="8" w:color="auto"/>
              <w:right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Borders>
              <w:top w:val="single" w:sz="8" w:color="auto"/>
              <w:right w:val="single" w:sz="8" w:color="auto"/>
            </w:tcBorders>
          </w:tcPr>
          <w:p>
            <w:pPr>
              <w:spacing w:after="0"/>
              <w:rPr>
                <w:sz w:val="19"/>
                <w:szCs w:val="19"/>
                <w:color w:val="auto"/>
              </w:rPr>
            </w:pPr>
          </w:p>
        </w:tc>
        <w:tc>
          <w:tcPr>
            <w:tcW w:w="1380" w:type="dxa"/>
            <w:vAlign w:val="bottom"/>
            <w:tcBorders>
              <w:top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6"/>
              </w:rPr>
              <w:t>(c)</w:t>
            </w:r>
          </w:p>
        </w:tc>
        <w:tc>
          <w:tcPr>
            <w:tcW w:w="260" w:type="dxa"/>
            <w:vAlign w:val="bottom"/>
            <w:tcBorders>
              <w:top w:val="single" w:sz="8" w:color="auto"/>
              <w:right w:val="single" w:sz="8" w:color="auto"/>
            </w:tcBorders>
          </w:tcPr>
          <w:p>
            <w:pPr>
              <w:spacing w:after="0"/>
              <w:rPr>
                <w:sz w:val="19"/>
                <w:szCs w:val="19"/>
                <w:color w:val="auto"/>
              </w:rPr>
            </w:pPr>
          </w:p>
        </w:tc>
        <w:tc>
          <w:tcPr>
            <w:tcW w:w="1740" w:type="dxa"/>
            <w:vAlign w:val="bottom"/>
            <w:tcBorders>
              <w:top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3"/>
                <w:szCs w:val="13"/>
                <w:color w:val="auto"/>
              </w:rPr>
              <w:t>(d)</w:t>
            </w:r>
          </w:p>
        </w:tc>
      </w:tr>
      <w:tr>
        <w:trPr>
          <w:trHeight w:val="230"/>
        </w:trPr>
        <w:tc>
          <w:tcPr>
            <w:tcW w:w="5260" w:type="dxa"/>
            <w:vAlign w:val="bottom"/>
            <w:tcBorders>
              <w:left w:val="single" w:sz="8" w:color="auto"/>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380" w:type="dxa"/>
            <w:vAlign w:val="bottom"/>
          </w:tcPr>
          <w:p>
            <w:pPr>
              <w:jc w:val="center"/>
              <w:ind w:left="317"/>
              <w:spacing w:after="0"/>
              <w:rPr>
                <w:sz w:val="20"/>
                <w:szCs w:val="20"/>
                <w:color w:val="auto"/>
              </w:rPr>
            </w:pPr>
            <w:r>
              <w:rPr>
                <w:rFonts w:ascii="Times New Roman" w:cs="Times New Roman" w:eastAsia="Times New Roman" w:hAnsi="Times New Roman"/>
                <w:sz w:val="13"/>
                <w:szCs w:val="13"/>
                <w:color w:val="auto"/>
                <w:w w:val="96"/>
              </w:rPr>
              <w:t>Total Number of</w:t>
            </w:r>
          </w:p>
        </w:tc>
        <w:tc>
          <w:tcPr>
            <w:tcW w:w="26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3"/>
                <w:szCs w:val="13"/>
                <w:color w:val="auto"/>
                <w:w w:val="96"/>
              </w:rPr>
              <w:t>Approximate</w:t>
            </w:r>
          </w:p>
        </w:tc>
      </w:tr>
      <w:tr>
        <w:trPr>
          <w:trHeight w:val="229"/>
        </w:trPr>
        <w:tc>
          <w:tcPr>
            <w:tcW w:w="5260" w:type="dxa"/>
            <w:vAlign w:val="bottom"/>
            <w:tcBorders>
              <w:left w:val="single" w:sz="8" w:color="auto"/>
              <w:right w:val="single" w:sz="8" w:color="auto"/>
            </w:tcBorders>
          </w:tcPr>
          <w:p>
            <w:pPr>
              <w:spacing w:after="0"/>
              <w:rPr>
                <w:sz w:val="19"/>
                <w:szCs w:val="19"/>
                <w:color w:val="auto"/>
              </w:rPr>
            </w:pPr>
          </w:p>
        </w:tc>
        <w:tc>
          <w:tcPr>
            <w:tcW w:w="1040" w:type="dxa"/>
            <w:vAlign w:val="bottom"/>
          </w:tcPr>
          <w:p>
            <w:pPr>
              <w:jc w:val="center"/>
              <w:ind w:left="317"/>
              <w:spacing w:after="0"/>
              <w:rPr>
                <w:sz w:val="20"/>
                <w:szCs w:val="20"/>
                <w:color w:val="auto"/>
              </w:rPr>
            </w:pPr>
            <w:r>
              <w:rPr>
                <w:rFonts w:ascii="Times New Roman" w:cs="Times New Roman" w:eastAsia="Times New Roman" w:hAnsi="Times New Roman"/>
                <w:sz w:val="13"/>
                <w:szCs w:val="13"/>
                <w:color w:val="auto"/>
                <w:w w:val="96"/>
              </w:rPr>
              <w:t>(a)</w:t>
            </w:r>
          </w:p>
        </w:tc>
        <w:tc>
          <w:tcPr>
            <w:tcW w:w="26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380" w:type="dxa"/>
            <w:vAlign w:val="bottom"/>
          </w:tcPr>
          <w:p>
            <w:pPr>
              <w:jc w:val="center"/>
              <w:ind w:left="317"/>
              <w:spacing w:after="0"/>
              <w:rPr>
                <w:sz w:val="20"/>
                <w:szCs w:val="20"/>
                <w:color w:val="auto"/>
              </w:rPr>
            </w:pPr>
            <w:r>
              <w:rPr>
                <w:rFonts w:ascii="Times New Roman" w:cs="Times New Roman" w:eastAsia="Times New Roman" w:hAnsi="Times New Roman"/>
                <w:sz w:val="13"/>
                <w:szCs w:val="13"/>
                <w:color w:val="auto"/>
                <w:w w:val="96"/>
              </w:rPr>
              <w:t>Shares Purchased</w:t>
            </w:r>
          </w:p>
        </w:tc>
        <w:tc>
          <w:tcPr>
            <w:tcW w:w="26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3"/>
                <w:szCs w:val="13"/>
                <w:color w:val="auto"/>
                <w:w w:val="95"/>
              </w:rPr>
              <w:t>Dollar Value of</w:t>
            </w:r>
          </w:p>
        </w:tc>
      </w:tr>
      <w:tr>
        <w:trPr>
          <w:trHeight w:val="229"/>
        </w:trPr>
        <w:tc>
          <w:tcPr>
            <w:tcW w:w="5260" w:type="dxa"/>
            <w:vAlign w:val="bottom"/>
            <w:tcBorders>
              <w:left w:val="single" w:sz="8" w:color="auto"/>
              <w:right w:val="single" w:sz="8" w:color="auto"/>
            </w:tcBorders>
          </w:tcPr>
          <w:p>
            <w:pPr>
              <w:spacing w:after="0"/>
              <w:rPr>
                <w:sz w:val="19"/>
                <w:szCs w:val="19"/>
                <w:color w:val="auto"/>
              </w:rPr>
            </w:pPr>
          </w:p>
        </w:tc>
        <w:tc>
          <w:tcPr>
            <w:tcW w:w="1040" w:type="dxa"/>
            <w:vAlign w:val="bottom"/>
          </w:tcPr>
          <w:p>
            <w:pPr>
              <w:jc w:val="center"/>
              <w:ind w:left="317"/>
              <w:spacing w:after="0"/>
              <w:rPr>
                <w:sz w:val="20"/>
                <w:szCs w:val="20"/>
                <w:color w:val="auto"/>
              </w:rPr>
            </w:pPr>
            <w:r>
              <w:rPr>
                <w:rFonts w:ascii="Times New Roman" w:cs="Times New Roman" w:eastAsia="Times New Roman" w:hAnsi="Times New Roman"/>
                <w:sz w:val="13"/>
                <w:szCs w:val="13"/>
                <w:color w:val="auto"/>
                <w:w w:val="94"/>
              </w:rPr>
              <w:t>Total</w:t>
            </w:r>
          </w:p>
        </w:tc>
        <w:tc>
          <w:tcPr>
            <w:tcW w:w="260" w:type="dxa"/>
            <w:vAlign w:val="bottom"/>
            <w:tcBorders>
              <w:right w:val="single" w:sz="8" w:color="auto"/>
            </w:tcBorders>
          </w:tcPr>
          <w:p>
            <w:pPr>
              <w:spacing w:after="0"/>
              <w:rPr>
                <w:sz w:val="19"/>
                <w:szCs w:val="19"/>
                <w:color w:val="auto"/>
              </w:rPr>
            </w:pPr>
          </w:p>
        </w:tc>
        <w:tc>
          <w:tcPr>
            <w:tcW w:w="1040" w:type="dxa"/>
            <w:vAlign w:val="bottom"/>
          </w:tcPr>
          <w:p>
            <w:pPr>
              <w:jc w:val="center"/>
              <w:ind w:left="317"/>
              <w:spacing w:after="0"/>
              <w:rPr>
                <w:sz w:val="20"/>
                <w:szCs w:val="20"/>
                <w:color w:val="auto"/>
              </w:rPr>
            </w:pPr>
            <w:r>
              <w:rPr>
                <w:rFonts w:ascii="Times New Roman" w:cs="Times New Roman" w:eastAsia="Times New Roman" w:hAnsi="Times New Roman"/>
                <w:sz w:val="13"/>
                <w:szCs w:val="13"/>
                <w:color w:val="auto"/>
                <w:w w:val="92"/>
              </w:rPr>
              <w:t>(b)</w:t>
            </w:r>
          </w:p>
        </w:tc>
        <w:tc>
          <w:tcPr>
            <w:tcW w:w="260" w:type="dxa"/>
            <w:vAlign w:val="bottom"/>
            <w:tcBorders>
              <w:right w:val="single" w:sz="8" w:color="auto"/>
            </w:tcBorders>
          </w:tcPr>
          <w:p>
            <w:pPr>
              <w:spacing w:after="0"/>
              <w:rPr>
                <w:sz w:val="19"/>
                <w:szCs w:val="19"/>
                <w:color w:val="auto"/>
              </w:rPr>
            </w:pPr>
          </w:p>
        </w:tc>
        <w:tc>
          <w:tcPr>
            <w:tcW w:w="1380" w:type="dxa"/>
            <w:vAlign w:val="bottom"/>
          </w:tcPr>
          <w:p>
            <w:pPr>
              <w:jc w:val="center"/>
              <w:ind w:left="317"/>
              <w:spacing w:after="0"/>
              <w:rPr>
                <w:sz w:val="20"/>
                <w:szCs w:val="20"/>
                <w:color w:val="auto"/>
              </w:rPr>
            </w:pPr>
            <w:r>
              <w:rPr>
                <w:rFonts w:ascii="Times New Roman" w:cs="Times New Roman" w:eastAsia="Times New Roman" w:hAnsi="Times New Roman"/>
                <w:sz w:val="13"/>
                <w:szCs w:val="13"/>
                <w:color w:val="auto"/>
                <w:w w:val="97"/>
              </w:rPr>
              <w:t>as Part of</w:t>
            </w:r>
          </w:p>
        </w:tc>
        <w:tc>
          <w:tcPr>
            <w:tcW w:w="26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3"/>
                <w:szCs w:val="13"/>
                <w:color w:val="auto"/>
                <w:w w:val="96"/>
              </w:rPr>
              <w:t>Shares that May</w:t>
            </w:r>
          </w:p>
        </w:tc>
      </w:tr>
      <w:tr>
        <w:trPr>
          <w:trHeight w:val="230"/>
        </w:trPr>
        <w:tc>
          <w:tcPr>
            <w:tcW w:w="5260" w:type="dxa"/>
            <w:vAlign w:val="bottom"/>
            <w:tcBorders>
              <w:left w:val="single" w:sz="8" w:color="auto"/>
              <w:right w:val="single" w:sz="8" w:color="auto"/>
            </w:tcBorders>
          </w:tcPr>
          <w:p>
            <w:pPr>
              <w:spacing w:after="0"/>
              <w:rPr>
                <w:sz w:val="19"/>
                <w:szCs w:val="19"/>
                <w:color w:val="auto"/>
              </w:rPr>
            </w:pPr>
          </w:p>
        </w:tc>
        <w:tc>
          <w:tcPr>
            <w:tcW w:w="104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3"/>
              </w:rPr>
              <w:t>Number</w:t>
            </w:r>
          </w:p>
        </w:tc>
        <w:tc>
          <w:tcPr>
            <w:tcW w:w="260" w:type="dxa"/>
            <w:vAlign w:val="bottom"/>
            <w:tcBorders>
              <w:right w:val="single" w:sz="8" w:color="auto"/>
            </w:tcBorders>
          </w:tcPr>
          <w:p>
            <w:pPr>
              <w:spacing w:after="0"/>
              <w:rPr>
                <w:sz w:val="19"/>
                <w:szCs w:val="19"/>
                <w:color w:val="auto"/>
              </w:rPr>
            </w:pPr>
          </w:p>
        </w:tc>
        <w:tc>
          <w:tcPr>
            <w:tcW w:w="1040" w:type="dxa"/>
            <w:vAlign w:val="bottom"/>
          </w:tcPr>
          <w:p>
            <w:pPr>
              <w:jc w:val="center"/>
              <w:ind w:left="317"/>
              <w:spacing w:after="0"/>
              <w:rPr>
                <w:sz w:val="20"/>
                <w:szCs w:val="20"/>
                <w:color w:val="auto"/>
              </w:rPr>
            </w:pPr>
            <w:r>
              <w:rPr>
                <w:rFonts w:ascii="Times New Roman" w:cs="Times New Roman" w:eastAsia="Times New Roman" w:hAnsi="Times New Roman"/>
                <w:sz w:val="13"/>
                <w:szCs w:val="13"/>
                <w:color w:val="auto"/>
                <w:w w:val="95"/>
              </w:rPr>
              <w:t>Average</w:t>
            </w:r>
          </w:p>
        </w:tc>
        <w:tc>
          <w:tcPr>
            <w:tcW w:w="260" w:type="dxa"/>
            <w:vAlign w:val="bottom"/>
            <w:tcBorders>
              <w:right w:val="single" w:sz="8" w:color="auto"/>
            </w:tcBorders>
          </w:tcPr>
          <w:p>
            <w:pPr>
              <w:spacing w:after="0"/>
              <w:rPr>
                <w:sz w:val="19"/>
                <w:szCs w:val="19"/>
                <w:color w:val="auto"/>
              </w:rPr>
            </w:pPr>
          </w:p>
        </w:tc>
        <w:tc>
          <w:tcPr>
            <w:tcW w:w="138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6"/>
              </w:rPr>
              <w:t>Publicly</w:t>
            </w:r>
          </w:p>
        </w:tc>
        <w:tc>
          <w:tcPr>
            <w:tcW w:w="26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jc w:val="center"/>
              <w:ind w:left="30"/>
              <w:spacing w:after="0"/>
              <w:rPr>
                <w:sz w:val="20"/>
                <w:szCs w:val="20"/>
                <w:color w:val="auto"/>
              </w:rPr>
            </w:pPr>
            <w:r>
              <w:rPr>
                <w:rFonts w:ascii="Times New Roman" w:cs="Times New Roman" w:eastAsia="Times New Roman" w:hAnsi="Times New Roman"/>
                <w:sz w:val="13"/>
                <w:szCs w:val="13"/>
                <w:color w:val="auto"/>
                <w:w w:val="94"/>
              </w:rPr>
              <w:t>Yet Be Purchased</w:t>
            </w:r>
          </w:p>
        </w:tc>
      </w:tr>
      <w:tr>
        <w:trPr>
          <w:trHeight w:val="229"/>
        </w:trPr>
        <w:tc>
          <w:tcPr>
            <w:tcW w:w="5260" w:type="dxa"/>
            <w:vAlign w:val="bottom"/>
            <w:tcBorders>
              <w:left w:val="single" w:sz="8" w:color="auto"/>
              <w:right w:val="single" w:sz="8" w:color="auto"/>
            </w:tcBorders>
          </w:tcPr>
          <w:p>
            <w:pPr>
              <w:spacing w:after="0"/>
              <w:rPr>
                <w:sz w:val="19"/>
                <w:szCs w:val="19"/>
                <w:color w:val="auto"/>
              </w:rPr>
            </w:pPr>
          </w:p>
        </w:tc>
        <w:tc>
          <w:tcPr>
            <w:tcW w:w="104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8"/>
              </w:rPr>
              <w:t>of Shares</w:t>
            </w:r>
          </w:p>
        </w:tc>
        <w:tc>
          <w:tcPr>
            <w:tcW w:w="260" w:type="dxa"/>
            <w:vAlign w:val="bottom"/>
            <w:tcBorders>
              <w:right w:val="single" w:sz="8" w:color="auto"/>
            </w:tcBorders>
          </w:tcPr>
          <w:p>
            <w:pPr>
              <w:spacing w:after="0"/>
              <w:rPr>
                <w:sz w:val="19"/>
                <w:szCs w:val="19"/>
                <w:color w:val="auto"/>
              </w:rPr>
            </w:pPr>
          </w:p>
        </w:tc>
        <w:tc>
          <w:tcPr>
            <w:tcW w:w="104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7"/>
              </w:rPr>
              <w:t>Price Paid</w:t>
            </w:r>
          </w:p>
        </w:tc>
        <w:tc>
          <w:tcPr>
            <w:tcW w:w="260" w:type="dxa"/>
            <w:vAlign w:val="bottom"/>
            <w:tcBorders>
              <w:right w:val="single" w:sz="8" w:color="auto"/>
            </w:tcBorders>
          </w:tcPr>
          <w:p>
            <w:pPr>
              <w:spacing w:after="0"/>
              <w:rPr>
                <w:sz w:val="19"/>
                <w:szCs w:val="19"/>
                <w:color w:val="auto"/>
              </w:rPr>
            </w:pPr>
          </w:p>
        </w:tc>
        <w:tc>
          <w:tcPr>
            <w:tcW w:w="1380" w:type="dxa"/>
            <w:vAlign w:val="bottom"/>
          </w:tcPr>
          <w:p>
            <w:pPr>
              <w:jc w:val="center"/>
              <w:ind w:left="317"/>
              <w:spacing w:after="0"/>
              <w:rPr>
                <w:sz w:val="20"/>
                <w:szCs w:val="20"/>
                <w:color w:val="auto"/>
              </w:rPr>
            </w:pPr>
            <w:r>
              <w:rPr>
                <w:rFonts w:ascii="Times New Roman" w:cs="Times New Roman" w:eastAsia="Times New Roman" w:hAnsi="Times New Roman"/>
                <w:sz w:val="13"/>
                <w:szCs w:val="13"/>
                <w:color w:val="auto"/>
                <w:w w:val="96"/>
              </w:rPr>
              <w:t>Announced Plans</w:t>
            </w:r>
          </w:p>
        </w:tc>
        <w:tc>
          <w:tcPr>
            <w:tcW w:w="26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3"/>
                <w:szCs w:val="13"/>
                <w:color w:val="auto"/>
                <w:w w:val="96"/>
              </w:rPr>
              <w:t>Under the Plans or</w:t>
            </w:r>
          </w:p>
        </w:tc>
      </w:tr>
      <w:tr>
        <w:trPr>
          <w:trHeight w:val="231"/>
        </w:trPr>
        <w:tc>
          <w:tcPr>
            <w:tcW w:w="5260" w:type="dxa"/>
            <w:vAlign w:val="bottom"/>
            <w:tcBorders>
              <w:left w:val="single" w:sz="8" w:color="auto"/>
              <w:bottom w:val="single" w:sz="8" w:color="auto"/>
              <w:right w:val="single" w:sz="8" w:color="auto"/>
            </w:tcBorders>
          </w:tcPr>
          <w:p>
            <w:pPr>
              <w:ind w:left="2420"/>
              <w:spacing w:after="0"/>
              <w:rPr>
                <w:sz w:val="20"/>
                <w:szCs w:val="20"/>
                <w:color w:val="auto"/>
              </w:rPr>
            </w:pPr>
            <w:r>
              <w:rPr>
                <w:rFonts w:ascii="Times New Roman" w:cs="Times New Roman" w:eastAsia="Times New Roman" w:hAnsi="Times New Roman"/>
                <w:sz w:val="16"/>
                <w:szCs w:val="16"/>
                <w:color w:val="auto"/>
              </w:rPr>
              <w:t>Period</w:t>
            </w:r>
          </w:p>
        </w:tc>
        <w:tc>
          <w:tcPr>
            <w:tcW w:w="104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7"/>
              </w:rPr>
              <w:t>Purchased</w:t>
            </w:r>
          </w:p>
        </w:tc>
        <w:tc>
          <w:tcPr>
            <w:tcW w:w="26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6"/>
              </w:rPr>
              <w:t>per Share</w:t>
            </w:r>
          </w:p>
        </w:tc>
        <w:tc>
          <w:tcPr>
            <w:tcW w:w="2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6"/>
              </w:rPr>
              <w:t>or Programs</w:t>
            </w:r>
          </w:p>
        </w:tc>
        <w:tc>
          <w:tcPr>
            <w:tcW w:w="26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3"/>
                <w:szCs w:val="13"/>
                <w:color w:val="auto"/>
                <w:w w:val="96"/>
              </w:rPr>
              <w:t>Programs (1)</w:t>
            </w:r>
          </w:p>
        </w:tc>
      </w:tr>
      <w:tr>
        <w:trPr>
          <w:trHeight w:val="218"/>
        </w:trPr>
        <w:tc>
          <w:tcPr>
            <w:tcW w:w="526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October 30, 2023 to December 3, 2023</w:t>
            </w:r>
          </w:p>
        </w:tc>
        <w:tc>
          <w:tcPr>
            <w:tcW w:w="10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$3,248,094</w:t>
            </w:r>
          </w:p>
        </w:tc>
      </w:tr>
      <w:tr>
        <w:trPr>
          <w:trHeight w:val="223"/>
        </w:trPr>
        <w:tc>
          <w:tcPr>
            <w:tcW w:w="52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December 4, 2023 to December 31, 2023</w:t>
            </w: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$3,248,094</w:t>
            </w:r>
          </w:p>
        </w:tc>
      </w:tr>
      <w:tr>
        <w:trPr>
          <w:trHeight w:val="223"/>
        </w:trPr>
        <w:tc>
          <w:tcPr>
            <w:tcW w:w="526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January 1, 2024 to January 28, 2024</w:t>
            </w:r>
          </w:p>
        </w:tc>
        <w:tc>
          <w:tcPr>
            <w:tcW w:w="10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$3,248,094</w:t>
            </w:r>
          </w:p>
        </w:tc>
      </w:tr>
      <w:tr>
        <w:trPr>
          <w:trHeight w:val="223"/>
        </w:trPr>
        <w:tc>
          <w:tcPr>
            <w:tcW w:w="52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$3,248,094</w:t>
            </w:r>
          </w:p>
        </w:tc>
      </w:tr>
    </w:tbl>
    <w:p>
      <w:pPr>
        <w:spacing w:after="0" w:line="202"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2020, our board of directors approved an authorization for us to acquire up to $5.0 million of our common stock.</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Other Information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three months ended January 28, 2024, none of the company’s directors or officers (as defined in Rule 16a-1(f) of the Securities Exchange Act of 1934) adopted or terminated a “Rule 10b5-1 trading arrangement” or a “non-Rule 10b5-1 trading arrangement” (as such terms are defined in Item 408 of Regulation S-K).</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u w:val="single" w:color="auto"/>
          <w:color w:val="auto"/>
        </w:rPr>
        <w:t>Item 6. 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exhibits are submitted as part of this report.</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31.1</w:t>
            </w:r>
          </w:p>
        </w:tc>
        <w:tc>
          <w:tcPr>
            <w:tcW w:w="62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8"/>
              </w:rPr>
              <w:t>Certification of Chief Executive Officer Pursuant to Rule 13a-14(a)/15d-14(a).</w:t>
            </w:r>
          </w:p>
        </w:tc>
        <w:tc>
          <w:tcPr>
            <w:tcW w:w="320" w:type="dxa"/>
            <w:vAlign w:val="bottom"/>
          </w:tcPr>
          <w:p>
            <w:pPr>
              <w:spacing w:after="0"/>
              <w:rPr>
                <w:sz w:val="19"/>
                <w:szCs w:val="19"/>
                <w:color w:val="auto"/>
              </w:rPr>
            </w:pPr>
          </w:p>
        </w:tc>
      </w:tr>
      <w:tr>
        <w:trPr>
          <w:trHeight w:val="290"/>
        </w:trPr>
        <w:tc>
          <w:tcPr>
            <w:tcW w:w="9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31.2</w:t>
            </w:r>
          </w:p>
        </w:tc>
        <w:tc>
          <w:tcPr>
            <w:tcW w:w="656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Certification of Chief Financial Officer Pursuant to Rule 13a-14(a)/15d-14(a)</w:t>
            </w:r>
            <w:r>
              <w:rPr>
                <w:rFonts w:ascii="Times New Roman" w:cs="Times New Roman" w:eastAsia="Times New Roman" w:hAnsi="Times New Roman"/>
                <w:sz w:val="16"/>
                <w:szCs w:val="16"/>
                <w:color w:val="0000FF"/>
              </w:rPr>
              <w:t>.</w:t>
            </w:r>
          </w:p>
        </w:tc>
      </w:tr>
      <w:tr>
        <w:trPr>
          <w:trHeight w:val="291"/>
        </w:trPr>
        <w:tc>
          <w:tcPr>
            <w:tcW w:w="9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32.1</w:t>
            </w:r>
          </w:p>
        </w:tc>
        <w:tc>
          <w:tcPr>
            <w:tcW w:w="60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Certification of Chief Executive Officer Pursuant to 18 U.S.C. Section 1350.</w:t>
            </w:r>
          </w:p>
        </w:tc>
        <w:tc>
          <w:tcPr>
            <w:tcW w:w="80" w:type="dxa"/>
            <w:vAlign w:val="bottom"/>
            <w:tcBorders>
              <w:top w:val="single" w:sz="8" w:color="0000FF"/>
            </w:tcBorders>
          </w:tcPr>
          <w:p>
            <w:pPr>
              <w:spacing w:after="0"/>
              <w:rPr>
                <w:sz w:val="24"/>
                <w:szCs w:val="24"/>
                <w:color w:val="auto"/>
              </w:rPr>
            </w:pPr>
          </w:p>
        </w:tc>
        <w:tc>
          <w:tcPr>
            <w:tcW w:w="400" w:type="dxa"/>
            <w:vAlign w:val="bottom"/>
            <w:gridSpan w:val="2"/>
          </w:tcPr>
          <w:p>
            <w:pPr>
              <w:spacing w:after="0"/>
              <w:rPr>
                <w:sz w:val="24"/>
                <w:szCs w:val="24"/>
                <w:color w:val="auto"/>
              </w:rPr>
            </w:pPr>
          </w:p>
        </w:tc>
      </w:tr>
      <w:tr>
        <w:trPr>
          <w:trHeight w:val="290"/>
        </w:trPr>
        <w:tc>
          <w:tcPr>
            <w:tcW w:w="9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32.2</w:t>
            </w:r>
          </w:p>
        </w:tc>
        <w:tc>
          <w:tcPr>
            <w:tcW w:w="60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8"/>
              </w:rPr>
              <w:t>Certification of Chief Financial Officer Pursuant to 18 U.S.C. Section 1350.</w:t>
            </w:r>
          </w:p>
        </w:tc>
        <w:tc>
          <w:tcPr>
            <w:tcW w:w="540" w:type="dxa"/>
            <w:vAlign w:val="bottom"/>
            <w:gridSpan w:val="4"/>
          </w:tcPr>
          <w:p>
            <w:pPr>
              <w:spacing w:after="0"/>
              <w:rPr>
                <w:sz w:val="24"/>
                <w:szCs w:val="24"/>
                <w:color w:val="auto"/>
              </w:rPr>
            </w:pPr>
          </w:p>
        </w:tc>
      </w:tr>
      <w:tr>
        <w:trPr>
          <w:trHeight w:val="33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656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31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656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w w:val="98"/>
              </w:rPr>
              <w:t>Inline XBRL Taxonomy Extension Scheme with Embedded Linkbase Documents</w:t>
            </w:r>
          </w:p>
        </w:tc>
      </w:tr>
    </w:tbl>
    <w:p>
      <w:pPr>
        <w:spacing w:after="0" w:line="52"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 Page Interactive Data File (formatted as Inline XBRL with applicable taxonomy extension information contained in Exhibits</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101).</w:t>
      </w:r>
    </w:p>
    <w:p>
      <w:pPr>
        <w:spacing w:after="0" w:line="3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89" w:right="51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b w:val="1"/>
          <w:bCs w:val="1"/>
          <w:color w:val="auto"/>
        </w:rPr>
        <w:t>(Registrant)</w:t>
      </w:r>
    </w:p>
    <w:p>
      <w:pPr>
        <w:spacing w:after="0" w:line="234" w:lineRule="exact"/>
        <w:rPr>
          <w:sz w:val="20"/>
          <w:szCs w:val="20"/>
          <w:color w:val="auto"/>
        </w:rPr>
      </w:pPr>
    </w:p>
    <w:p>
      <w:pPr>
        <w:ind w:left="20"/>
        <w:spacing w:after="0"/>
        <w:tabs>
          <w:tab w:leader="none" w:pos="5640" w:val="left"/>
          <w:tab w:leader="none" w:pos="6180" w:val="left"/>
        </w:tabs>
        <w:rPr>
          <w:sz w:val="20"/>
          <w:szCs w:val="20"/>
          <w:color w:val="auto"/>
        </w:rPr>
      </w:pPr>
      <w:r>
        <w:rPr>
          <w:rFonts w:ascii="Times New Roman" w:cs="Times New Roman" w:eastAsia="Times New Roman" w:hAnsi="Times New Roman"/>
          <w:sz w:val="20"/>
          <w:szCs w:val="20"/>
          <w:color w:val="auto"/>
        </w:rPr>
        <w:t>Date: March 8,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Kenneth R. Bowling</w:t>
      </w:r>
    </w:p>
    <w:p>
      <w:pPr>
        <w:spacing w:after="0" w:line="2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(Authorized to sign on behalf of the registrant and also signing</w:t>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as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Robert G. Culp, IV, certify that:</w:t>
      </w:r>
    </w:p>
    <w:p>
      <w:pPr>
        <w:spacing w:after="0" w:line="230" w:lineRule="exact"/>
        <w:rPr>
          <w:sz w:val="20"/>
          <w:szCs w:val="20"/>
          <w:color w:val="auto"/>
        </w:rPr>
      </w:pPr>
    </w:p>
    <w:p>
      <w:pPr>
        <w:ind w:left="440" w:hanging="432"/>
        <w:spacing w:after="0"/>
        <w:tabs>
          <w:tab w:leader="none" w:pos="4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234" w:lineRule="exact"/>
        <w:rPr>
          <w:rFonts w:ascii="Times New Roman" w:cs="Times New Roman" w:eastAsia="Times New Roman" w:hAnsi="Times New Roman"/>
          <w:sz w:val="16"/>
          <w:szCs w:val="16"/>
          <w:color w:val="auto"/>
        </w:rPr>
      </w:pPr>
    </w:p>
    <w:p>
      <w:pPr>
        <w:ind w:left="520" w:right="60" w:hanging="512"/>
        <w:spacing w:after="0" w:line="298" w:lineRule="auto"/>
        <w:tabs>
          <w:tab w:leader="none" w:pos="44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520" w:right="40" w:hanging="512"/>
        <w:spacing w:after="0" w:line="298" w:lineRule="auto"/>
        <w:tabs>
          <w:tab w:leader="none" w:pos="44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6" w:lineRule="exact"/>
        <w:rPr>
          <w:rFonts w:ascii="Times New Roman" w:cs="Times New Roman" w:eastAsia="Times New Roman" w:hAnsi="Times New Roman"/>
          <w:sz w:val="16"/>
          <w:szCs w:val="16"/>
          <w:color w:val="auto"/>
        </w:rPr>
      </w:pPr>
    </w:p>
    <w:p>
      <w:pPr>
        <w:ind w:left="1020" w:right="40" w:hanging="479"/>
        <w:spacing w:after="0" w:line="281" w:lineRule="auto"/>
        <w:tabs>
          <w:tab w:leader="none" w:pos="967"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6"/>
          <w:szCs w:val="16"/>
          <w:color w:val="auto"/>
        </w:rPr>
      </w:pPr>
    </w:p>
    <w:p>
      <w:pPr>
        <w:ind w:left="1020" w:right="180" w:hanging="479"/>
        <w:spacing w:after="0" w:line="281" w:lineRule="auto"/>
        <w:tabs>
          <w:tab w:leader="none" w:pos="967"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6"/>
          <w:szCs w:val="16"/>
          <w:color w:val="auto"/>
        </w:rPr>
      </w:pPr>
    </w:p>
    <w:p>
      <w:pPr>
        <w:ind w:left="1020" w:right="240" w:hanging="479"/>
        <w:spacing w:after="0" w:line="298" w:lineRule="auto"/>
        <w:tabs>
          <w:tab w:leader="none" w:pos="967"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jc w:val="both"/>
        <w:ind w:left="1020" w:right="180" w:hanging="479"/>
        <w:spacing w:after="0" w:line="281" w:lineRule="auto"/>
        <w:tabs>
          <w:tab w:leader="none" w:pos="967"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6"/>
          <w:szCs w:val="16"/>
          <w:color w:val="auto"/>
        </w:rPr>
      </w:pPr>
    </w:p>
    <w:p>
      <w:pPr>
        <w:ind w:left="520" w:right="340" w:hanging="512"/>
        <w:spacing w:after="0" w:line="298" w:lineRule="auto"/>
        <w:tabs>
          <w:tab w:leader="none" w:pos="44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20" w:right="400" w:hanging="479"/>
        <w:spacing w:after="0" w:line="298" w:lineRule="auto"/>
        <w:tabs>
          <w:tab w:leader="none" w:pos="967"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20" w:right="20" w:hanging="479"/>
        <w:spacing w:after="0" w:line="298" w:lineRule="auto"/>
        <w:tabs>
          <w:tab w:leader="none" w:pos="967"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34290</wp:posOffset>
            </wp:positionV>
            <wp:extent cx="24771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4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Kenneth R. Bowling, certify that:</w:t>
      </w:r>
    </w:p>
    <w:p>
      <w:pPr>
        <w:spacing w:after="0" w:line="230" w:lineRule="exact"/>
        <w:rPr>
          <w:sz w:val="20"/>
          <w:szCs w:val="20"/>
          <w:color w:val="auto"/>
        </w:rPr>
      </w:pPr>
    </w:p>
    <w:p>
      <w:pPr>
        <w:ind w:left="440" w:hanging="432"/>
        <w:spacing w:after="0"/>
        <w:tabs>
          <w:tab w:leader="none" w:pos="4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234" w:lineRule="exact"/>
        <w:rPr>
          <w:rFonts w:ascii="Times New Roman" w:cs="Times New Roman" w:eastAsia="Times New Roman" w:hAnsi="Times New Roman"/>
          <w:sz w:val="16"/>
          <w:szCs w:val="16"/>
          <w:color w:val="auto"/>
        </w:rPr>
      </w:pPr>
    </w:p>
    <w:p>
      <w:pPr>
        <w:ind w:left="520" w:right="60" w:hanging="512"/>
        <w:spacing w:after="0" w:line="298" w:lineRule="auto"/>
        <w:tabs>
          <w:tab w:leader="none" w:pos="443"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520" w:right="40" w:hanging="512"/>
        <w:spacing w:after="0" w:line="298" w:lineRule="auto"/>
        <w:tabs>
          <w:tab w:leader="none" w:pos="443"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6" w:lineRule="exact"/>
        <w:rPr>
          <w:rFonts w:ascii="Times New Roman" w:cs="Times New Roman" w:eastAsia="Times New Roman" w:hAnsi="Times New Roman"/>
          <w:sz w:val="16"/>
          <w:szCs w:val="16"/>
          <w:color w:val="auto"/>
        </w:rPr>
      </w:pPr>
    </w:p>
    <w:p>
      <w:pPr>
        <w:ind w:left="1020" w:right="40" w:hanging="479"/>
        <w:spacing w:after="0" w:line="281" w:lineRule="auto"/>
        <w:tabs>
          <w:tab w:leader="none" w:pos="967"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6"/>
          <w:szCs w:val="16"/>
          <w:color w:val="auto"/>
        </w:rPr>
      </w:pPr>
    </w:p>
    <w:p>
      <w:pPr>
        <w:ind w:left="1020" w:right="180" w:hanging="479"/>
        <w:spacing w:after="0" w:line="281" w:lineRule="auto"/>
        <w:tabs>
          <w:tab w:leader="none" w:pos="967"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6"/>
          <w:szCs w:val="16"/>
          <w:color w:val="auto"/>
        </w:rPr>
      </w:pPr>
    </w:p>
    <w:p>
      <w:pPr>
        <w:ind w:left="1020" w:right="240" w:hanging="479"/>
        <w:spacing w:after="0" w:line="298" w:lineRule="auto"/>
        <w:tabs>
          <w:tab w:leader="none" w:pos="967"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jc w:val="both"/>
        <w:ind w:left="1020" w:right="180" w:hanging="479"/>
        <w:spacing w:after="0" w:line="281" w:lineRule="auto"/>
        <w:tabs>
          <w:tab w:leader="none" w:pos="967"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6"/>
          <w:szCs w:val="16"/>
          <w:color w:val="auto"/>
        </w:rPr>
      </w:pPr>
    </w:p>
    <w:p>
      <w:pPr>
        <w:ind w:left="520" w:right="340" w:hanging="512"/>
        <w:spacing w:after="0" w:line="298" w:lineRule="auto"/>
        <w:tabs>
          <w:tab w:leader="none" w:pos="443"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20" w:right="400" w:hanging="479"/>
        <w:spacing w:after="0" w:line="298" w:lineRule="auto"/>
        <w:tabs>
          <w:tab w:leader="none" w:pos="967"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20" w:right="20" w:hanging="479"/>
        <w:spacing w:after="0" w:line="298" w:lineRule="auto"/>
        <w:tabs>
          <w:tab w:leader="none" w:pos="967"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34290</wp:posOffset>
            </wp:positionV>
            <wp:extent cx="24771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4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January 28, 2024, as filed with the Securities and Exchange Commission on the date hereof (the “Report”), I, Robert G. Culp, IV, certify, pursuant to 18 U.S.C. Section 1350, as adopted pursuant to Section 906 of the Sarbanes-Oxley Act of 2002, that, to my knowledge:</w:t>
      </w:r>
    </w:p>
    <w:p>
      <w:pPr>
        <w:spacing w:after="0" w:line="149" w:lineRule="exact"/>
        <w:rPr>
          <w:sz w:val="20"/>
          <w:szCs w:val="20"/>
          <w:color w:val="auto"/>
        </w:rPr>
      </w:pPr>
    </w:p>
    <w:p>
      <w:pPr>
        <w:ind w:left="780" w:hanging="263"/>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68617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18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January 28, 2024, as filed with the Securities and Exchange Commission on the date hereof (the “Report”), I, Kenneth R. Bowling, certify, pursuant to 18 U.S.C. Section 1350, as adopted pursuant to Section 906 of the Sarbanes-Oxley Act of 2002, that, to my knowledge:</w:t>
      </w:r>
    </w:p>
    <w:p>
      <w:pPr>
        <w:spacing w:after="0" w:line="149" w:lineRule="exact"/>
        <w:rPr>
          <w:sz w:val="20"/>
          <w:szCs w:val="20"/>
          <w:color w:val="auto"/>
        </w:rPr>
      </w:pPr>
    </w:p>
    <w:p>
      <w:pPr>
        <w:ind w:left="780" w:hanging="263"/>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6861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18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lvl w:ilvl="1">
      <w:lvlJc w:val="left"/>
      <w:lvlText w:val="▪"/>
      <w:numFmt w:val="bullet"/>
      <w:start w:val="1"/>
    </w:lvl>
  </w:abstractNum>
  <w:abstractNum w:abstractNumId="5">
    <w:nsid w:val="41A7C4C9"/>
    <w:multiLevelType w:val="hybridMultilevel"/>
    <w:lvl w:ilvl="0">
      <w:lvlJc w:val="left"/>
      <w:lvlText w:val="o"/>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7"/>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lowerRoman"/>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2024-03-08T07:59:09Z</dcterms:created>
  <dcterms:modified xsi:type="dcterms:W3CDTF">2024-03-08T07:59:09Z</dcterms:modified>
</cp:coreProperties>
</file>