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line="238" w:lineRule="auto"/>
        <w:rPr>
          <w:sz w:val="20"/>
          <w:szCs w:val="20"/>
          <w:color w:val="auto"/>
        </w:rPr>
      </w:pPr>
      <w:r>
        <w:rPr>
          <w:rFonts w:ascii="Arial" w:cs="Arial" w:eastAsia="Arial" w:hAnsi="Arial"/>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QUARTERLY REPORT PURSUANT TO SECTION 13 OR 15(d)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October 31,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No. 1-12597</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CULP,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jc w:val="center"/>
              <w:ind w:left="635"/>
              <w:spacing w:after="0"/>
              <w:rPr>
                <w:sz w:val="20"/>
                <w:szCs w:val="20"/>
                <w:color w:val="auto"/>
              </w:rPr>
            </w:pPr>
            <w:r>
              <w:rPr>
                <w:rFonts w:ascii="Arial" w:cs="Arial" w:eastAsia="Arial" w:hAnsi="Arial"/>
                <w:sz w:val="16"/>
                <w:szCs w:val="16"/>
                <w:b w:val="1"/>
                <w:bCs w:val="1"/>
                <w:color w:val="auto"/>
              </w:rPr>
              <w:t>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right"/>
              <w:ind w:right="2339"/>
              <w:spacing w:after="0"/>
              <w:rPr>
                <w:sz w:val="20"/>
                <w:szCs w:val="20"/>
                <w:color w:val="auto"/>
              </w:rPr>
            </w:pPr>
            <w:r>
              <w:rPr>
                <w:rFonts w:ascii="Arial" w:cs="Arial" w:eastAsia="Arial" w:hAnsi="Arial"/>
                <w:sz w:val="16"/>
                <w:szCs w:val="16"/>
                <w:b w:val="1"/>
                <w:bCs w:val="1"/>
                <w:color w:val="auto"/>
              </w:rPr>
              <w:t>56-1001967</w:t>
            </w:r>
          </w:p>
        </w:tc>
      </w:tr>
      <w:tr>
        <w:trPr>
          <w:trHeight w:val="203"/>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(State or other jurisdiction of</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(I.R.S. Employer</w:t>
            </w:r>
          </w:p>
        </w:tc>
      </w:tr>
      <w:tr>
        <w:trPr>
          <w:trHeight w:val="206"/>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incorporation or other organization)</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7"/>
              </w:rPr>
              <w:t>Identification No.)</w:t>
            </w:r>
          </w:p>
        </w:tc>
      </w:tr>
      <w:tr>
        <w:trPr>
          <w:trHeight w:val="343"/>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1"/>
              </w:rPr>
              <w:t>1823 Eastchester Drive</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7"/>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4"/>
              </w:rPr>
              <w:t>High Point</w:t>
            </w:r>
            <w:r>
              <w:rPr>
                <w:rFonts w:ascii="Arial" w:cs="Arial" w:eastAsia="Arial" w:hAnsi="Arial"/>
                <w:sz w:val="16"/>
                <w:szCs w:val="16"/>
                <w:b w:val="1"/>
                <w:bCs w:val="1"/>
                <w:color w:val="auto"/>
                <w:w w:val="94"/>
              </w:rPr>
              <w:t>,</w:t>
            </w:r>
            <w:r>
              <w:rPr>
                <w:rFonts w:ascii="Arial" w:cs="Arial" w:eastAsia="Arial" w:hAnsi="Arial"/>
                <w:sz w:val="16"/>
                <w:szCs w:val="16"/>
                <w:color w:val="auto"/>
                <w:w w:val="94"/>
              </w:rPr>
              <w:t xml:space="preserve"> 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right"/>
              <w:ind w:right="2299"/>
              <w:spacing w:after="0"/>
              <w:rPr>
                <w:sz w:val="20"/>
                <w:szCs w:val="20"/>
                <w:color w:val="auto"/>
              </w:rPr>
            </w:pPr>
            <w:r>
              <w:rPr>
                <w:rFonts w:ascii="Arial" w:cs="Arial" w:eastAsia="Arial" w:hAnsi="Arial"/>
                <w:sz w:val="16"/>
                <w:szCs w:val="16"/>
                <w:b w:val="1"/>
                <w:bCs w:val="1"/>
                <w:color w:val="auto"/>
              </w:rPr>
              <w:t>272765-1402</w:t>
            </w:r>
          </w:p>
        </w:tc>
      </w:tr>
      <w:tr>
        <w:trPr>
          <w:trHeight w:val="206"/>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(Address of principal executive offices)</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(zip code)</w:t>
            </w:r>
          </w:p>
        </w:tc>
      </w:tr>
      <w:tr>
        <w:trPr>
          <w:trHeight w:val="36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jc w:val="center"/>
              <w:ind w:right="1073"/>
              <w:spacing w:after="0"/>
              <w:rPr>
                <w:sz w:val="20"/>
                <w:szCs w:val="20"/>
                <w:color w:val="auto"/>
              </w:rPr>
            </w:pPr>
            <w:r>
              <w:rPr>
                <w:rFonts w:ascii="Arial" w:cs="Arial" w:eastAsia="Arial" w:hAnsi="Arial"/>
                <w:sz w:val="20"/>
                <w:szCs w:val="20"/>
                <w:b w:val="1"/>
                <w:bCs w:val="1"/>
                <w:color w:val="auto"/>
                <w:w w:val="90"/>
              </w:rPr>
              <w:t>(336) 889-5161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0"/>
        </w:trPr>
        <w:tc>
          <w:tcPr>
            <w:tcW w:w="7760" w:type="dxa"/>
            <w:vAlign w:val="bottom"/>
            <w:gridSpan w:val="6"/>
          </w:tcPr>
          <w:p>
            <w:pPr>
              <w:jc w:val="center"/>
              <w:ind w:left="3395"/>
              <w:spacing w:after="0"/>
              <w:rPr>
                <w:sz w:val="20"/>
                <w:szCs w:val="20"/>
                <w:color w:val="auto"/>
              </w:rPr>
            </w:pPr>
            <w:r>
              <w:rPr>
                <w:rFonts w:ascii="Arial" w:cs="Arial" w:eastAsia="Arial" w:hAnsi="Arial"/>
                <w:sz w:val="20"/>
                <w:szCs w:val="20"/>
                <w:color w:val="auto"/>
                <w:w w:val="88"/>
              </w:rPr>
              <w:t>(Registrant's telephone number, including area code)</w:t>
            </w:r>
          </w:p>
        </w:tc>
        <w:tc>
          <w:tcPr>
            <w:tcW w:w="3480" w:type="dxa"/>
            <w:vAlign w:val="bottom"/>
          </w:tcPr>
          <w:p>
            <w:pPr>
              <w:spacing w:after="0"/>
              <w:rPr>
                <w:sz w:val="21"/>
                <w:szCs w:val="21"/>
                <w:color w:val="auto"/>
              </w:rPr>
            </w:pPr>
          </w:p>
        </w:tc>
      </w:tr>
      <w:tr>
        <w:trPr>
          <w:trHeight w:val="378"/>
        </w:trPr>
        <w:tc>
          <w:tcPr>
            <w:tcW w:w="4920" w:type="dxa"/>
            <w:vAlign w:val="bottom"/>
            <w:gridSpan w:val="3"/>
          </w:tcPr>
          <w:p>
            <w:pPr>
              <w:spacing w:after="0"/>
              <w:rPr>
                <w:sz w:val="20"/>
                <w:szCs w:val="20"/>
                <w:color w:val="auto"/>
              </w:rPr>
            </w:pPr>
            <w:r>
              <w:rPr>
                <w:rFonts w:ascii="Arial" w:cs="Arial" w:eastAsia="Arial" w:hAnsi="Arial"/>
                <w:sz w:val="20"/>
                <w:szCs w:val="20"/>
                <w:b w:val="1"/>
                <w:bCs w:val="1"/>
                <w:color w:val="auto"/>
                <w:w w:val="89"/>
              </w:rPr>
              <w:t>Securities registered pursuant to Section 12(b) of the Act:</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4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Name of Each Exchange</w:t>
            </w:r>
          </w:p>
        </w:tc>
      </w:tr>
      <w:tr>
        <w:trPr>
          <w:trHeight w:val="210"/>
        </w:trPr>
        <w:tc>
          <w:tcPr>
            <w:tcW w:w="4920" w:type="dxa"/>
            <w:vAlign w:val="bottom"/>
            <w:gridSpan w:val="3"/>
          </w:tcPr>
          <w:p>
            <w:pPr>
              <w:ind w:left="1180"/>
              <w:spacing w:after="0"/>
              <w:rPr>
                <w:sz w:val="20"/>
                <w:szCs w:val="20"/>
                <w:color w:val="auto"/>
              </w:rPr>
            </w:pPr>
            <w:r>
              <w:rPr>
                <w:rFonts w:ascii="Arial" w:cs="Arial" w:eastAsia="Arial" w:hAnsi="Arial"/>
                <w:sz w:val="16"/>
                <w:szCs w:val="16"/>
                <w:b w:val="1"/>
                <w:bCs w:val="1"/>
                <w:color w:val="auto"/>
              </w:rPr>
              <w:t>Title of Each Class</w:t>
            </w:r>
          </w:p>
        </w:tc>
        <w:tc>
          <w:tcPr>
            <w:tcW w:w="2840" w:type="dxa"/>
            <w:vAlign w:val="bottom"/>
            <w:gridSpan w:val="3"/>
          </w:tcPr>
          <w:p>
            <w:pPr>
              <w:jc w:val="center"/>
              <w:ind w:right="1440"/>
              <w:spacing w:after="0"/>
              <w:rPr>
                <w:sz w:val="20"/>
                <w:szCs w:val="20"/>
                <w:color w:val="auto"/>
              </w:rPr>
            </w:pPr>
            <w:r>
              <w:rPr>
                <w:rFonts w:ascii="Arial" w:cs="Arial" w:eastAsia="Arial" w:hAnsi="Arial"/>
                <w:sz w:val="16"/>
                <w:szCs w:val="16"/>
                <w:b w:val="1"/>
                <w:bCs w:val="1"/>
                <w:color w:val="auto"/>
                <w:w w:val="91"/>
              </w:rPr>
              <w:t>Trading Symbol(s)</w:t>
            </w:r>
          </w:p>
        </w:tc>
        <w:tc>
          <w:tcPr>
            <w:tcW w:w="34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On Which Registered</w:t>
            </w:r>
          </w:p>
        </w:tc>
      </w:tr>
      <w:tr>
        <w:trPr>
          <w:trHeight w:val="210"/>
        </w:trPr>
        <w:tc>
          <w:tcPr>
            <w:tcW w:w="3640" w:type="dxa"/>
            <w:vAlign w:val="bottom"/>
            <w:tcBorders>
              <w:top w:val="single" w:sz="8" w:color="auto"/>
            </w:tcBorders>
          </w:tcPr>
          <w:p>
            <w:pPr>
              <w:ind w:left="340"/>
              <w:spacing w:after="0"/>
              <w:rPr>
                <w:sz w:val="20"/>
                <w:szCs w:val="20"/>
                <w:color w:val="auto"/>
              </w:rPr>
            </w:pPr>
            <w:r>
              <w:rPr>
                <w:rFonts w:ascii="Arial" w:cs="Arial" w:eastAsia="Arial" w:hAnsi="Arial"/>
                <w:sz w:val="16"/>
                <w:szCs w:val="16"/>
                <w:b w:val="1"/>
                <w:bCs w:val="1"/>
                <w:color w:val="auto"/>
              </w:rPr>
              <w:t>Common Stock, par value $0.05 per share</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center"/>
              <w:ind w:right="1073"/>
              <w:spacing w:after="0"/>
              <w:rPr>
                <w:sz w:val="20"/>
                <w:szCs w:val="20"/>
                <w:color w:val="auto"/>
              </w:rPr>
            </w:pPr>
            <w:r>
              <w:rPr>
                <w:rFonts w:ascii="Arial" w:cs="Arial" w:eastAsia="Arial" w:hAnsi="Arial"/>
                <w:sz w:val="16"/>
                <w:szCs w:val="16"/>
                <w:color w:val="auto"/>
                <w:w w:val="93"/>
              </w:rPr>
              <w:t>CULP</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color w:val="auto"/>
                <w:w w:val="92"/>
              </w:rPr>
              <w:t>New York Stock Exchange</w:t>
            </w:r>
          </w:p>
        </w:tc>
      </w:tr>
    </w:tbl>
    <w:p>
      <w:pPr>
        <w:spacing w:after="0" w:line="320" w:lineRule="exact"/>
        <w:rPr>
          <w:sz w:val="24"/>
          <w:szCs w:val="24"/>
          <w:color w:val="auto"/>
        </w:rPr>
      </w:pPr>
    </w:p>
    <w:p>
      <w:pPr>
        <w:jc w:val="both"/>
        <w:spacing w:after="0" w:line="251" w:lineRule="exact"/>
        <w:rPr>
          <w:sz w:val="20"/>
          <w:szCs w:val="20"/>
          <w:color w:val="auto"/>
        </w:rPr>
      </w:pPr>
      <w:r>
        <w:rPr>
          <w:rFonts w:ascii="Arial" w:cs="Arial" w:eastAsia="Arial" w:hAnsi="Arial"/>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00" w:lineRule="exact"/>
        <w:rPr>
          <w:sz w:val="24"/>
          <w:szCs w:val="24"/>
          <w:color w:val="auto"/>
        </w:rPr>
      </w:pPr>
    </w:p>
    <w:p>
      <w:pPr>
        <w:jc w:val="both"/>
        <w:spacing w:after="0" w:line="251" w:lineRule="exact"/>
        <w:rPr>
          <w:sz w:val="20"/>
          <w:szCs w:val="20"/>
          <w:color w:val="auto"/>
        </w:rPr>
      </w:pPr>
      <w:r>
        <w:rPr>
          <w:rFonts w:ascii="Arial" w:cs="Arial" w:eastAsia="Arial" w:hAnsi="Arial"/>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7" w:lineRule="exact"/>
        <w:rPr>
          <w:sz w:val="24"/>
          <w:szCs w:val="24"/>
          <w:color w:val="auto"/>
        </w:rPr>
      </w:pPr>
    </w:p>
    <w:p>
      <w:pPr>
        <w:jc w:val="both"/>
        <w:spacing w:after="0" w:line="253" w:lineRule="auto"/>
        <w:rPr>
          <w:sz w:val="20"/>
          <w:szCs w:val="20"/>
          <w:color w:val="auto"/>
        </w:rPr>
      </w:pPr>
      <w:r>
        <w:rPr>
          <w:rFonts w:ascii="Arial" w:cs="Arial" w:eastAsia="Arial" w:hAnsi="Arial"/>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40" w:type="dxa"/>
            <w:vAlign w:val="bottom"/>
          </w:tcPr>
          <w:p>
            <w:pPr>
              <w:spacing w:after="0"/>
              <w:rPr>
                <w:sz w:val="20"/>
                <w:szCs w:val="20"/>
                <w:color w:val="auto"/>
              </w:rPr>
            </w:pPr>
            <w:r>
              <w:rPr>
                <w:rFonts w:ascii="Arial" w:cs="Arial" w:eastAsia="Arial" w:hAnsi="Arial"/>
                <w:sz w:val="20"/>
                <w:szCs w:val="20"/>
                <w:b w:val="1"/>
                <w:bCs w:val="1"/>
                <w:color w:val="auto"/>
              </w:rPr>
              <w:t>Large 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46"/>
        </w:trPr>
        <w:tc>
          <w:tcPr>
            <w:tcW w:w="2340" w:type="dxa"/>
            <w:vAlign w:val="bottom"/>
          </w:tcPr>
          <w:p>
            <w:pPr>
              <w:spacing w:after="0"/>
              <w:rPr>
                <w:sz w:val="20"/>
                <w:szCs w:val="20"/>
                <w:color w:val="auto"/>
              </w:rPr>
            </w:pPr>
            <w:r>
              <w:rPr>
                <w:rFonts w:ascii="Arial" w:cs="Arial" w:eastAsia="Arial" w:hAnsi="Arial"/>
                <w:sz w:val="20"/>
                <w:szCs w:val="20"/>
                <w:b w:val="1"/>
                <w:bCs w:val="1"/>
                <w:color w:val="auto"/>
              </w:rPr>
              <w:t>Non-accelerated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45"/>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100" w:lineRule="exact"/>
        <w:rPr>
          <w:sz w:val="24"/>
          <w:szCs w:val="24"/>
          <w:color w:val="auto"/>
        </w:rPr>
      </w:pPr>
    </w:p>
    <w:p>
      <w:pPr>
        <w:spacing w:after="0" w:line="261"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YES NO </w:t>
      </w:r>
      <w:r>
        <w:rPr>
          <w:rFonts w:ascii="MS PGothic" w:cs="MS PGothic" w:eastAsia="MS PGothic" w:hAnsi="MS PGothic"/>
          <w:sz w:val="18"/>
          <w:szCs w:val="18"/>
          <w:color w:val="auto"/>
          <w:highlight w:val="black"/>
        </w:rPr>
        <w:t>☒</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shares outstanding as of December 8, 2021: 12,209,710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period ended October 31,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80" w:type="dxa"/>
            <w:vAlign w:val="bottom"/>
            <w:gridSpan w:val="14"/>
          </w:tcPr>
          <w:p>
            <w:pPr>
              <w:jc w:val="center"/>
              <w:ind w:right="3540"/>
              <w:spacing w:after="0"/>
              <w:rPr>
                <w:sz w:val="20"/>
                <w:szCs w:val="20"/>
                <w:color w:val="auto"/>
              </w:rPr>
            </w:pPr>
            <w:r>
              <w:rPr>
                <w:rFonts w:ascii="Arial" w:cs="Arial" w:eastAsia="Arial" w:hAnsi="Arial"/>
                <w:sz w:val="20"/>
                <w:szCs w:val="20"/>
                <w:b w:val="1"/>
                <w:bCs w:val="1"/>
                <w:color w:val="auto"/>
                <w:w w:val="91"/>
              </w:rPr>
              <w:t>Part I - Financial Statements</w:t>
            </w:r>
          </w:p>
        </w:tc>
        <w:tc>
          <w:tcPr>
            <w:tcW w:w="72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w:t>
            </w:r>
          </w:p>
        </w:tc>
        <w:tc>
          <w:tcPr>
            <w:tcW w:w="3580" w:type="dxa"/>
            <w:vAlign w:val="bottom"/>
            <w:gridSpan w:val="9"/>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2440" w:type="dxa"/>
            <w:vAlign w:val="bottom"/>
            <w:tcBorders>
              <w:top w:val="single" w:sz="8" w:color="auto"/>
            </w:tcBorders>
            <w:gridSpan w:val="6"/>
          </w:tcPr>
          <w:p>
            <w:pPr>
              <w:spacing w:after="0"/>
              <w:rPr>
                <w:sz w:val="24"/>
                <w:szCs w:val="24"/>
                <w:color w:val="auto"/>
              </w:rPr>
            </w:pPr>
          </w:p>
        </w:tc>
        <w:tc>
          <w:tcPr>
            <w:tcW w:w="354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23"/>
          </w:tcPr>
          <w:p>
            <w:pPr>
              <w:spacing w:after="0"/>
              <w:rPr>
                <w:rFonts w:ascii="Arial" w:cs="Arial" w:eastAsia="Arial" w:hAnsi="Arial"/>
                <w:sz w:val="20"/>
                <w:szCs w:val="20"/>
                <w:color w:val="0000EE"/>
                <w:w w:val="92"/>
              </w:rPr>
            </w:pPr>
            <w:hyperlink w:anchor="page3">
              <w:r>
                <w:rPr>
                  <w:rFonts w:ascii="Arial" w:cs="Arial" w:eastAsia="Arial" w:hAnsi="Arial"/>
                  <w:sz w:val="20"/>
                  <w:szCs w:val="20"/>
                  <w:color w:val="0000EE"/>
                  <w:w w:val="92"/>
                </w:rPr>
                <w:t>Consolidated Statements of Net Income (Loss) — Three and Six Months Ended October 31, 2021, and November 1,</w:t>
              </w:r>
            </w:hyperlink>
          </w:p>
        </w:tc>
        <w:tc>
          <w:tcPr>
            <w:tcW w:w="72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0"/>
              </w:rPr>
            </w:pPr>
            <w:hyperlink w:anchor="page3">
              <w:r>
                <w:rPr>
                  <w:rFonts w:ascii="Arial" w:cs="Arial" w:eastAsia="Arial" w:hAnsi="Arial"/>
                  <w:sz w:val="20"/>
                  <w:szCs w:val="20"/>
                  <w:color w:val="0000EE"/>
                  <w:w w:val="80"/>
                </w:rPr>
                <w:t>2020</w:t>
              </w:r>
            </w:hyperlink>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I-1</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23"/>
          </w:tcPr>
          <w:p>
            <w:pPr>
              <w:spacing w:after="0"/>
              <w:rPr>
                <w:rFonts w:ascii="Arial" w:cs="Arial" w:eastAsia="Arial" w:hAnsi="Arial"/>
                <w:sz w:val="20"/>
                <w:szCs w:val="20"/>
                <w:color w:val="0000EE"/>
                <w:w w:val="94"/>
              </w:rPr>
            </w:pPr>
            <w:hyperlink w:anchor="page4">
              <w:r>
                <w:rPr>
                  <w:rFonts w:ascii="Arial" w:cs="Arial" w:eastAsia="Arial" w:hAnsi="Arial"/>
                  <w:sz w:val="20"/>
                  <w:szCs w:val="20"/>
                  <w:color w:val="0000EE"/>
                  <w:w w:val="94"/>
                </w:rPr>
                <w:t>Consolidated Statements of Comprehensive Income (Loss) – Three and Six Months Ended October 31, 2021, and</w:t>
              </w:r>
            </w:hyperlink>
          </w:p>
        </w:tc>
        <w:tc>
          <w:tcPr>
            <w:tcW w:w="72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5"/>
          </w:tcPr>
          <w:p>
            <w:pPr>
              <w:spacing w:after="0" w:line="209" w:lineRule="exact"/>
              <w:rPr>
                <w:rFonts w:ascii="Arial" w:cs="Arial" w:eastAsia="Arial" w:hAnsi="Arial"/>
                <w:sz w:val="20"/>
                <w:szCs w:val="20"/>
                <w:color w:val="0000EE"/>
                <w:w w:val="88"/>
              </w:rPr>
            </w:pPr>
            <w:hyperlink w:anchor="page4">
              <w:r>
                <w:rPr>
                  <w:rFonts w:ascii="Arial" w:cs="Arial" w:eastAsia="Arial" w:hAnsi="Arial"/>
                  <w:sz w:val="20"/>
                  <w:szCs w:val="20"/>
                  <w:color w:val="0000EE"/>
                  <w:w w:val="88"/>
                </w:rPr>
                <w:t>November 1, 2020</w:t>
              </w:r>
            </w:hyperlink>
          </w:p>
        </w:tc>
        <w:tc>
          <w:tcPr>
            <w:tcW w:w="7500" w:type="dxa"/>
            <w:vAlign w:val="bottom"/>
            <w:tcBorders>
              <w:top w:val="single" w:sz="8" w:color="0000EE"/>
            </w:tcBorders>
            <w:gridSpan w:val="16"/>
          </w:tcPr>
          <w:p>
            <w:pPr>
              <w:spacing w:after="0"/>
              <w:rPr>
                <w:sz w:val="18"/>
                <w:szCs w:val="18"/>
                <w:color w:val="auto"/>
              </w:rPr>
            </w:pPr>
          </w:p>
        </w:tc>
        <w:tc>
          <w:tcPr>
            <w:tcW w:w="580" w:type="dxa"/>
            <w:vAlign w:val="bottom"/>
            <w:gridSpan w:val="2"/>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20"/>
                <w:szCs w:val="20"/>
                <w:color w:val="auto"/>
              </w:rPr>
              <w:t>I-2</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40" w:type="dxa"/>
            <w:vAlign w:val="bottom"/>
            <w:tcBorders>
              <w:bottom w:val="single" w:sz="8" w:color="0000EE"/>
            </w:tcBorders>
            <w:gridSpan w:val="16"/>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Balance Sheets — October 31, 2021, November 1, 2020 and May 2, 2021</w:t>
              </w:r>
            </w:hyperlink>
          </w:p>
        </w:tc>
        <w:tc>
          <w:tcPr>
            <w:tcW w:w="262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I-3</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tcBorders>
              <w:bottom w:val="single" w:sz="8" w:color="0000EE"/>
            </w:tcBorders>
            <w:gridSpan w:val="20"/>
          </w:tcPr>
          <w:p>
            <w:pPr>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Consolidated Statements of Cash Flows — Six Months Ended October 31, 2021, and November 1, 2020</w:t>
              </w:r>
            </w:hyperlink>
          </w:p>
        </w:tc>
        <w:tc>
          <w:tcPr>
            <w:tcW w:w="13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I-4</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0" w:type="dxa"/>
            <w:vAlign w:val="bottom"/>
            <w:tcBorders>
              <w:bottom w:val="single" w:sz="8" w:color="0000EE"/>
            </w:tcBorders>
            <w:gridSpan w:val="17"/>
          </w:tcPr>
          <w:p>
            <w:pPr>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Consolidated Statements of Shareholders’ Equity – Six Months Ended October 31, 2021</w:t>
              </w:r>
            </w:hyperlink>
          </w:p>
        </w:tc>
        <w:tc>
          <w:tcPr>
            <w:tcW w:w="256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I-5</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tcBorders>
              <w:bottom w:val="single" w:sz="8" w:color="0000EE"/>
            </w:tcBorders>
            <w:gridSpan w:val="19"/>
          </w:tcPr>
          <w:p>
            <w:pPr>
              <w:spacing w:after="0"/>
              <w:rPr>
                <w:rFonts w:ascii="Arial" w:cs="Arial" w:eastAsia="Arial" w:hAnsi="Arial"/>
                <w:sz w:val="20"/>
                <w:szCs w:val="20"/>
                <w:color w:val="0000EE"/>
                <w:w w:val="89"/>
              </w:rPr>
            </w:pPr>
            <w:hyperlink w:anchor="page8">
              <w:r>
                <w:rPr>
                  <w:rFonts w:ascii="Arial" w:cs="Arial" w:eastAsia="Arial" w:hAnsi="Arial"/>
                  <w:sz w:val="20"/>
                  <w:szCs w:val="20"/>
                  <w:color w:val="0000EE"/>
                  <w:w w:val="89"/>
                </w:rPr>
                <w:t>Consolidated Statements of Shareholders’ Equity – Six Months Ended November 1, 2020</w:t>
              </w:r>
            </w:hyperlink>
          </w:p>
        </w:tc>
        <w:tc>
          <w:tcPr>
            <w:tcW w:w="24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I-6</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bottom w:val="single" w:sz="8" w:color="0000EE"/>
            </w:tcBorders>
            <w:gridSpan w:val="8"/>
          </w:tcPr>
          <w:p>
            <w:pPr>
              <w:spacing w:after="0"/>
              <w:rPr>
                <w:rFonts w:ascii="Arial" w:cs="Arial" w:eastAsia="Arial" w:hAnsi="Arial"/>
                <w:sz w:val="20"/>
                <w:szCs w:val="20"/>
                <w:color w:val="0000EE"/>
                <w:w w:val="88"/>
              </w:rPr>
            </w:pPr>
            <w:hyperlink w:anchor="page9">
              <w:r>
                <w:rPr>
                  <w:rFonts w:ascii="Arial" w:cs="Arial" w:eastAsia="Arial" w:hAnsi="Arial"/>
                  <w:sz w:val="20"/>
                  <w:szCs w:val="20"/>
                  <w:color w:val="0000EE"/>
                  <w:w w:val="88"/>
                </w:rPr>
                <w:t>Notes to Consolidated Financial Statements</w:t>
              </w:r>
            </w:hyperlink>
          </w:p>
        </w:tc>
        <w:tc>
          <w:tcPr>
            <w:tcW w:w="6100" w:type="dxa"/>
            <w:vAlign w:val="bottom"/>
            <w:gridSpan w:val="1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I-7</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30">
              <w:r>
                <w:rPr>
                  <w:rFonts w:ascii="Arial" w:cs="Arial" w:eastAsia="Arial" w:hAnsi="Arial"/>
                  <w:sz w:val="20"/>
                  <w:szCs w:val="20"/>
                  <w:color w:val="0000EE"/>
                  <w:w w:val="91"/>
                </w:rPr>
                <w:t>Cautionary Statement Concerning Forward-Looking Information</w:t>
              </w:r>
            </w:hyperlink>
          </w:p>
        </w:tc>
        <w:tc>
          <w:tcPr>
            <w:tcW w:w="442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I-28</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2.</w:t>
            </w:r>
          </w:p>
        </w:tc>
        <w:tc>
          <w:tcPr>
            <w:tcW w:w="7080" w:type="dxa"/>
            <w:vAlign w:val="bottom"/>
            <w:tcBorders>
              <w:bottom w:val="single" w:sz="8" w:color="0000EE"/>
            </w:tcBorders>
            <w:gridSpan w:val="18"/>
          </w:tcPr>
          <w:p>
            <w:pPr>
              <w:spacing w:after="0"/>
              <w:rPr>
                <w:rFonts w:ascii="Arial" w:cs="Arial" w:eastAsia="Arial" w:hAnsi="Arial"/>
                <w:sz w:val="20"/>
                <w:szCs w:val="20"/>
                <w:color w:val="0000EE"/>
                <w:w w:val="89"/>
              </w:rPr>
            </w:pPr>
            <w:hyperlink w:anchor="page30">
              <w:r>
                <w:rPr>
                  <w:rFonts w:ascii="Arial" w:cs="Arial" w:eastAsia="Arial" w:hAnsi="Arial"/>
                  <w:sz w:val="20"/>
                  <w:szCs w:val="20"/>
                  <w:color w:val="0000EE"/>
                  <w:w w:val="89"/>
                </w:rPr>
                <w:t>Management's Discussion and Analysis of Financial Condition and Results of Operations</w:t>
              </w:r>
            </w:hyperlink>
          </w:p>
        </w:tc>
        <w:tc>
          <w:tcPr>
            <w:tcW w:w="248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I-28</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3.</w:t>
            </w:r>
          </w:p>
        </w:tc>
        <w:tc>
          <w:tcPr>
            <w:tcW w:w="4800" w:type="dxa"/>
            <w:vAlign w:val="bottom"/>
            <w:tcBorders>
              <w:bottom w:val="single" w:sz="8" w:color="0000EE"/>
            </w:tcBorders>
            <w:gridSpan w:val="12"/>
          </w:tcPr>
          <w:p>
            <w:pPr>
              <w:spacing w:after="0"/>
              <w:rPr>
                <w:rFonts w:ascii="Arial" w:cs="Arial" w:eastAsia="Arial" w:hAnsi="Arial"/>
                <w:sz w:val="20"/>
                <w:szCs w:val="20"/>
                <w:color w:val="0000EE"/>
                <w:w w:val="91"/>
              </w:rPr>
            </w:pPr>
            <w:hyperlink w:anchor="page46">
              <w:r>
                <w:rPr>
                  <w:rFonts w:ascii="Arial" w:cs="Arial" w:eastAsia="Arial" w:hAnsi="Arial"/>
                  <w:sz w:val="20"/>
                  <w:szCs w:val="20"/>
                  <w:color w:val="0000EE"/>
                  <w:w w:val="91"/>
                </w:rPr>
                <w:t>Quantitative and Qualitative Disclosures About Market Risk</w:t>
              </w:r>
            </w:hyperlink>
          </w:p>
        </w:tc>
        <w:tc>
          <w:tcPr>
            <w:tcW w:w="476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I-44</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4.</w:t>
            </w:r>
          </w:p>
        </w:tc>
        <w:tc>
          <w:tcPr>
            <w:tcW w:w="9560" w:type="dxa"/>
            <w:vAlign w:val="bottom"/>
            <w:gridSpan w:val="23"/>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Controls and Procedures</w:t>
              </w:r>
            </w:hyperlink>
          </w:p>
        </w:tc>
        <w:tc>
          <w:tcPr>
            <w:tcW w:w="720" w:type="dxa"/>
            <w:vAlign w:val="bottom"/>
          </w:tcPr>
          <w:p>
            <w:pPr>
              <w:jc w:val="right"/>
              <w:spacing w:after="0"/>
              <w:rPr>
                <w:sz w:val="20"/>
                <w:szCs w:val="20"/>
                <w:color w:val="auto"/>
              </w:rPr>
            </w:pPr>
            <w:r>
              <w:rPr>
                <w:rFonts w:ascii="Arial" w:cs="Arial" w:eastAsia="Arial" w:hAnsi="Arial"/>
                <w:sz w:val="20"/>
                <w:szCs w:val="20"/>
                <w:color w:val="auto"/>
              </w:rPr>
              <w:t>I-44</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96"/>
              </w:rPr>
              <w:t>Part II - Other Information</w:t>
            </w:r>
          </w:p>
        </w:tc>
        <w:tc>
          <w:tcPr>
            <w:tcW w:w="358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w:t>
            </w:r>
          </w:p>
        </w:tc>
        <w:tc>
          <w:tcPr>
            <w:tcW w:w="1460" w:type="dxa"/>
            <w:vAlign w:val="bottom"/>
            <w:tcBorders>
              <w:bottom w:val="single" w:sz="8" w:color="0000EE"/>
            </w:tcBorders>
            <w:gridSpan w:val="4"/>
          </w:tcPr>
          <w:p>
            <w:pPr>
              <w:spacing w:after="0"/>
              <w:rPr>
                <w:rFonts w:ascii="Arial" w:cs="Arial" w:eastAsia="Arial" w:hAnsi="Arial"/>
                <w:sz w:val="20"/>
                <w:szCs w:val="20"/>
                <w:color w:val="0000EE"/>
                <w:w w:val="86"/>
              </w:rPr>
            </w:pPr>
            <w:hyperlink w:anchor="page47">
              <w:r>
                <w:rPr>
                  <w:rFonts w:ascii="Arial" w:cs="Arial" w:eastAsia="Arial" w:hAnsi="Arial"/>
                  <w:sz w:val="20"/>
                  <w:szCs w:val="20"/>
                  <w:color w:val="0000EE"/>
                  <w:w w:val="86"/>
                </w:rPr>
                <w:t>Legal Proceedings</w:t>
              </w:r>
            </w:hyperlink>
          </w:p>
        </w:tc>
        <w:tc>
          <w:tcPr>
            <w:tcW w:w="8100" w:type="dxa"/>
            <w:vAlign w:val="bottom"/>
            <w:gridSpan w:val="1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1A.</w:t>
            </w:r>
          </w:p>
        </w:tc>
        <w:tc>
          <w:tcPr>
            <w:tcW w:w="9560" w:type="dxa"/>
            <w:vAlign w:val="bottom"/>
            <w:gridSpan w:val="23"/>
          </w:tcPr>
          <w:p>
            <w:pPr>
              <w:spacing w:after="0"/>
              <w:rPr>
                <w:rFonts w:ascii="Arial" w:cs="Arial" w:eastAsia="Arial" w:hAnsi="Arial"/>
                <w:sz w:val="20"/>
                <w:szCs w:val="20"/>
                <w:color w:val="0000EE"/>
              </w:rPr>
            </w:pPr>
            <w:hyperlink w:anchor="page47">
              <w:r>
                <w:rPr>
                  <w:rFonts w:ascii="Arial" w:cs="Arial" w:eastAsia="Arial" w:hAnsi="Arial"/>
                  <w:sz w:val="20"/>
                  <w:szCs w:val="20"/>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0" w:type="dxa"/>
            <w:vAlign w:val="bottom"/>
            <w:gridSpan w:val="8"/>
          </w:tcPr>
          <w:p>
            <w:pPr>
              <w:spacing w:after="0" w:line="20" w:lineRule="exact"/>
              <w:rPr>
                <w:sz w:val="1"/>
                <w:szCs w:val="1"/>
                <w:color w:val="auto"/>
              </w:rPr>
            </w:pPr>
          </w:p>
        </w:tc>
        <w:tc>
          <w:tcPr>
            <w:tcW w:w="47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2.</w:t>
            </w:r>
          </w:p>
        </w:tc>
        <w:tc>
          <w:tcPr>
            <w:tcW w:w="478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47">
              <w:r>
                <w:rPr>
                  <w:rFonts w:ascii="Arial" w:cs="Arial" w:eastAsia="Arial" w:hAnsi="Arial"/>
                  <w:sz w:val="20"/>
                  <w:szCs w:val="20"/>
                  <w:color w:val="0000EE"/>
                  <w:w w:val="88"/>
                </w:rPr>
                <w:t>Unregistered Sales of Equity Securities and Use of Proceeds</w:t>
              </w:r>
            </w:hyperlink>
          </w:p>
        </w:tc>
        <w:tc>
          <w:tcPr>
            <w:tcW w:w="478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6.</w:t>
            </w:r>
          </w:p>
        </w:tc>
        <w:tc>
          <w:tcPr>
            <w:tcW w:w="9560" w:type="dxa"/>
            <w:vAlign w:val="bottom"/>
            <w:gridSpan w:val="23"/>
          </w:tcPr>
          <w:p>
            <w:pPr>
              <w:spacing w:after="0"/>
              <w:rPr>
                <w:rFonts w:ascii="Arial" w:cs="Arial" w:eastAsia="Arial" w:hAnsi="Arial"/>
                <w:sz w:val="20"/>
                <w:szCs w:val="20"/>
                <w:color w:val="0000EE"/>
              </w:rPr>
            </w:pPr>
            <w:hyperlink w:anchor="page48">
              <w:r>
                <w:rPr>
                  <w:rFonts w:ascii="Arial" w:cs="Arial" w:eastAsia="Arial" w:hAnsi="Arial"/>
                  <w:sz w:val="20"/>
                  <w:szCs w:val="20"/>
                  <w:color w:val="0000EE"/>
                </w:rPr>
                <w:t>Exhibits</w:t>
              </w:r>
            </w:hyperlink>
          </w:p>
        </w:tc>
        <w:tc>
          <w:tcPr>
            <w:tcW w:w="720" w:type="dxa"/>
            <w:vAlign w:val="bottom"/>
          </w:tcPr>
          <w:p>
            <w:pPr>
              <w:jc w:val="right"/>
              <w:spacing w:after="0"/>
              <w:rPr>
                <w:sz w:val="20"/>
                <w:szCs w:val="20"/>
                <w:color w:val="auto"/>
              </w:rPr>
            </w:pPr>
            <w:r>
              <w:rPr>
                <w:rFonts w:ascii="Arial" w:cs="Arial" w:eastAsia="Arial" w:hAnsi="Arial"/>
                <w:sz w:val="20"/>
                <w:szCs w:val="20"/>
                <w:color w:val="auto"/>
              </w:rPr>
              <w:t>II-2</w:t>
            </w:r>
          </w:p>
        </w:tc>
      </w:tr>
      <w:tr>
        <w:trPr>
          <w:trHeight w:val="439"/>
        </w:trPr>
        <w:tc>
          <w:tcPr>
            <w:tcW w:w="960" w:type="dxa"/>
            <w:vAlign w:val="bottom"/>
            <w:gridSpan w:val="2"/>
          </w:tcPr>
          <w:p>
            <w:pPr>
              <w:spacing w:after="0"/>
              <w:rPr>
                <w:rFonts w:ascii="Arial" w:cs="Arial" w:eastAsia="Arial" w:hAnsi="Arial"/>
                <w:sz w:val="20"/>
                <w:szCs w:val="20"/>
                <w:color w:val="0000EE"/>
                <w:w w:val="98"/>
              </w:rPr>
            </w:pPr>
            <w:hyperlink w:anchor="page49">
              <w:r>
                <w:rPr>
                  <w:rFonts w:ascii="Arial" w:cs="Arial" w:eastAsia="Arial" w:hAnsi="Arial"/>
                  <w:sz w:val="20"/>
                  <w:szCs w:val="20"/>
                  <w:color w:val="0000EE"/>
                  <w:w w:val="98"/>
                </w:rPr>
                <w:t>Signatures</w:t>
              </w:r>
            </w:hyperlink>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II-3</w:t>
            </w:r>
          </w:p>
        </w:tc>
      </w:tr>
      <w:tr>
        <w:trPr>
          <w:trHeight w:val="1243"/>
        </w:trPr>
        <w:tc>
          <w:tcPr>
            <w:tcW w:w="84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NET INCOME (LOSS)</w:t>
      </w:r>
    </w:p>
    <w:p>
      <w:pPr>
        <w:jc w:val="center"/>
        <w:spacing w:after="0"/>
        <w:rPr>
          <w:sz w:val="20"/>
          <w:szCs w:val="20"/>
          <w:color w:val="auto"/>
        </w:rPr>
      </w:pPr>
      <w:r>
        <w:rPr>
          <w:rFonts w:ascii="Arial" w:cs="Arial" w:eastAsia="Arial" w:hAnsi="Arial"/>
          <w:sz w:val="20"/>
          <w:szCs w:val="20"/>
          <w:b w:val="1"/>
          <w:bCs w:val="1"/>
          <w:color w:val="auto"/>
        </w:rPr>
        <w:t>FOR THE THREE AND SIX MONTHS ENDED OCTOBER 31, 2021, AND NOVEMBER 1,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 Except for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THREE MONTHS ENDED</w:t>
            </w:r>
          </w:p>
        </w:tc>
      </w:tr>
      <w:tr>
        <w:trPr>
          <w:trHeight w:val="146"/>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3"/>
              </w:rPr>
              <w:t>October 31,</w:t>
            </w:r>
          </w:p>
        </w:tc>
        <w:tc>
          <w:tcPr>
            <w:tcW w:w="240" w:type="dxa"/>
            <w:vAlign w:val="bottom"/>
          </w:tcPr>
          <w:p>
            <w:pPr>
              <w:spacing w:after="0"/>
              <w:rPr>
                <w:sz w:val="12"/>
                <w:szCs w:val="12"/>
                <w:color w:val="auto"/>
              </w:rPr>
            </w:pPr>
          </w:p>
        </w:tc>
        <w:tc>
          <w:tcPr>
            <w:tcW w:w="1440" w:type="dxa"/>
            <w:vAlign w:val="bottom"/>
          </w:tcPr>
          <w:p>
            <w:pPr>
              <w:jc w:val="center"/>
              <w:ind w:right="288"/>
              <w:spacing w:after="0" w:line="147" w:lineRule="exact"/>
              <w:rPr>
                <w:sz w:val="20"/>
                <w:szCs w:val="20"/>
                <w:color w:val="auto"/>
              </w:rPr>
            </w:pPr>
            <w:r>
              <w:rPr>
                <w:rFonts w:ascii="Arial" w:cs="Arial" w:eastAsia="Arial" w:hAnsi="Arial"/>
                <w:sz w:val="14"/>
                <w:szCs w:val="14"/>
                <w:color w:val="auto"/>
                <w:w w:val="94"/>
              </w:rPr>
              <w:t>November 1,</w:t>
            </w: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color w:val="auto"/>
                <w:w w:val="89"/>
              </w:rPr>
              <w:t>2020</w:t>
            </w: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74,561</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76,851</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(63,834)</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(62,590)</w:t>
            </w:r>
          </w:p>
        </w:tc>
      </w:tr>
      <w:tr>
        <w:trPr>
          <w:trHeight w:val="155"/>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Gross profit</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10,727</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14,261</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(9,087)</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(9,743)</w:t>
            </w:r>
          </w:p>
        </w:tc>
      </w:tr>
      <w:tr>
        <w:trPr>
          <w:trHeight w:val="155"/>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1,640</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4,518</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b w:val="1"/>
                <w:bCs w:val="1"/>
                <w:color w:val="auto"/>
              </w:rPr>
              <w:t>59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59</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Other expense</w:t>
            </w: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(404)</w:t>
            </w:r>
          </w:p>
        </w:tc>
        <w:tc>
          <w:tcPr>
            <w:tcW w:w="1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(680)</w:t>
            </w:r>
          </w:p>
        </w:tc>
      </w:tr>
      <w:tr>
        <w:trPr>
          <w:trHeight w:val="156"/>
        </w:trPr>
        <w:tc>
          <w:tcPr>
            <w:tcW w:w="7720" w:type="dxa"/>
            <w:vAlign w:val="bottom"/>
          </w:tcPr>
          <w:p>
            <w:pPr>
              <w:ind w:left="500"/>
              <w:spacing w:after="0" w:line="155" w:lineRule="exact"/>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3"/>
                <w:szCs w:val="13"/>
                <w:color w:val="auto"/>
              </w:rPr>
            </w:pPr>
          </w:p>
        </w:tc>
        <w:tc>
          <w:tcPr>
            <w:tcW w:w="142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1,295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3,897</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(444)</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(1,613)</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from investment in unconsolidated joint venture</w:t>
            </w: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w:t>
            </w:r>
          </w:p>
        </w:tc>
      </w:tr>
      <w:tr>
        <w:trPr>
          <w:trHeight w:val="196"/>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851</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2,384</w:t>
            </w:r>
          </w:p>
        </w:tc>
      </w:tr>
      <w:tr>
        <w:trPr>
          <w:trHeight w:val="304"/>
        </w:trPr>
        <w:tc>
          <w:tcPr>
            <w:tcW w:w="7720" w:type="dxa"/>
            <w:vAlign w:val="bottom"/>
          </w:tcPr>
          <w:p>
            <w:pPr>
              <w:spacing w:after="0"/>
              <w:rPr>
                <w:sz w:val="20"/>
                <w:szCs w:val="20"/>
                <w:color w:val="auto"/>
              </w:rPr>
            </w:pPr>
            <w:r>
              <w:rPr>
                <w:rFonts w:ascii="Arial" w:cs="Arial" w:eastAsia="Arial" w:hAnsi="Arial"/>
                <w:sz w:val="14"/>
                <w:szCs w:val="14"/>
                <w:color w:val="auto"/>
              </w:rPr>
              <w:t>Net income per share - basic</w:t>
            </w: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0.07</w:t>
            </w: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0.19</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income per share - diluted</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0.07</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0.19</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Average shares outstanding, basic</w:t>
            </w:r>
          </w:p>
        </w:tc>
        <w:tc>
          <w:tcPr>
            <w:tcW w:w="2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b w:val="1"/>
                <w:bCs w:val="1"/>
                <w:color w:val="auto"/>
              </w:rPr>
              <w:t>12,223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12,298</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 diluted</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12,316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12,324</w:t>
            </w:r>
          </w:p>
        </w:tc>
      </w:tr>
      <w:tr>
        <w:trPr>
          <w:trHeight w:val="391"/>
        </w:trPr>
        <w:tc>
          <w:tcPr>
            <w:tcW w:w="7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SIX MONTHS ENDED</w:t>
            </w:r>
          </w:p>
        </w:tc>
      </w:tr>
      <w:tr>
        <w:trPr>
          <w:trHeight w:val="146"/>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3"/>
              </w:rPr>
              <w:t>October 31,</w:t>
            </w:r>
          </w:p>
        </w:tc>
        <w:tc>
          <w:tcPr>
            <w:tcW w:w="240" w:type="dxa"/>
            <w:vAlign w:val="bottom"/>
          </w:tcPr>
          <w:p>
            <w:pPr>
              <w:spacing w:after="0"/>
              <w:rPr>
                <w:sz w:val="12"/>
                <w:szCs w:val="12"/>
                <w:color w:val="auto"/>
              </w:rPr>
            </w:pPr>
          </w:p>
        </w:tc>
        <w:tc>
          <w:tcPr>
            <w:tcW w:w="1440" w:type="dxa"/>
            <w:vAlign w:val="bottom"/>
          </w:tcPr>
          <w:p>
            <w:pPr>
              <w:jc w:val="center"/>
              <w:ind w:right="288"/>
              <w:spacing w:after="0" w:line="147" w:lineRule="exact"/>
              <w:rPr>
                <w:sz w:val="20"/>
                <w:szCs w:val="20"/>
                <w:color w:val="auto"/>
              </w:rPr>
            </w:pPr>
            <w:r>
              <w:rPr>
                <w:rFonts w:ascii="Arial" w:cs="Arial" w:eastAsia="Arial" w:hAnsi="Arial"/>
                <w:sz w:val="14"/>
                <w:szCs w:val="14"/>
                <w:color w:val="auto"/>
                <w:w w:val="94"/>
              </w:rPr>
              <w:t>November 1,</w:t>
            </w: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color w:val="auto"/>
                <w:w w:val="89"/>
              </w:rPr>
              <w:t>2020</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157,608</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141,315</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(134,382)</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(117,153)</w:t>
            </w:r>
          </w:p>
        </w:tc>
      </w:tr>
      <w:tr>
        <w:trPr>
          <w:trHeight w:val="156"/>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Gross profit</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23,226</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24,162</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(18,268)</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(17,761)</w:t>
            </w:r>
          </w:p>
        </w:tc>
      </w:tr>
      <w:tr>
        <w:trPr>
          <w:trHeight w:val="156"/>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4,958</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6,401</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(51)</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132</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117</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expense</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(640)</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(1,046)</w:t>
            </w:r>
          </w:p>
        </w:tc>
      </w:tr>
      <w:tr>
        <w:trPr>
          <w:trHeight w:val="155"/>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4,450</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5,421</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Income tax expense</w:t>
            </w: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(1,349)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(5,937)</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Income from investment in unconsolidated joint venture</w:t>
            </w:r>
          </w:p>
        </w:tc>
        <w:tc>
          <w:tcPr>
            <w:tcW w:w="2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167</w:t>
            </w:r>
          </w:p>
        </w:tc>
      </w:tr>
      <w:tr>
        <w:trPr>
          <w:trHeight w:val="195"/>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3,101</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(349)</w:t>
            </w:r>
          </w:p>
        </w:tc>
      </w:tr>
      <w:tr>
        <w:trPr>
          <w:trHeight w:val="143"/>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per share - basic</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0.25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(0.03)</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income (loss) per share - diluted</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Pr>
          <w:p>
            <w:pPr>
              <w:jc w:val="right"/>
              <w:ind w:right="68"/>
              <w:spacing w:after="0"/>
              <w:rPr>
                <w:sz w:val="20"/>
                <w:szCs w:val="20"/>
                <w:color w:val="auto"/>
              </w:rPr>
            </w:pPr>
            <w:r>
              <w:rPr>
                <w:rFonts w:ascii="Arial" w:cs="Arial" w:eastAsia="Arial" w:hAnsi="Arial"/>
                <w:sz w:val="14"/>
                <w:szCs w:val="14"/>
                <w:b w:val="1"/>
                <w:bCs w:val="1"/>
                <w:color w:val="auto"/>
              </w:rPr>
              <w:t>0.25</w:t>
            </w:r>
          </w:p>
        </w:tc>
        <w:tc>
          <w:tcPr>
            <w:tcW w:w="1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(0.03)</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 basic</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12,268</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12,293</w:t>
            </w:r>
          </w:p>
        </w:tc>
      </w:tr>
      <w:tr>
        <w:trPr>
          <w:trHeight w:val="186"/>
        </w:trPr>
        <w:tc>
          <w:tcPr>
            <w:tcW w:w="7720" w:type="dxa"/>
            <w:vAlign w:val="bottom"/>
          </w:tcPr>
          <w:p>
            <w:pPr>
              <w:spacing w:after="0"/>
              <w:rPr>
                <w:sz w:val="20"/>
                <w:szCs w:val="20"/>
                <w:color w:val="auto"/>
              </w:rPr>
            </w:pPr>
            <w:r>
              <w:rPr>
                <w:rFonts w:ascii="Arial" w:cs="Arial" w:eastAsia="Arial" w:hAnsi="Arial"/>
                <w:sz w:val="14"/>
                <w:szCs w:val="14"/>
                <w:color w:val="auto"/>
              </w:rPr>
              <w:t>Average shares outstanding, diluted</w:t>
            </w:r>
          </w:p>
        </w:tc>
        <w:tc>
          <w:tcPr>
            <w:tcW w:w="26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b w:val="1"/>
                <w:bCs w:val="1"/>
                <w:color w:val="auto"/>
              </w:rPr>
              <w:t>12,369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12,293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 (LOSS)</w:t>
      </w:r>
    </w:p>
    <w:p>
      <w:pPr>
        <w:jc w:val="center"/>
        <w:spacing w:after="0"/>
        <w:rPr>
          <w:sz w:val="20"/>
          <w:szCs w:val="20"/>
          <w:color w:val="auto"/>
        </w:rPr>
      </w:pPr>
      <w:r>
        <w:rPr>
          <w:rFonts w:ascii="Arial" w:cs="Arial" w:eastAsia="Arial" w:hAnsi="Arial"/>
          <w:sz w:val="20"/>
          <w:szCs w:val="20"/>
          <w:b w:val="1"/>
          <w:bCs w:val="1"/>
          <w:color w:val="auto"/>
        </w:rPr>
        <w:t>FOR THE THREE AND SIX MONTHS ENDED OCTOBER 31, 2021, AND NOVEMBER 1,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6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October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259"/>
              <w:spacing w:after="0"/>
              <w:rPr>
                <w:sz w:val="20"/>
                <w:szCs w:val="20"/>
                <w:color w:val="auto"/>
              </w:rPr>
            </w:pPr>
            <w:r>
              <w:rPr>
                <w:rFonts w:ascii="Arial" w:cs="Arial" w:eastAsia="Arial" w:hAnsi="Arial"/>
                <w:sz w:val="16"/>
                <w:szCs w:val="16"/>
                <w:color w:val="auto"/>
                <w:w w:val="91"/>
              </w:rPr>
              <w:t>November 1,</w:t>
            </w:r>
          </w:p>
        </w:tc>
      </w:tr>
      <w:tr>
        <w:trPr>
          <w:trHeight w:val="219"/>
        </w:trPr>
        <w:tc>
          <w:tcPr>
            <w:tcW w:w="6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259"/>
              <w:spacing w:after="0"/>
              <w:rPr>
                <w:sz w:val="20"/>
                <w:szCs w:val="20"/>
                <w:color w:val="auto"/>
              </w:rPr>
            </w:pPr>
            <w:r>
              <w:rPr>
                <w:rFonts w:ascii="Arial" w:cs="Arial" w:eastAsia="Arial" w:hAnsi="Arial"/>
                <w:sz w:val="16"/>
                <w:szCs w:val="16"/>
                <w:b w:val="1"/>
                <w:bCs w:val="1"/>
                <w:color w:val="auto"/>
                <w:w w:val="89"/>
              </w:rPr>
              <w:t>2021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center"/>
              <w:ind w:right="259"/>
              <w:spacing w:after="0"/>
              <w:rPr>
                <w:sz w:val="20"/>
                <w:szCs w:val="20"/>
                <w:color w:val="auto"/>
              </w:rPr>
            </w:pPr>
            <w:r>
              <w:rPr>
                <w:rFonts w:ascii="Arial" w:cs="Arial" w:eastAsia="Arial" w:hAnsi="Arial"/>
                <w:sz w:val="16"/>
                <w:szCs w:val="16"/>
                <w:color w:val="auto"/>
                <w:w w:val="89"/>
              </w:rPr>
              <w:t>2020</w:t>
            </w:r>
          </w:p>
        </w:tc>
      </w:tr>
      <w:tr>
        <w:trPr>
          <w:trHeight w:val="219"/>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7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851</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2,384</w:t>
            </w:r>
          </w:p>
        </w:tc>
      </w:tr>
      <w:tr>
        <w:trPr>
          <w:trHeight w:val="213"/>
        </w:trPr>
        <w:tc>
          <w:tcPr>
            <w:tcW w:w="6280" w:type="dxa"/>
            <w:vAlign w:val="bottom"/>
          </w:tcPr>
          <w:p>
            <w:pPr>
              <w:spacing w:after="0"/>
              <w:rPr>
                <w:sz w:val="20"/>
                <w:szCs w:val="20"/>
                <w:color w:val="auto"/>
              </w:rPr>
            </w:pPr>
            <w:r>
              <w:rPr>
                <w:rFonts w:ascii="Arial" w:cs="Arial" w:eastAsia="Arial" w:hAnsi="Arial"/>
                <w:sz w:val="16"/>
                <w:szCs w:val="16"/>
                <w:color w:val="auto"/>
              </w:rPr>
              <w:t>Unrealized holding losses on investments, net of tax</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adjustment for realized (gain) loss on sale of investments</w:t>
            </w:r>
          </w:p>
        </w:tc>
        <w:tc>
          <w:tcPr>
            <w:tcW w:w="15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w:t>
            </w:r>
          </w:p>
        </w:tc>
      </w:t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Comprehensive income</w:t>
            </w:r>
          </w:p>
        </w:tc>
        <w:tc>
          <w:tcPr>
            <w:tcW w:w="15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842</w:t>
            </w:r>
          </w:p>
        </w:tc>
        <w:tc>
          <w:tcPr>
            <w:tcW w:w="1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2,351</w:t>
            </w:r>
          </w:p>
        </w:tc>
      </w:tr>
      <w:tr>
        <w:trPr>
          <w:trHeight w:val="20"/>
        </w:trPr>
        <w:tc>
          <w:tcPr>
            <w:tcW w:w="6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601"/>
        </w:trPr>
        <w:tc>
          <w:tcPr>
            <w:tcW w:w="6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207"/>
        </w:trPr>
        <w:tc>
          <w:tcPr>
            <w:tcW w:w="6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October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259"/>
              <w:spacing w:after="0"/>
              <w:rPr>
                <w:sz w:val="20"/>
                <w:szCs w:val="20"/>
                <w:color w:val="auto"/>
              </w:rPr>
            </w:pPr>
            <w:r>
              <w:rPr>
                <w:rFonts w:ascii="Arial" w:cs="Arial" w:eastAsia="Arial" w:hAnsi="Arial"/>
                <w:sz w:val="16"/>
                <w:szCs w:val="16"/>
                <w:color w:val="auto"/>
                <w:w w:val="91"/>
              </w:rPr>
              <w:t>November 1,</w:t>
            </w:r>
          </w:p>
        </w:tc>
      </w:tr>
      <w:tr>
        <w:trPr>
          <w:trHeight w:val="219"/>
        </w:trPr>
        <w:tc>
          <w:tcPr>
            <w:tcW w:w="628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9"/>
              </w:rPr>
              <w:t>2021</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w w:val="89"/>
              </w:rPr>
              <w:t>2020</w:t>
            </w:r>
          </w:p>
        </w:tc>
      </w:tr>
      <w:tr>
        <w:trPr>
          <w:trHeight w:val="213"/>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3,101</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6280" w:type="dxa"/>
            <w:vAlign w:val="bottom"/>
          </w:tcPr>
          <w:p>
            <w:pPr>
              <w:spacing w:after="0"/>
              <w:rPr>
                <w:sz w:val="20"/>
                <w:szCs w:val="20"/>
                <w:color w:val="auto"/>
              </w:rPr>
            </w:pPr>
            <w:r>
              <w:rPr>
                <w:rFonts w:ascii="Arial" w:cs="Arial" w:eastAsia="Arial" w:hAnsi="Arial"/>
                <w:sz w:val="16"/>
                <w:szCs w:val="16"/>
                <w:color w:val="auto"/>
              </w:rPr>
              <w:t>Unrealized holding gains on investments, net of tax</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143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30</w:t>
            </w:r>
          </w:p>
        </w:tc>
      </w:tr>
      <w:tr>
        <w:trPr>
          <w:trHeight w:val="219"/>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adjustment for realized (gain) loss on investments</w:t>
            </w:r>
          </w:p>
        </w:tc>
        <w:tc>
          <w:tcPr>
            <w:tcW w:w="15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w:t>
            </w:r>
          </w:p>
        </w:tc>
      </w:tr>
      <w:tr>
        <w:trPr>
          <w:trHeight w:val="207"/>
        </w:trPr>
        <w:tc>
          <w:tcPr>
            <w:tcW w:w="628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5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3,240</w:t>
            </w:r>
          </w:p>
        </w:tc>
        <w:tc>
          <w:tcPr>
            <w:tcW w:w="1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r>
      <w:tr>
        <w:trPr>
          <w:trHeight w:val="20"/>
        </w:trPr>
        <w:tc>
          <w:tcPr>
            <w:tcW w:w="6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OCTOBER 31, 2021, NOVEMBER 1, 2020, AND MAY 2, 2021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w:t>
            </w:r>
          </w:p>
        </w:tc>
        <w:tc>
          <w:tcPr>
            <w:tcW w:w="1580" w:type="dxa"/>
            <w:vAlign w:val="bottom"/>
            <w:gridSpan w:val="2"/>
          </w:tcPr>
          <w:p>
            <w:pPr>
              <w:ind w:left="240"/>
              <w:spacing w:after="0"/>
              <w:rPr>
                <w:sz w:val="20"/>
                <w:szCs w:val="20"/>
                <w:color w:val="auto"/>
              </w:rPr>
            </w:pPr>
            <w:r>
              <w:rPr>
                <w:rFonts w:ascii="Arial" w:cs="Arial" w:eastAsia="Arial" w:hAnsi="Arial"/>
                <w:sz w:val="16"/>
                <w:szCs w:val="16"/>
                <w:color w:val="auto"/>
              </w:rPr>
              <w:t>November 1,</w:t>
            </w:r>
          </w:p>
        </w:tc>
        <w:tc>
          <w:tcPr>
            <w:tcW w:w="1440" w:type="dxa"/>
            <w:vAlign w:val="bottom"/>
          </w:tcPr>
          <w:p>
            <w:pPr>
              <w:jc w:val="right"/>
              <w:ind w:right="399"/>
              <w:spacing w:after="0"/>
              <w:rPr>
                <w:sz w:val="20"/>
                <w:szCs w:val="20"/>
                <w:color w:val="auto"/>
              </w:rPr>
            </w:pPr>
            <w:r>
              <w:rPr>
                <w:rFonts w:ascii="Arial" w:cs="Arial" w:eastAsia="Arial" w:hAnsi="Arial"/>
                <w:sz w:val="16"/>
                <w:szCs w:val="16"/>
                <w:color w:val="auto"/>
              </w:rPr>
              <w:t>* May 2,</w:t>
            </w:r>
          </w:p>
        </w:tc>
        <w:tc>
          <w:tcPr>
            <w:tcW w:w="0" w:type="dxa"/>
            <w:vAlign w:val="bottom"/>
          </w:tcPr>
          <w:p>
            <w:pPr>
              <w:spacing w:after="0"/>
              <w:rPr>
                <w:sz w:val="1"/>
                <w:szCs w:val="1"/>
                <w:color w:val="auto"/>
              </w:rPr>
            </w:pPr>
          </w:p>
        </w:tc>
      </w:tr>
      <w:tr>
        <w:trPr>
          <w:trHeight w:val="219"/>
        </w:trPr>
        <w:tc>
          <w:tcPr>
            <w:tcW w:w="66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16,956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45,288</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37,009</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investments - held-to-maturity</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1,564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Short-term investments - available for sale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9,709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5,462</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5,542</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32,316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32,960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37,726</w:t>
            </w: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63,781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47,726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55,917</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income taxes receivable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613</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assets</w:t>
            </w: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3,811</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3,509</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128,750</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139,950</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143,207</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43,265</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41,599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44,003</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Right of use 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13,649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6,165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11,730</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2,816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3,192</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 - rabbi trust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9,036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8,060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8,415</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Long-term investments - held-to-maturity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8,353</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759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452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Investment in unconsolidated joint venture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1,859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3,004</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547</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47"/>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209,325</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202,776</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214,080</w:t>
            </w:r>
          </w:p>
        </w:tc>
        <w:tc>
          <w:tcPr>
            <w:tcW w:w="0" w:type="dxa"/>
            <w:vAlign w:val="bottom"/>
          </w:tcPr>
          <w:p>
            <w:pPr>
              <w:spacing w:after="0"/>
              <w:rPr>
                <w:sz w:val="1"/>
                <w:szCs w:val="1"/>
                <w:color w:val="auto"/>
              </w:rPr>
            </w:pPr>
          </w:p>
        </w:tc>
      </w:tr>
      <w:tr>
        <w:trPr>
          <w:trHeight w:val="19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Accounts payable - trade</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40,525</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38,247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42,540</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 capital expenditures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176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Operating lease liability - current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2,878</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2,316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679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11,019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11,684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14,839</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payable - current</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646</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1,413</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7"/>
        </w:trPr>
        <w:tc>
          <w:tcPr>
            <w:tcW w:w="66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55,923</w:t>
            </w:r>
          </w:p>
        </w:tc>
        <w:tc>
          <w:tcPr>
            <w:tcW w:w="1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54,103</w:t>
            </w:r>
          </w:p>
        </w:tc>
        <w:tc>
          <w:tcPr>
            <w:tcW w:w="1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61,232</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 long-term</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7,914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6,821</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Income taxes payable - long-term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3,099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3,325</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4,918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6,089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compensation</w:t>
            </w: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9,017</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8,000</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80,871</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75,525</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85,074</w:t>
            </w:r>
          </w:p>
        </w:tc>
        <w:tc>
          <w:tcPr>
            <w:tcW w:w="0" w:type="dxa"/>
            <w:vAlign w:val="bottom"/>
          </w:tcPr>
          <w:p>
            <w:pPr>
              <w:spacing w:after="0"/>
              <w:rPr>
                <w:sz w:val="1"/>
                <w:szCs w:val="1"/>
                <w:color w:val="auto"/>
              </w:rPr>
            </w:pPr>
          </w:p>
        </w:tc>
      </w:tr>
      <w:tr>
        <w:trPr>
          <w:trHeight w:val="207"/>
        </w:trPr>
        <w:tc>
          <w:tcPr>
            <w:tcW w:w="6660" w:type="dxa"/>
            <w:vAlign w:val="bottom"/>
          </w:tcPr>
          <w:p>
            <w:pPr>
              <w:spacing w:after="0"/>
              <w:rPr>
                <w:sz w:val="20"/>
                <w:szCs w:val="20"/>
                <w:color w:val="auto"/>
              </w:rPr>
            </w:pPr>
            <w:r>
              <w:rPr>
                <w:rFonts w:ascii="Arial" w:cs="Arial" w:eastAsia="Arial" w:hAnsi="Arial"/>
                <w:sz w:val="16"/>
                <w:szCs w:val="16"/>
                <w:color w:val="auto"/>
              </w:rPr>
              <w:t>Commitments and Contingencies (Notes 3, 9, 15, and 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Shareholders' equity</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Preferred stock, $0.05 par value, authorized 10,000,000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$0.05 par value, authorized 40,000,000 shares, issued</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outstanding 12,209,710 at October 31, 2021; 12,303,023 at November 1,</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611</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2020; and 12,312,822 at May 2, 2021</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615</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Capital contributed in excess of par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42,719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43,031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43,807</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earnings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84,839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83,579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84,437</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285</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shareholders' equity</w:t>
            </w: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128,454</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127,251</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129,006</w:t>
            </w:r>
          </w:p>
        </w:tc>
        <w:tc>
          <w:tcPr>
            <w:tcW w:w="0" w:type="dxa"/>
            <w:vAlign w:val="bottom"/>
          </w:tcPr>
          <w:p>
            <w:pPr>
              <w:spacing w:after="0"/>
              <w:rPr>
                <w:sz w:val="1"/>
                <w:szCs w:val="1"/>
                <w:color w:val="auto"/>
              </w:rPr>
            </w:pPr>
          </w:p>
        </w:tc>
      </w:tr>
      <w:tr>
        <w:trPr>
          <w:trHeight w:val="207"/>
        </w:trPr>
        <w:tc>
          <w:tcPr>
            <w:tcW w:w="6660" w:type="dxa"/>
            <w:vAlign w:val="bottom"/>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209,325</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202,776</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214,080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FOR THE SIX MONTHS ENDED OCTOBER 31, 2021, AND NOVEMBER 1,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4"/>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648"/>
              <w:spacing w:after="0"/>
              <w:rPr>
                <w:sz w:val="20"/>
                <w:szCs w:val="20"/>
                <w:color w:val="auto"/>
              </w:rPr>
            </w:pPr>
            <w:r>
              <w:rPr>
                <w:rFonts w:ascii="Arial" w:cs="Arial" w:eastAsia="Arial" w:hAnsi="Arial"/>
                <w:sz w:val="14"/>
                <w:szCs w:val="14"/>
                <w:b w:val="1"/>
                <w:bCs w:val="1"/>
                <w:color w:val="auto"/>
              </w:rPr>
              <w:t>October 31,</w:t>
            </w:r>
          </w:p>
        </w:tc>
        <w:tc>
          <w:tcPr>
            <w:tcW w:w="1540" w:type="dxa"/>
            <w:vAlign w:val="bottom"/>
          </w:tcPr>
          <w:p>
            <w:pPr>
              <w:jc w:val="right"/>
              <w:ind w:right="428"/>
              <w:spacing w:after="0"/>
              <w:rPr>
                <w:sz w:val="20"/>
                <w:szCs w:val="20"/>
                <w:color w:val="auto"/>
              </w:rPr>
            </w:pPr>
            <w:r>
              <w:rPr>
                <w:rFonts w:ascii="Arial" w:cs="Arial" w:eastAsia="Arial" w:hAnsi="Arial"/>
                <w:sz w:val="14"/>
                <w:szCs w:val="14"/>
                <w:color w:val="auto"/>
              </w:rPr>
              <w:t>November 1,</w:t>
            </w:r>
          </w:p>
        </w:tc>
        <w:tc>
          <w:tcPr>
            <w:tcW w:w="0" w:type="dxa"/>
            <w:vAlign w:val="bottom"/>
          </w:tcPr>
          <w:p>
            <w:pPr>
              <w:spacing w:after="0"/>
              <w:rPr>
                <w:sz w:val="1"/>
                <w:szCs w:val="1"/>
                <w:color w:val="auto"/>
              </w:rPr>
            </w:pPr>
          </w:p>
        </w:tc>
      </w:tr>
      <w:tr>
        <w:trPr>
          <w:trHeight w:val="201"/>
        </w:trPr>
        <w:tc>
          <w:tcPr>
            <w:tcW w:w="79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2021</w:t>
            </w:r>
          </w:p>
        </w:tc>
        <w:tc>
          <w:tcPr>
            <w:tcW w:w="15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6"/>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3,101</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3"/>
        </w:trPr>
        <w:tc>
          <w:tcPr>
            <w:tcW w:w="79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(loss) to net cash (used in)</w:t>
            </w:r>
          </w:p>
        </w:tc>
        <w:tc>
          <w:tcPr>
            <w:tcW w:w="22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9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provided by operating activities: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3,471</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267</w:t>
            </w:r>
          </w:p>
        </w:tc>
        <w:tc>
          <w:tcPr>
            <w:tcW w:w="1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709</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rPr>
              <w:t>(319)</w:t>
            </w:r>
          </w:p>
        </w:tc>
        <w:tc>
          <w:tcPr>
            <w:tcW w:w="1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43"/>
        </w:trPr>
        <w:tc>
          <w:tcPr>
            <w:tcW w:w="7900" w:type="dxa"/>
            <w:vAlign w:val="bottom"/>
          </w:tcPr>
          <w:p>
            <w:pPr>
              <w:ind w:left="740"/>
              <w:spacing w:after="0" w:line="143" w:lineRule="exact"/>
              <w:rPr>
                <w:sz w:val="20"/>
                <w:szCs w:val="20"/>
                <w:color w:val="auto"/>
              </w:rPr>
            </w:pPr>
            <w:r>
              <w:rPr>
                <w:rFonts w:ascii="Arial" w:cs="Arial" w:eastAsia="Arial" w:hAnsi="Arial"/>
                <w:sz w:val="14"/>
                <w:szCs w:val="14"/>
                <w:color w:val="auto"/>
              </w:rPr>
              <w:t>Realized (gain) loss from the sale of short-term investments</w:t>
            </w:r>
          </w:p>
        </w:tc>
        <w:tc>
          <w:tcPr>
            <w:tcW w:w="220" w:type="dxa"/>
            <w:vAlign w:val="bottom"/>
          </w:tcPr>
          <w:p>
            <w:pPr>
              <w:spacing w:after="0"/>
              <w:rPr>
                <w:sz w:val="12"/>
                <w:szCs w:val="12"/>
                <w:color w:val="auto"/>
              </w:rPr>
            </w:pPr>
          </w:p>
        </w:tc>
        <w:tc>
          <w:tcPr>
            <w:tcW w:w="15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(4)</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900" w:type="dxa"/>
            <w:vAlign w:val="bottom"/>
          </w:tcPr>
          <w:p>
            <w:pPr>
              <w:ind w:left="920"/>
              <w:spacing w:after="0"/>
              <w:rPr>
                <w:sz w:val="20"/>
                <w:szCs w:val="20"/>
                <w:color w:val="auto"/>
              </w:rPr>
            </w:pPr>
            <w:r>
              <w:rPr>
                <w:rFonts w:ascii="Arial" w:cs="Arial" w:eastAsia="Arial" w:hAnsi="Arial"/>
                <w:sz w:val="14"/>
                <w:szCs w:val="14"/>
                <w:color w:val="auto"/>
              </w:rPr>
              <w:t>(Available for Sale)</w:t>
            </w:r>
          </w:p>
        </w:tc>
        <w:tc>
          <w:tcPr>
            <w:tcW w:w="2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Income from investment in unconsolidated joint venture</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Foreign currency exchange loss</w:t>
            </w:r>
          </w:p>
        </w:tc>
        <w:tc>
          <w:tcPr>
            <w:tcW w:w="2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170</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5,441</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(7,663)</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rPr>
              <w:t>(7,750)</w:t>
            </w:r>
          </w:p>
        </w:tc>
        <w:tc>
          <w:tcPr>
            <w:tcW w:w="1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39</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rPr>
              <w:t>(987)</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Accounts payable – trade</w:t>
            </w:r>
          </w:p>
        </w:tc>
        <w:tc>
          <w:tcPr>
            <w:tcW w:w="220" w:type="dxa"/>
            <w:vAlign w:val="bottom"/>
          </w:tcPr>
          <w:p>
            <w:pPr>
              <w:spacing w:after="0"/>
              <w:rPr>
                <w:sz w:val="14"/>
                <w:szCs w:val="14"/>
                <w:color w:val="auto"/>
              </w:rPr>
            </w:pPr>
          </w:p>
        </w:tc>
        <w:tc>
          <w:tcPr>
            <w:tcW w:w="1580" w:type="dxa"/>
            <w:vAlign w:val="bottom"/>
          </w:tcPr>
          <w:p>
            <w:pPr>
              <w:jc w:val="right"/>
              <w:ind w:right="208"/>
              <w:spacing w:after="0"/>
              <w:rPr>
                <w:sz w:val="20"/>
                <w:szCs w:val="20"/>
                <w:color w:val="auto"/>
              </w:rPr>
            </w:pPr>
            <w:r>
              <w:rPr>
                <w:rFonts w:ascii="Arial" w:cs="Arial" w:eastAsia="Arial" w:hAnsi="Arial"/>
                <w:sz w:val="14"/>
                <w:szCs w:val="14"/>
                <w:b w:val="1"/>
                <w:bCs w:val="1"/>
                <w:color w:val="auto"/>
              </w:rPr>
              <w:t>(2,269)</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14,156</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139</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Accrued expenses and deferred compensation</w:t>
            </w:r>
          </w:p>
        </w:tc>
        <w:tc>
          <w:tcPr>
            <w:tcW w:w="220" w:type="dxa"/>
            <w:vAlign w:val="bottom"/>
          </w:tcPr>
          <w:p>
            <w:pPr>
              <w:spacing w:after="0"/>
              <w:rPr>
                <w:sz w:val="14"/>
                <w:szCs w:val="14"/>
                <w:color w:val="auto"/>
              </w:rPr>
            </w:pPr>
          </w:p>
        </w:tc>
        <w:tc>
          <w:tcPr>
            <w:tcW w:w="1580" w:type="dxa"/>
            <w:vAlign w:val="bottom"/>
          </w:tcPr>
          <w:p>
            <w:pPr>
              <w:jc w:val="right"/>
              <w:ind w:right="208"/>
              <w:spacing w:after="0"/>
              <w:rPr>
                <w:sz w:val="20"/>
                <w:szCs w:val="20"/>
                <w:color w:val="auto"/>
              </w:rPr>
            </w:pPr>
            <w:r>
              <w:rPr>
                <w:rFonts w:ascii="Arial" w:cs="Arial" w:eastAsia="Arial" w:hAnsi="Arial"/>
                <w:sz w:val="14"/>
                <w:szCs w:val="14"/>
                <w:b w:val="1"/>
                <w:bCs w:val="1"/>
                <w:color w:val="auto"/>
              </w:rPr>
              <w:t>(2,908)</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6,019</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b w:val="1"/>
                <w:bCs w:val="1"/>
                <w:color w:val="auto"/>
              </w:rPr>
              <w:t>(428)</w:t>
            </w:r>
          </w:p>
        </w:tc>
        <w:tc>
          <w:tcPr>
            <w:tcW w:w="15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2,052</w:t>
            </w:r>
          </w:p>
        </w:tc>
        <w:tc>
          <w:tcPr>
            <w:tcW w:w="0" w:type="dxa"/>
            <w:vAlign w:val="bottom"/>
          </w:tcPr>
          <w:p>
            <w:pPr>
              <w:spacing w:after="0"/>
              <w:rPr>
                <w:sz w:val="1"/>
                <w:szCs w:val="1"/>
                <w:color w:val="auto"/>
              </w:rPr>
            </w:pPr>
          </w:p>
        </w:tc>
      </w:tr>
      <w:tr>
        <w:trPr>
          <w:trHeight w:val="156"/>
        </w:trPr>
        <w:tc>
          <w:tcPr>
            <w:tcW w:w="790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(used in) provided by operating activities</w:t>
            </w: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(1,328)</w:t>
            </w:r>
          </w:p>
        </w:tc>
        <w:tc>
          <w:tcPr>
            <w:tcW w:w="15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22,703</w:t>
            </w:r>
          </w:p>
        </w:tc>
        <w:tc>
          <w:tcPr>
            <w:tcW w:w="0" w:type="dxa"/>
            <w:vAlign w:val="bottom"/>
          </w:tcPr>
          <w:p>
            <w:pPr>
              <w:spacing w:after="0"/>
              <w:rPr>
                <w:sz w:val="1"/>
                <w:szCs w:val="1"/>
                <w:color w:val="auto"/>
              </w:rPr>
            </w:pPr>
          </w:p>
        </w:tc>
      </w:tr>
      <w:tr>
        <w:trPr>
          <w:trHeight w:val="155"/>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4"/>
                <w:szCs w:val="14"/>
                <w:color w:val="auto"/>
              </w:rPr>
            </w:pPr>
          </w:p>
        </w:tc>
        <w:tc>
          <w:tcPr>
            <w:tcW w:w="1580" w:type="dxa"/>
            <w:vAlign w:val="bottom"/>
          </w:tcPr>
          <w:p>
            <w:pPr>
              <w:jc w:val="right"/>
              <w:ind w:right="208"/>
              <w:spacing w:after="0"/>
              <w:rPr>
                <w:sz w:val="20"/>
                <w:szCs w:val="20"/>
                <w:color w:val="auto"/>
              </w:rPr>
            </w:pPr>
            <w:r>
              <w:rPr>
                <w:rFonts w:ascii="Arial" w:cs="Arial" w:eastAsia="Arial" w:hAnsi="Arial"/>
                <w:sz w:val="14"/>
                <w:szCs w:val="14"/>
                <w:b w:val="1"/>
                <w:bCs w:val="1"/>
                <w:color w:val="auto"/>
              </w:rPr>
              <w:t>(3,901)</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equipment</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Investment in unconsolidated joint venture</w:t>
            </w:r>
          </w:p>
        </w:tc>
        <w:tc>
          <w:tcPr>
            <w:tcW w:w="2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maturity of short-term investments (Held to Maturity)</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3,200</w:t>
            </w:r>
          </w:p>
        </w:tc>
        <w:tc>
          <w:tcPr>
            <w:tcW w:w="1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Purchase of short-term and long-term investments (Held to Maturity)</w:t>
            </w:r>
          </w:p>
        </w:tc>
        <w:tc>
          <w:tcPr>
            <w:tcW w:w="220" w:type="dxa"/>
            <w:vAlign w:val="bottom"/>
          </w:tcPr>
          <w:p>
            <w:pPr>
              <w:spacing w:after="0"/>
              <w:rPr>
                <w:sz w:val="14"/>
                <w:szCs w:val="14"/>
                <w:color w:val="auto"/>
              </w:rPr>
            </w:pPr>
          </w:p>
        </w:tc>
        <w:tc>
          <w:tcPr>
            <w:tcW w:w="1580" w:type="dxa"/>
            <w:vAlign w:val="bottom"/>
          </w:tcPr>
          <w:p>
            <w:pPr>
              <w:jc w:val="right"/>
              <w:ind w:right="208"/>
              <w:spacing w:after="0"/>
              <w:rPr>
                <w:sz w:val="20"/>
                <w:szCs w:val="20"/>
                <w:color w:val="auto"/>
              </w:rPr>
            </w:pPr>
            <w:r>
              <w:rPr>
                <w:rFonts w:ascii="Arial" w:cs="Arial" w:eastAsia="Arial" w:hAnsi="Arial"/>
                <w:sz w:val="14"/>
                <w:szCs w:val="14"/>
                <w:b w:val="1"/>
                <w:bCs w:val="1"/>
                <w:color w:val="auto"/>
              </w:rPr>
              <w:t>(8,876)</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short-term investments (Available for Sale)</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rPr>
              <w:t>(4,371)</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(5,010)</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Proceeds from the sale of short-term investments (Available for Sale)</w:t>
            </w:r>
          </w:p>
        </w:tc>
        <w:tc>
          <w:tcPr>
            <w:tcW w:w="2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306</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long-term investments (rabbi trust)</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Purchase of long-term investments (rabbi trust)</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(580)</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55"/>
        </w:trPr>
        <w:tc>
          <w:tcPr>
            <w:tcW w:w="7900" w:type="dxa"/>
            <w:vAlign w:val="bottom"/>
            <w:shd w:val="clear" w:color="auto" w:fill="CFF0FC"/>
          </w:tcPr>
          <w:p>
            <w:pPr>
              <w:ind w:left="1240"/>
              <w:spacing w:after="0" w:line="155"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b w:val="1"/>
                <w:bCs w:val="1"/>
                <w:color w:val="auto"/>
              </w:rPr>
              <w:t>(14,222)</w:t>
            </w:r>
          </w:p>
        </w:tc>
        <w:tc>
          <w:tcPr>
            <w:tcW w:w="15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(6,299)</w:t>
            </w:r>
          </w:p>
        </w:tc>
        <w:tc>
          <w:tcPr>
            <w:tcW w:w="0" w:type="dxa"/>
            <w:vAlign w:val="bottom"/>
          </w:tcPr>
          <w:p>
            <w:pPr>
              <w:spacing w:after="0"/>
              <w:rPr>
                <w:sz w:val="1"/>
                <w:szCs w:val="1"/>
                <w:color w:val="auto"/>
              </w:rPr>
            </w:pPr>
          </w:p>
        </w:tc>
      </w:tr>
      <w:tr>
        <w:trPr>
          <w:trHeight w:val="155"/>
        </w:trPr>
        <w:tc>
          <w:tcPr>
            <w:tcW w:w="7900" w:type="dxa"/>
            <w:vAlign w:val="bottom"/>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associated with lines of credit</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(30,772)</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Payment associated with Paycheck Protection Program Loan</w:t>
            </w:r>
          </w:p>
        </w:tc>
        <w:tc>
          <w:tcPr>
            <w:tcW w:w="2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(7,606)</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rPr>
              <w:t>(2,699)</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Common stock repurchased</w:t>
            </w:r>
          </w:p>
        </w:tc>
        <w:tc>
          <w:tcPr>
            <w:tcW w:w="220" w:type="dxa"/>
            <w:vAlign w:val="bottom"/>
          </w:tcPr>
          <w:p>
            <w:pPr>
              <w:spacing w:after="0"/>
              <w:rPr>
                <w:sz w:val="14"/>
                <w:szCs w:val="14"/>
                <w:color w:val="auto"/>
              </w:rPr>
            </w:pPr>
          </w:p>
        </w:tc>
        <w:tc>
          <w:tcPr>
            <w:tcW w:w="1580" w:type="dxa"/>
            <w:vAlign w:val="bottom"/>
          </w:tcPr>
          <w:p>
            <w:pPr>
              <w:jc w:val="right"/>
              <w:ind w:right="208"/>
              <w:spacing w:after="0"/>
              <w:rPr>
                <w:sz w:val="20"/>
                <w:szCs w:val="20"/>
                <w:color w:val="auto"/>
              </w:rPr>
            </w:pPr>
            <w:r>
              <w:rPr>
                <w:rFonts w:ascii="Arial" w:cs="Arial" w:eastAsia="Arial" w:hAnsi="Arial"/>
                <w:sz w:val="14"/>
                <w:szCs w:val="14"/>
                <w:b w:val="1"/>
                <w:bCs w:val="1"/>
                <w:color w:val="auto"/>
              </w:rPr>
              <w:t>(1,752)</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surrendered for withholding taxes payable</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rPr>
              <w:t>(50)</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Payments of debt issuance costs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5"/>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2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b w:val="1"/>
                <w:bCs w:val="1"/>
                <w:color w:val="auto"/>
              </w:rPr>
              <w:t>(4,501)</w:t>
            </w:r>
          </w:p>
        </w:tc>
        <w:tc>
          <w:tcPr>
            <w:tcW w:w="15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(41,001)</w:t>
            </w:r>
          </w:p>
        </w:tc>
        <w:tc>
          <w:tcPr>
            <w:tcW w:w="0" w:type="dxa"/>
            <w:vAlign w:val="bottom"/>
          </w:tcPr>
          <w:p>
            <w:pPr>
              <w:spacing w:after="0"/>
              <w:rPr>
                <w:sz w:val="1"/>
                <w:szCs w:val="1"/>
                <w:color w:val="auto"/>
              </w:rPr>
            </w:pPr>
          </w:p>
        </w:tc>
      </w:tr>
      <w:tr>
        <w:trPr>
          <w:trHeight w:val="155"/>
        </w:trPr>
        <w:tc>
          <w:tcPr>
            <w:tcW w:w="7900" w:type="dxa"/>
            <w:vAlign w:val="bottom"/>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Pr>
          <w:p>
            <w:pPr>
              <w:spacing w:after="0"/>
              <w:rPr>
                <w:sz w:val="13"/>
                <w:szCs w:val="13"/>
                <w:color w:val="auto"/>
              </w:rPr>
            </w:pPr>
          </w:p>
        </w:tc>
        <w:tc>
          <w:tcPr>
            <w:tcW w:w="158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(2)</w:t>
            </w:r>
          </w:p>
        </w:tc>
        <w:tc>
          <w:tcPr>
            <w:tcW w:w="15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4"/>
                <w:szCs w:val="14"/>
                <w:color w:val="auto"/>
              </w:rPr>
              <w:t>Decrease in cash and cash equivalents</w:t>
            </w:r>
          </w:p>
        </w:tc>
        <w:tc>
          <w:tcPr>
            <w:tcW w:w="22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rPr>
              <w:t>(20,053)</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(24,502)</w:t>
            </w:r>
          </w:p>
        </w:tc>
        <w:tc>
          <w:tcPr>
            <w:tcW w:w="0" w:type="dxa"/>
            <w:vAlign w:val="bottom"/>
          </w:tcPr>
          <w:p>
            <w:pPr>
              <w:spacing w:after="0"/>
              <w:rPr>
                <w:sz w:val="1"/>
                <w:szCs w:val="1"/>
                <w:color w:val="auto"/>
              </w:rPr>
            </w:pPr>
          </w:p>
        </w:tc>
      </w:tr>
      <w:tr>
        <w:trPr>
          <w:trHeight w:val="162"/>
        </w:trPr>
        <w:tc>
          <w:tcPr>
            <w:tcW w:w="79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37,009</w:t>
            </w: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69,790</w:t>
            </w:r>
          </w:p>
        </w:tc>
        <w:tc>
          <w:tcPr>
            <w:tcW w:w="0" w:type="dxa"/>
            <w:vAlign w:val="bottom"/>
          </w:tcPr>
          <w:p>
            <w:pPr>
              <w:spacing w:after="0"/>
              <w:rPr>
                <w:sz w:val="1"/>
                <w:szCs w:val="1"/>
                <w:color w:val="auto"/>
              </w:rPr>
            </w:pPr>
          </w:p>
        </w:tc>
      </w:tr>
      <w:tr>
        <w:trPr>
          <w:trHeight w:val="155"/>
        </w:trPr>
        <w:tc>
          <w:tcPr>
            <w:tcW w:w="79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b w:val="1"/>
                <w:bCs w:val="1"/>
                <w:color w:val="auto"/>
              </w:rPr>
              <w:t>16,956</w:t>
            </w:r>
          </w:p>
        </w:tc>
        <w:tc>
          <w:tcPr>
            <w:tcW w:w="15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45,288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SIX-MONTHS ENDED OCTOBER 31, 2021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92"/>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Contributed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212"/>
              <w:spacing w:after="0"/>
              <w:rPr>
                <w:sz w:val="20"/>
                <w:szCs w:val="20"/>
                <w:color w:val="auto"/>
              </w:rPr>
            </w:pPr>
            <w:r>
              <w:rPr>
                <w:rFonts w:ascii="Arial" w:cs="Arial" w:eastAsia="Arial" w:hAnsi="Arial"/>
                <w:sz w:val="14"/>
                <w:szCs w:val="14"/>
                <w:color w:val="auto"/>
                <w:w w:val="91"/>
              </w:rPr>
              <w:t>Other</w:t>
            </w:r>
          </w:p>
        </w:tc>
        <w:tc>
          <w:tcPr>
            <w:tcW w:w="200" w:type="dxa"/>
            <w:vAlign w:val="bottom"/>
          </w:tcPr>
          <w:p>
            <w:pPr>
              <w:spacing w:after="0"/>
              <w:rPr>
                <w:sz w:val="14"/>
                <w:szCs w:val="14"/>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color w:val="auto"/>
              </w:rPr>
              <w:t>Total</w:t>
            </w:r>
          </w:p>
        </w:tc>
      </w:tr>
      <w:tr>
        <w:trPr>
          <w:trHeight w:val="167"/>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820" w:type="dxa"/>
            <w:vAlign w:val="bottom"/>
          </w:tcPr>
          <w:p>
            <w:pPr>
              <w:jc w:val="center"/>
              <w:ind w:right="192"/>
              <w:spacing w:after="0"/>
              <w:rPr>
                <w:sz w:val="20"/>
                <w:szCs w:val="20"/>
                <w:color w:val="auto"/>
              </w:rPr>
            </w:pPr>
            <w:r>
              <w:rPr>
                <w:rFonts w:ascii="Arial" w:cs="Arial" w:eastAsia="Arial" w:hAnsi="Arial"/>
                <w:sz w:val="14"/>
                <w:szCs w:val="14"/>
                <w:color w:val="auto"/>
                <w:w w:val="90"/>
              </w:rPr>
              <w:t>in Excess</w:t>
            </w: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Accumulated</w:t>
            </w: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Comprehensive</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Shareholders'</w:t>
            </w:r>
          </w:p>
        </w:tc>
      </w:tr>
      <w:tr>
        <w:trPr>
          <w:trHeight w:val="156"/>
        </w:trPr>
        <w:tc>
          <w:tcPr>
            <w:tcW w:w="49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color w:val="auto"/>
                <w:w w:val="99"/>
              </w:rPr>
              <w:t>Amount</w:t>
            </w:r>
          </w:p>
        </w:tc>
        <w:tc>
          <w:tcPr>
            <w:tcW w:w="10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0"/>
              </w:rPr>
              <w:t>of Par Value</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color w:val="auto"/>
                <w:w w:val="94"/>
              </w:rPr>
              <w:t>Earnings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color w:val="auto"/>
                <w:w w:val="91"/>
              </w:rPr>
              <w:t>Income</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rPr>
              <w:t>Equity</w:t>
            </w: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Balance, May 2, 2021 *</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99"/>
              </w:rPr>
              <w:t>12,312,822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43,807</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84,437</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129,006</w:t>
            </w: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2,250</w:t>
            </w: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274</w:t>
            </w: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148</w:t>
            </w: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6"/>
        </w:trPr>
        <w:tc>
          <w:tcPr>
            <w:tcW w:w="49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vesting of performance-based restricted</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units</w:t>
            </w:r>
          </w:p>
        </w:tc>
        <w:tc>
          <w:tcPr>
            <w:tcW w:w="1180" w:type="dxa"/>
            <w:vAlign w:val="bottom"/>
            <w:gridSpan w:val="2"/>
            <w:shd w:val="clear" w:color="auto" w:fill="CFF0FC"/>
          </w:tcPr>
          <w:p>
            <w:pPr>
              <w:jc w:val="right"/>
              <w:ind w:right="73"/>
              <w:spacing w:after="0"/>
              <w:rPr>
                <w:sz w:val="20"/>
                <w:szCs w:val="20"/>
                <w:color w:val="auto"/>
              </w:rPr>
            </w:pPr>
            <w:r>
              <w:rPr>
                <w:rFonts w:ascii="Arial" w:cs="Arial" w:eastAsia="Arial" w:hAnsi="Arial"/>
                <w:sz w:val="18"/>
                <w:szCs w:val="18"/>
                <w:color w:val="auto"/>
              </w:rPr>
              <w:t>10,863</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Common stock surrendered for withholding</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4980" w:type="dxa"/>
            <w:vAlign w:val="bottom"/>
          </w:tcPr>
          <w:p>
            <w:pPr>
              <w:ind w:left="480"/>
              <w:spacing w:after="0"/>
              <w:rPr>
                <w:sz w:val="20"/>
                <w:szCs w:val="20"/>
                <w:color w:val="auto"/>
              </w:rPr>
            </w:pPr>
            <w:r>
              <w:rPr>
                <w:rFonts w:ascii="Arial" w:cs="Arial" w:eastAsia="Arial" w:hAnsi="Arial"/>
                <w:sz w:val="18"/>
                <w:szCs w:val="18"/>
                <w:color w:val="auto"/>
              </w:rPr>
              <w:t>taxes payable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(3,025)</w:t>
            </w:r>
          </w:p>
        </w:tc>
        <w:tc>
          <w:tcPr>
            <w:tcW w:w="20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180" w:type="dxa"/>
            <w:vAlign w:val="bottom"/>
            <w:gridSpan w:val="2"/>
            <w:shd w:val="clear" w:color="auto" w:fill="CFF0FC"/>
          </w:tcPr>
          <w:p>
            <w:pPr>
              <w:jc w:val="right"/>
              <w:ind w:right="73"/>
              <w:spacing w:after="0"/>
              <w:rPr>
                <w:sz w:val="20"/>
                <w:szCs w:val="20"/>
                <w:color w:val="auto"/>
              </w:rPr>
            </w:pPr>
            <w:r>
              <w:rPr>
                <w:rFonts w:ascii="Arial" w:cs="Arial" w:eastAsia="Arial" w:hAnsi="Arial"/>
                <w:sz w:val="18"/>
                <w:szCs w:val="18"/>
                <w:color w:val="auto"/>
              </w:rPr>
              <w:t>4,312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(48,686)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August 1, 2021</w:t>
            </w:r>
          </w:p>
        </w:tc>
        <w:tc>
          <w:tcPr>
            <w:tcW w:w="10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w w:val="99"/>
              </w:rPr>
              <w:t>12,276,286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43,310</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85,331</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294</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129,549</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851</w:t>
            </w: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435</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investments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180" w:type="dxa"/>
            <w:vAlign w:val="bottom"/>
            <w:gridSpan w:val="2"/>
          </w:tcPr>
          <w:p>
            <w:pPr>
              <w:jc w:val="right"/>
              <w:ind w:right="73"/>
              <w:spacing w:after="0"/>
              <w:rPr>
                <w:sz w:val="20"/>
                <w:szCs w:val="20"/>
                <w:color w:val="auto"/>
              </w:rPr>
            </w:pPr>
            <w:r>
              <w:rPr>
                <w:rFonts w:ascii="Arial" w:cs="Arial" w:eastAsia="Arial" w:hAnsi="Arial"/>
                <w:sz w:val="18"/>
                <w:szCs w:val="18"/>
                <w:color w:val="auto"/>
              </w:rPr>
              <w:t>6,426</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CFF"/>
          </w:tcPr>
          <w:p>
            <w:pPr>
              <w:ind w:left="280"/>
              <w:spacing w:after="0"/>
              <w:rPr>
                <w:sz w:val="20"/>
                <w:szCs w:val="20"/>
                <w:color w:val="auto"/>
              </w:rPr>
            </w:pPr>
            <w:r>
              <w:rPr>
                <w:rFonts w:ascii="Arial" w:cs="Arial" w:eastAsia="Arial" w:hAnsi="Arial"/>
                <w:sz w:val="18"/>
                <w:szCs w:val="18"/>
                <w:color w:val="auto"/>
              </w:rPr>
              <w:t>Common stock repurchased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(73,002)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r>
      <w:tr>
        <w:trPr>
          <w:trHeight w:val="229"/>
        </w:trPr>
        <w:tc>
          <w:tcPr>
            <w:tcW w:w="498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tcBorders>
              <w:bottom w:val="single" w:sz="8" w:color="CCECFF"/>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r>
      <w:tr>
        <w:trPr>
          <w:trHeight w:val="237"/>
        </w:trPr>
        <w:tc>
          <w:tcPr>
            <w:tcW w:w="49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October 31, 2021</w:t>
            </w:r>
          </w:p>
        </w:tc>
        <w:tc>
          <w:tcPr>
            <w:tcW w:w="100" w:type="dxa"/>
            <w:vAlign w:val="bottom"/>
            <w:tcBorders>
              <w:bottom w:val="single" w:sz="8" w:color="CCECFF"/>
            </w:tcBorders>
            <w:shd w:val="clear" w:color="auto" w:fill="CCECFF"/>
          </w:tcPr>
          <w:p>
            <w:pPr>
              <w:spacing w:after="0"/>
              <w:rPr>
                <w:sz w:val="20"/>
                <w:szCs w:val="20"/>
                <w:color w:val="auto"/>
              </w:rPr>
            </w:pPr>
          </w:p>
        </w:tc>
        <w:tc>
          <w:tcPr>
            <w:tcW w:w="10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w w:val="99"/>
              </w:rPr>
              <w:t>12,209,710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42,719</w:t>
            </w: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84,839</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285</w:t>
            </w: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5"/>
              </w:rPr>
              <w:t>128,454</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SIX-MONTHS ENDED NOVEMBER 1,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92"/>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Contributed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251"/>
              <w:spacing w:after="0"/>
              <w:rPr>
                <w:sz w:val="20"/>
                <w:szCs w:val="20"/>
                <w:color w:val="auto"/>
              </w:rPr>
            </w:pPr>
            <w:r>
              <w:rPr>
                <w:rFonts w:ascii="Arial" w:cs="Arial" w:eastAsia="Arial" w:hAnsi="Arial"/>
                <w:sz w:val="14"/>
                <w:szCs w:val="14"/>
                <w:color w:val="auto"/>
                <w:w w:val="91"/>
              </w:rPr>
              <w:t>Other</w:t>
            </w:r>
          </w:p>
        </w:tc>
        <w:tc>
          <w:tcPr>
            <w:tcW w:w="200" w:type="dxa"/>
            <w:vAlign w:val="bottom"/>
          </w:tcPr>
          <w:p>
            <w:pPr>
              <w:spacing w:after="0"/>
              <w:rPr>
                <w:sz w:val="14"/>
                <w:szCs w:val="14"/>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color w:val="auto"/>
              </w:rPr>
              <w:t>Total</w:t>
            </w:r>
          </w:p>
        </w:tc>
      </w:tr>
      <w:tr>
        <w:trPr>
          <w:trHeight w:val="167"/>
        </w:trPr>
        <w:tc>
          <w:tcPr>
            <w:tcW w:w="508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820" w:type="dxa"/>
            <w:vAlign w:val="bottom"/>
          </w:tcPr>
          <w:p>
            <w:pPr>
              <w:jc w:val="center"/>
              <w:ind w:right="192"/>
              <w:spacing w:after="0"/>
              <w:rPr>
                <w:sz w:val="20"/>
                <w:szCs w:val="20"/>
                <w:color w:val="auto"/>
              </w:rPr>
            </w:pPr>
            <w:r>
              <w:rPr>
                <w:rFonts w:ascii="Arial" w:cs="Arial" w:eastAsia="Arial" w:hAnsi="Arial"/>
                <w:sz w:val="14"/>
                <w:szCs w:val="14"/>
                <w:color w:val="auto"/>
                <w:w w:val="90"/>
              </w:rPr>
              <w:t>in Excess</w:t>
            </w: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Accumulated</w:t>
            </w: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Comprehensive</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Shareholders'</w:t>
            </w:r>
          </w:p>
        </w:tc>
      </w:tr>
      <w:tr>
        <w:trPr>
          <w:trHeight w:val="155"/>
        </w:trPr>
        <w:tc>
          <w:tcPr>
            <w:tcW w:w="50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color w:val="auto"/>
                <w:w w:val="99"/>
              </w:rPr>
              <w:t>Amount</w:t>
            </w:r>
          </w:p>
        </w:tc>
        <w:tc>
          <w:tcPr>
            <w:tcW w:w="10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0"/>
              </w:rPr>
              <w:t>of Par Value</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color w:val="auto"/>
                <w:w w:val="94"/>
              </w:rPr>
              <w:t>Earnings</w:t>
            </w:r>
          </w:p>
        </w:tc>
        <w:tc>
          <w:tcPr>
            <w:tcW w:w="11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4"/>
              </w:rPr>
              <w:t>(Loss) Income</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May 3, 2020 *</w:t>
            </w: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99"/>
              </w:rPr>
              <w:t>12,284,946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42,582</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86,511</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129,698</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(2,733)</w:t>
            </w:r>
          </w:p>
        </w:tc>
        <w:tc>
          <w:tcPr>
            <w:tcW w:w="2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69</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paid</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August 2, 2020</w:t>
            </w: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99"/>
              </w:rPr>
              <w:t>12,291,946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42,708</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82,487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125,869</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2,384</w:t>
            </w:r>
          </w:p>
        </w:tc>
        <w:tc>
          <w:tcPr>
            <w:tcW w:w="2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2,384</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348</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loss on investments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5,193</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80" w:type="dxa"/>
            <w:vAlign w:val="bottom"/>
          </w:tcPr>
          <w:p>
            <w:pPr>
              <w:ind w:left="380"/>
              <w:spacing w:after="0"/>
              <w:rPr>
                <w:sz w:val="20"/>
                <w:szCs w:val="20"/>
                <w:color w:val="auto"/>
              </w:rPr>
            </w:pPr>
            <w:r>
              <w:rPr>
                <w:rFonts w:ascii="Arial" w:cs="Arial" w:eastAsia="Arial" w:hAnsi="Arial"/>
                <w:sz w:val="18"/>
                <w:szCs w:val="18"/>
                <w:color w:val="auto"/>
              </w:rPr>
              <w:t>vesting of performance-based restricted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080" w:type="dxa"/>
            <w:vAlign w:val="bottom"/>
          </w:tcPr>
          <w:p>
            <w:pPr>
              <w:ind w:left="380"/>
              <w:spacing w:after="0"/>
              <w:rPr>
                <w:sz w:val="20"/>
                <w:szCs w:val="20"/>
                <w:color w:val="auto"/>
              </w:rPr>
            </w:pPr>
            <w:r>
              <w:rPr>
                <w:rFonts w:ascii="Arial" w:cs="Arial" w:eastAsia="Arial" w:hAnsi="Arial"/>
                <w:sz w:val="18"/>
                <w:szCs w:val="18"/>
                <w:color w:val="auto"/>
              </w:rPr>
              <w:t>stock units</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8,019</w:t>
            </w:r>
          </w:p>
        </w:tc>
        <w:tc>
          <w:tcPr>
            <w:tcW w:w="20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surrendered for withholding</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taxes payable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paid</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November 1, 2020</w:t>
            </w:r>
          </w:p>
        </w:tc>
        <w:tc>
          <w:tcPr>
            <w:tcW w:w="10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w w:val="99"/>
              </w:rPr>
              <w:t>12,303,023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43,031</w:t>
            </w: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83,579</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5"/>
              </w:rPr>
              <w:t>127,251</w:t>
            </w:r>
          </w:p>
        </w:tc>
      </w:tr>
      <w:tr>
        <w:trPr>
          <w:trHeight w:val="20"/>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Basis of Presentation</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accompanying unaudited condensed consolidated financial statements of Culp, Inc. and its majority-owned subsidiaries (the “company”) include all adjustments, which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which are included in the company’s annual report on Form 10-K filed with the Securities and Exchange Commission on July 16, 2021, for the fiscal year ended May 2, 2021.</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company’s six-months ended October 31, 2021, and November 1, 2020, each represent 26-week periods.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Significant Accounting Policies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October 31, 2021, there were no changes in the nature of our significant accounting policies or the application of those policies from those reported in our annual report on Form 10-K for the year then ended May 2,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Adopted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is intended to simplify various aspects of accounting for income taxes. ASU 2019-12 removes certain exceptions to the general principles in Topic 740 and clarifies and amends existing guidance to improve consistent application. This guidance was effective for fiscal years, and periods within those fiscal years, beginning after December 15, 2020, with early adoption permitted. As a result, we adopted the provisions of ASU 2019-12 on May 3, 2021 (the beginning of fiscal 2022). The adoption of ASU 2019-12 did not affect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Issued Accounting Pronouncements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Currently, there are no new recent accounting pronouncements that are expected to have a material impact on our consolidated financial statements.</w:t>
      </w:r>
    </w:p>
    <w:p>
      <w:pPr>
        <w:spacing w:after="0" w:line="144"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 ACHIEVED IN STAGES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Effective January 1, 2017, Culp International Holdings, Ltd. (“Culp International”), a wholly-owned subsidiary of the company, entered into a joint venture agreement pursuant to which Culp International owned 50% of Class International Holdings, Ltd. (“CIH”). Effective February 1, 2021, (sometimes referred to as the “acquisition date”), Culp International entered into a Share Purchase Agreement with its former joint venture partner pursuant to which Culp International acquired the remaining 50% ownership interest in CIH. CIH produces cut and sewn mattress covers and is housed in two facilities totaling 120,000 square feet, located in a modern industrial park on the northeastern border of Haiti. We believe having sole ownership of this operation increases our capacity and enhances our flexibility by having near-shore capabilities that will help us to meet the needs of our mattress cover customers.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Prior to the acquisition of the remaining 50% ownership interest in CIH, we accounted for our initial 50% ownership interest in CIH as an unconsolidated joint venture under the equity method of accounting. Due to the acquisition of the remaining 50% ownership interest in CIH, our consolidated financial statements now include all of the accounts of CIH, and any significant intercompany balances and transactions have been eliminated in consolidation.</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consideration transferred for our now-100% ownership interest in connection with this acquisition totaled $2.7 million, of which $1.7 million represented the fair value of our previously held 50% ownership interest in CIH at the time of acquisition, and $954,000 represented the purchase price that was mostly paid at closing on February 1, 2021, for the remaining 50% ownership interest in CIH. In accordance with ASC Topic 805-10-25-10, we remeasured our previously held 50% ownership interest in CIH at its acquisition date fair value. As of the acquisition date, the fair value of our previously held 50% ownership interest totaling $1.7 million represented its carrying amount, and therefore, no gain or loss was recognized in earnings for the remeasurement of our previously held 50% ownership interest.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i w:val="1"/>
          <w:iCs w:val="1"/>
          <w:color w:val="auto"/>
        </w:rPr>
        <w:t>Assets Acquired and Liabilities Assumed</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the final allocation of the consideration transferred to the assets acquired and liabilities assumed based on their fair values: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tcPr>
          <w:p>
            <w:pPr>
              <w:jc w:val="right"/>
              <w:ind w:right="930"/>
              <w:spacing w:after="0"/>
              <w:rPr>
                <w:sz w:val="20"/>
                <w:szCs w:val="20"/>
                <w:color w:val="auto"/>
              </w:rPr>
            </w:pPr>
            <w:r>
              <w:rPr>
                <w:rFonts w:ascii="Arial" w:cs="Arial" w:eastAsia="Arial" w:hAnsi="Arial"/>
                <w:sz w:val="18"/>
                <w:szCs w:val="18"/>
                <w:color w:val="auto"/>
              </w:rPr>
              <w:t>Fair Value</w:t>
            </w:r>
          </w:p>
        </w:tc>
      </w:tr>
      <w:tr>
        <w:trPr>
          <w:trHeight w:val="223"/>
        </w:trPr>
        <w:tc>
          <w:tcPr>
            <w:tcW w:w="8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169</w:t>
            </w: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2,544</w:t>
            </w:r>
          </w:p>
        </w:tc>
      </w:tr>
      <w:tr>
        <w:trPr>
          <w:trHeight w:val="230"/>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 and leasehold improvements</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846</w:t>
            </w: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8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2,678</w:t>
            </w:r>
          </w:p>
        </w:tc>
      </w:tr>
      <w:tr>
        <w:trPr>
          <w:trHeight w:val="20"/>
        </w:trPr>
        <w:tc>
          <w:tcPr>
            <w:tcW w:w="8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Equipment and leasehold improvements are being depreciated on a straight-line basis over their remaining useful lives ranging from 1 to 10 years.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on Bargain Purchase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Concurrent with our acquisition of the remaining 50% ownership interest in CIH, our former joint venture partner sold its mattress business to a third party. Our acquisition of the remaining 50% ownership interest in CIH was undertaken due to this sale and the terms negotiated in connection therewith. As a result, the $3.5 million fair value of the identifiable assets acquired and liabilities assumed exceeded the consideration transferred of $2.7 million. Consequently, in accordance with ASC Topic 825-30-25-4, we (i) reassessed the recognition and measurement of the assets acquired, liabilities assumed, and previously held ownership interest; (ii) gained an understanding of why there was a bargain purchase; and (iii) reviewed the rebate and supply agreements that were executed concurrent with the Share Purchase Agreement. As part of our review of the rebate and supply agreements, we verified that the terms of these agreements were consistent with fair market terms and were considered separate transactions and not considered part of the business combination in accordance with ASC Topic 805-20-25-21. Accordingly, this acquisition was accounted for as a bargain purchase and, as a result, we recognized a gain of $819,000 as of the acquisition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Supply and Rebate Agreements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connection with the Share Purchase Agreement, we entered into supply and rebate agreements with an affiliated company of our former joint venture partner to secure plant capacity utilization and preserve sales channels of certain mattress fabric products. The supply and rebate agreements are effective as of the acquisition date and are based on future sales orders consistent with current market conditions.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transactions associated with the supply and rebate agreements are accounted for in accordance with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 with Customers</w:t>
      </w:r>
      <w:r>
        <w:rPr>
          <w:rFonts w:ascii="Arial" w:cs="Arial" w:eastAsia="Arial" w:hAnsi="Arial"/>
          <w:sz w:val="18"/>
          <w:szCs w:val="18"/>
          <w:color w:val="auto"/>
        </w:rPr>
        <w:t>. During the three-month and six-month periods ending October 31, 2021, shipments pursuant to the supply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were $398,000 and $853,000, respectively. Pursuant to the rebate agreement, charges of $15,000 and $37,000 were included in net sales in the Consolidated Statements of Net Income (Loss) for the three-month and six-month periods ended October 31, 2021.</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 Forma Financial Information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unaudited pro forma consolidated results of operations for the three-month and six-month periods ending October 31, 2021, and November 1, 2020, have been prepared as if this acquisition had occurred on May 4,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gridSpan w:val="2"/>
          </w:tcPr>
          <w:p>
            <w:pPr>
              <w:jc w:val="center"/>
              <w:ind w:right="107"/>
              <w:spacing w:after="0"/>
              <w:rPr>
                <w:sz w:val="20"/>
                <w:szCs w:val="20"/>
                <w:color w:val="auto"/>
              </w:rPr>
            </w:pPr>
            <w:r>
              <w:rPr>
                <w:rFonts w:ascii="Arial" w:cs="Arial" w:eastAsia="Arial" w:hAnsi="Arial"/>
                <w:sz w:val="18"/>
                <w:szCs w:val="18"/>
                <w:color w:val="auto"/>
                <w:w w:val="89"/>
              </w:rPr>
              <w:t>Three</w:t>
            </w:r>
          </w:p>
        </w:tc>
        <w:tc>
          <w:tcPr>
            <w:tcW w:w="1420" w:type="dxa"/>
            <w:vAlign w:val="bottom"/>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gridSpan w:val="2"/>
          </w:tcPr>
          <w:p>
            <w:pPr>
              <w:jc w:val="center"/>
              <w:ind w:right="127"/>
              <w:spacing w:after="0"/>
              <w:rPr>
                <w:sz w:val="20"/>
                <w:szCs w:val="20"/>
                <w:color w:val="auto"/>
              </w:rPr>
            </w:pPr>
            <w:r>
              <w:rPr>
                <w:rFonts w:ascii="Arial" w:cs="Arial" w:eastAsia="Arial" w:hAnsi="Arial"/>
                <w:sz w:val="18"/>
                <w:szCs w:val="18"/>
                <w:color w:val="auto"/>
                <w:w w:val="94"/>
              </w:rPr>
              <w:t>Months</w:t>
            </w:r>
          </w:p>
        </w:tc>
        <w:tc>
          <w:tcPr>
            <w:tcW w:w="142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right="107"/>
              <w:spacing w:after="0"/>
              <w:rPr>
                <w:sz w:val="20"/>
                <w:szCs w:val="20"/>
                <w:color w:val="auto"/>
              </w:rPr>
            </w:pPr>
            <w:r>
              <w:rPr>
                <w:rFonts w:ascii="Arial" w:cs="Arial" w:eastAsia="Arial" w:hAnsi="Arial"/>
                <w:sz w:val="18"/>
                <w:szCs w:val="18"/>
                <w:color w:val="auto"/>
                <w:w w:val="88"/>
              </w:rPr>
              <w:t>Ended</w:t>
            </w:r>
          </w:p>
        </w:tc>
        <w:tc>
          <w:tcPr>
            <w:tcW w:w="1420" w:type="dxa"/>
            <w:vAlign w:val="bottom"/>
            <w:tcBorders>
              <w:bottom w:val="single" w:sz="8" w:color="auto"/>
            </w:tcBorders>
          </w:tcPr>
          <w:p>
            <w:pPr>
              <w:spacing w:after="0"/>
              <w:rPr>
                <w:sz w:val="20"/>
                <w:szCs w:val="20"/>
                <w:color w:val="auto"/>
              </w:rPr>
            </w:pPr>
          </w:p>
        </w:tc>
      </w:tr>
      <w:tr>
        <w:trPr>
          <w:trHeight w:val="209"/>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w w:val="99"/>
              </w:rPr>
              <w:t>October 31,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color w:val="auto"/>
                <w:w w:val="97"/>
              </w:rPr>
              <w:t>November 1,</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(dollars in thousands, except per share data)</w:t>
            </w:r>
          </w:p>
        </w:tc>
        <w:tc>
          <w:tcPr>
            <w:tcW w:w="20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2020</w:t>
            </w:r>
          </w:p>
        </w:tc>
      </w:tr>
      <w:tr>
        <w:trPr>
          <w:trHeight w:val="223"/>
        </w:trPr>
        <w:tc>
          <w:tcPr>
            <w:tcW w:w="7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74,561</w:t>
            </w:r>
          </w:p>
        </w:tc>
        <w:tc>
          <w:tcPr>
            <w:tcW w:w="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77,383</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1,640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4,718</w:t>
            </w:r>
          </w:p>
        </w:tc>
      </w:tr>
      <w:tr>
        <w:trPr>
          <w:trHeight w:val="229"/>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851</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2,484</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7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0.20</w:t>
            </w:r>
          </w:p>
        </w:tc>
      </w:tr>
      <w:tr>
        <w:trPr>
          <w:trHeight w:val="229"/>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0.07</w:t>
            </w:r>
          </w:p>
        </w:tc>
        <w:tc>
          <w:tcPr>
            <w:tcW w:w="7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0.20</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gridSpan w:val="2"/>
          </w:tcPr>
          <w:p>
            <w:pPr>
              <w:jc w:val="center"/>
              <w:ind w:right="127"/>
              <w:spacing w:after="0"/>
              <w:rPr>
                <w:sz w:val="20"/>
                <w:szCs w:val="20"/>
                <w:color w:val="auto"/>
              </w:rPr>
            </w:pPr>
            <w:r>
              <w:rPr>
                <w:rFonts w:ascii="Arial" w:cs="Arial" w:eastAsia="Arial" w:hAnsi="Arial"/>
                <w:sz w:val="18"/>
                <w:szCs w:val="18"/>
                <w:color w:val="auto"/>
                <w:w w:val="95"/>
              </w:rPr>
              <w:t>Six</w:t>
            </w:r>
          </w:p>
        </w:tc>
        <w:tc>
          <w:tcPr>
            <w:tcW w:w="1420" w:type="dxa"/>
            <w:vAlign w:val="bottom"/>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gridSpan w:val="2"/>
          </w:tcPr>
          <w:p>
            <w:pPr>
              <w:jc w:val="center"/>
              <w:ind w:right="127"/>
              <w:spacing w:after="0"/>
              <w:rPr>
                <w:sz w:val="20"/>
                <w:szCs w:val="20"/>
                <w:color w:val="auto"/>
              </w:rPr>
            </w:pPr>
            <w:r>
              <w:rPr>
                <w:rFonts w:ascii="Arial" w:cs="Arial" w:eastAsia="Arial" w:hAnsi="Arial"/>
                <w:sz w:val="18"/>
                <w:szCs w:val="18"/>
                <w:color w:val="auto"/>
                <w:w w:val="94"/>
              </w:rPr>
              <w:t>Months</w:t>
            </w:r>
          </w:p>
        </w:tc>
        <w:tc>
          <w:tcPr>
            <w:tcW w:w="142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right="107"/>
              <w:spacing w:after="0"/>
              <w:rPr>
                <w:sz w:val="20"/>
                <w:szCs w:val="20"/>
                <w:color w:val="auto"/>
              </w:rPr>
            </w:pPr>
            <w:r>
              <w:rPr>
                <w:rFonts w:ascii="Arial" w:cs="Arial" w:eastAsia="Arial" w:hAnsi="Arial"/>
                <w:sz w:val="18"/>
                <w:szCs w:val="18"/>
                <w:color w:val="auto"/>
                <w:w w:val="88"/>
              </w:rPr>
              <w:t>Ended</w:t>
            </w:r>
          </w:p>
        </w:tc>
        <w:tc>
          <w:tcPr>
            <w:tcW w:w="1420" w:type="dxa"/>
            <w:vAlign w:val="bottom"/>
            <w:tcBorders>
              <w:bottom w:val="single" w:sz="8" w:color="auto"/>
            </w:tcBorders>
          </w:tcPr>
          <w:p>
            <w:pPr>
              <w:spacing w:after="0"/>
              <w:rPr>
                <w:sz w:val="20"/>
                <w:szCs w:val="20"/>
                <w:color w:val="auto"/>
              </w:rPr>
            </w:pPr>
          </w:p>
        </w:tc>
      </w:tr>
      <w:tr>
        <w:trPr>
          <w:trHeight w:val="209"/>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w w:val="99"/>
              </w:rPr>
              <w:t>October 31,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color w:val="auto"/>
                <w:w w:val="97"/>
              </w:rPr>
              <w:t>November 1,</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(dollars in thousands, except per share data)</w:t>
            </w:r>
          </w:p>
        </w:tc>
        <w:tc>
          <w:tcPr>
            <w:tcW w:w="20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2020</w:t>
            </w:r>
          </w:p>
        </w:tc>
      </w:tr>
      <w:tr>
        <w:trPr>
          <w:trHeight w:val="223"/>
        </w:trPr>
        <w:tc>
          <w:tcPr>
            <w:tcW w:w="7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157,608</w:t>
            </w:r>
          </w:p>
        </w:tc>
        <w:tc>
          <w:tcPr>
            <w:tcW w:w="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142,145</w:t>
            </w:r>
          </w:p>
        </w:tc>
      </w:tr>
      <w:tr>
        <w:trPr>
          <w:trHeight w:val="229"/>
        </w:trPr>
        <w:tc>
          <w:tcPr>
            <w:tcW w:w="74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4,958</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6,735</w:t>
            </w:r>
          </w:p>
        </w:tc>
      </w:tr>
      <w:tr>
        <w:trPr>
          <w:trHeight w:val="229"/>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3,101</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Net income (loss) per share - 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7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 -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0.25</w:t>
            </w:r>
          </w:p>
        </w:tc>
        <w:tc>
          <w:tcPr>
            <w:tcW w:w="7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r>
    </w:tbl>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unaudited pro forma information is presented for informational purposes only and is not necessarily indicative of the results of operations that would have been achieved had the acquisition been consummated as of that time, nor is it intended to be a projection of future results.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Method of Accounting</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accordance with the equity method of accounting, we reported our previous 50% proportionate share of net income of CIH as a separate line titled “income from investment in unconsolidated joint venture” in the accompanying Consolidated Statements of Net Income (Loss). Our 50% proportionate share of the net income of the unconsolidated joint venture was $167,000 for the six-month period ending November 1, 2020.</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assets, liabilities, and members’ equity for our equity method investment in CIH:</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40" w:type="dxa"/>
            <w:vAlign w:val="bottom"/>
          </w:tcPr>
          <w:p>
            <w:pPr>
              <w:jc w:val="right"/>
              <w:ind w:right="1130"/>
              <w:spacing w:after="0"/>
              <w:rPr>
                <w:sz w:val="20"/>
                <w:szCs w:val="20"/>
                <w:color w:val="auto"/>
              </w:rPr>
            </w:pPr>
            <w:r>
              <w:rPr>
                <w:rFonts w:ascii="Arial" w:cs="Arial" w:eastAsia="Arial" w:hAnsi="Arial"/>
                <w:sz w:val="18"/>
                <w:szCs w:val="18"/>
                <w:i w:val="1"/>
                <w:iCs w:val="1"/>
                <w:color w:val="auto"/>
              </w:rPr>
              <w:t>November 1,</w:t>
            </w:r>
          </w:p>
        </w:tc>
      </w:tr>
      <w:tr>
        <w:trPr>
          <w:trHeight w:val="230"/>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68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i w:val="1"/>
                <w:iCs w:val="1"/>
                <w:color w:val="auto"/>
              </w:rPr>
              <w:t>2020</w:t>
            </w: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2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3,951</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30"/>
              <w:spacing w:after="0"/>
              <w:rPr>
                <w:sz w:val="20"/>
                <w:szCs w:val="20"/>
                <w:color w:val="auto"/>
              </w:rPr>
            </w:pPr>
            <w:r>
              <w:rPr>
                <w:rFonts w:ascii="Arial" w:cs="Arial" w:eastAsia="Arial" w:hAnsi="Arial"/>
                <w:sz w:val="18"/>
                <w:szCs w:val="18"/>
                <w:color w:val="auto"/>
              </w:rPr>
              <w:t>232</w:t>
            </w:r>
          </w:p>
        </w:tc>
      </w:tr>
      <w:tr>
        <w:trPr>
          <w:trHeight w:val="22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members’ equity</w:t>
            </w:r>
          </w:p>
        </w:tc>
        <w:tc>
          <w:tcPr>
            <w:tcW w:w="126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2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3,719</w:t>
            </w:r>
          </w:p>
        </w:tc>
      </w:tr>
      <w:tr>
        <w:trPr>
          <w:trHeight w:val="20"/>
        </w:trPr>
        <w:tc>
          <w:tcPr>
            <w:tcW w:w="73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November 1, 2020, our investment in unconsolidated joint venture totaled $1.9 million, which represents our 50% ownership interest in our investment in CIH.</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Allowance for Doubtful Accounts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in the allowance for doubtful accounts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3"/>
          </w:tcPr>
          <w:p>
            <w:pPr>
              <w:jc w:val="right"/>
              <w:ind w:right="1139"/>
              <w:spacing w:after="0"/>
              <w:rPr>
                <w:sz w:val="20"/>
                <w:szCs w:val="20"/>
                <w:color w:val="auto"/>
              </w:rPr>
            </w:pPr>
            <w:r>
              <w:rPr>
                <w:rFonts w:ascii="Arial" w:cs="Arial" w:eastAsia="Arial" w:hAnsi="Arial"/>
                <w:sz w:val="16"/>
                <w:szCs w:val="16"/>
                <w:color w:val="auto"/>
              </w:rPr>
              <w:t>Six Months Ended</w:t>
            </w: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October 31, 2021</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November 1, 2020</w:t>
            </w: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591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Provision for bad debts</w:t>
            </w:r>
          </w:p>
        </w:tc>
        <w:tc>
          <w:tcPr>
            <w:tcW w:w="16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123</w:t>
            </w:r>
          </w:p>
        </w:tc>
      </w:tr>
      <w:tr>
        <w:trPr>
          <w:trHeight w:val="216"/>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Write-offs, net of recoveries</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9"/>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595</w:t>
            </w:r>
          </w:p>
        </w:tc>
      </w:tr>
    </w:tbl>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During the six-month periods ended October 31, 2021, and November 1, 2020,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(i.e., COVID-19). After our risk assessment was completed, we assigned credit grades to our customers, which in turn, were used to determine our allowance for doubtful accounts totaling $534,000 and $595,000 as of October 31, 2021, and November 1,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Revenue from Contracts with Customers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Nature of Performance Obligations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Window Products LLC (“Read”), which provides window treatments and sourcing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0"/>
          <w:szCs w:val="20"/>
          <w:color w:val="auto"/>
        </w:rPr>
        <w:t>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primary performance obligations include the sale of mattress fabrics and upholstery fabrics, as well as the performance of customized fabrication and installation services of our own products associated with window treatments.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Assets &amp; Liabilities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15 - 60 days. For a limited time, extended terms were granted to certain customers in response to the challenging business conditions resulting from the COVID-19 global pandemic. Our customary terms, as well as any limited extended terms, are common within the industries in which we operate and are not considered financing arrangements. There were no contract assets recognized as of October 31, 2021, November 1, 2020, and May 2, 2021.</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associated with deferred revenue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360" w:type="dxa"/>
            <w:vAlign w:val="bottom"/>
            <w:gridSpan w:val="3"/>
          </w:tcPr>
          <w:p>
            <w:pPr>
              <w:jc w:val="right"/>
              <w:ind w:right="1159"/>
              <w:spacing w:after="0"/>
              <w:rPr>
                <w:sz w:val="20"/>
                <w:szCs w:val="20"/>
                <w:color w:val="auto"/>
              </w:rPr>
            </w:pPr>
            <w:r>
              <w:rPr>
                <w:rFonts w:ascii="Arial" w:cs="Arial" w:eastAsia="Arial" w:hAnsi="Arial"/>
                <w:sz w:val="16"/>
                <w:szCs w:val="16"/>
                <w:color w:val="auto"/>
              </w:rPr>
              <w:t>Six months ended</w:t>
            </w:r>
          </w:p>
        </w:tc>
      </w:tr>
      <w:tr>
        <w:trPr>
          <w:trHeight w:val="219"/>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October 31, 2021</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November 1, 2020</w:t>
            </w:r>
          </w:p>
        </w:tc>
      </w:tr>
      <w:tr>
        <w:trPr>
          <w:trHeight w:val="213"/>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2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540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502</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Revenue recognized on contract liabilities</w:t>
            </w:r>
          </w:p>
        </w:tc>
        <w:tc>
          <w:tcPr>
            <w:tcW w:w="246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(1,445)</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(1,197)</w:t>
            </w:r>
          </w:p>
        </w:tc>
      </w:tr>
      <w:tr>
        <w:trPr>
          <w:trHeight w:val="216"/>
        </w:trPr>
        <w:tc>
          <w:tcPr>
            <w:tcW w:w="5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Payments received for services not yet rendered</w:t>
            </w:r>
          </w:p>
        </w:tc>
        <w:tc>
          <w:tcPr>
            <w:tcW w:w="24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1,584</w:t>
            </w: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1,070</w:t>
            </w:r>
          </w:p>
        </w:tc>
      </w:tr>
      <w:tr>
        <w:trPr>
          <w:trHeight w:val="209"/>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balance</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Disaggregation of Revenue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color w:val="auto"/>
                <w:w w:val="91"/>
              </w:rPr>
              <w:t>Mattress</w:t>
            </w:r>
          </w:p>
        </w:tc>
        <w:tc>
          <w:tcPr>
            <w:tcW w:w="50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Fabrics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40,883</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31,415</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72,298</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2,263</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2,263</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40,883</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33,678</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74,561</w:t>
            </w:r>
          </w:p>
        </w:tc>
      </w:tr>
    </w:tbl>
    <w:p>
      <w:pPr>
        <w:spacing w:after="0" w:line="3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six-month period ending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83,941</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69,705</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153,646</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3,962</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3,962</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83,941</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73,667</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157,608</w:t>
            </w:r>
          </w:p>
        </w:tc>
      </w:tr>
    </w:tbl>
    <w:p>
      <w:pPr>
        <w:spacing w:after="0" w:line="3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40,030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34,666</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74,696</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2,155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2,155</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40,030</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36,821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76,851</w:t>
            </w: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six-month period ending November 1,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76,133</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60,727</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136,860</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4,455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4,455</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76,133</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65,182</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141,315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Inventories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inventories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October 31,</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98"/>
              </w:rPr>
              <w:t>November 1,</w:t>
            </w: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May 2,</w:t>
            </w:r>
          </w:p>
        </w:tc>
      </w:tr>
      <w:tr>
        <w:trPr>
          <w:trHeight w:val="209"/>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r>
      <w:tr>
        <w:trPr>
          <w:trHeight w:val="212"/>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10,626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8,594</w:t>
            </w:r>
          </w:p>
        </w:tc>
        <w:tc>
          <w:tcPr>
            <w:tcW w:w="4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7,742</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Work-in-process</w:t>
            </w:r>
          </w:p>
        </w:tc>
        <w:tc>
          <w:tcPr>
            <w:tcW w:w="27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4,480</w:t>
            </w:r>
          </w:p>
        </w:tc>
        <w:tc>
          <w:tcPr>
            <w:tcW w:w="2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3,056</w:t>
            </w:r>
          </w:p>
        </w:tc>
        <w:tc>
          <w:tcPr>
            <w:tcW w:w="4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3,156</w:t>
            </w:r>
          </w:p>
        </w:tc>
      </w:tr>
      <w:tr>
        <w:trPr>
          <w:trHeight w:val="216"/>
        </w:trPr>
        <w:tc>
          <w:tcPr>
            <w:tcW w:w="4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27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48,675</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36,076</w:t>
            </w: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45,019</w:t>
            </w:r>
          </w:p>
        </w:tc>
      </w:tr>
      <w:tr>
        <w:trPr>
          <w:trHeight w:val="209"/>
        </w:trPr>
        <w:tc>
          <w:tcPr>
            <w:tcW w:w="40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63,781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47,726</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55,917</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intangible assets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78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October 31, 2021</w:t>
            </w:r>
          </w:p>
        </w:tc>
        <w:tc>
          <w:tcPr>
            <w:tcW w:w="15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6"/>
                <w:szCs w:val="16"/>
                <w:color w:val="auto"/>
              </w:rPr>
              <w:t>November 1, 2020</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May 2, 2021</w:t>
            </w:r>
          </w:p>
        </w:tc>
      </w:tr>
      <w:tr>
        <w:trPr>
          <w:trHeight w:val="21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Tradename</w:t>
            </w:r>
          </w:p>
        </w:tc>
        <w:tc>
          <w:tcPr>
            <w:tcW w:w="29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Customer relationships, net</w:t>
            </w:r>
          </w:p>
        </w:tc>
        <w:tc>
          <w:tcPr>
            <w:tcW w:w="29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1,787</w:t>
            </w:r>
          </w:p>
        </w:tc>
        <w:tc>
          <w:tcPr>
            <w:tcW w:w="6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2,087</w:t>
            </w:r>
          </w:p>
        </w:tc>
        <w:tc>
          <w:tcPr>
            <w:tcW w:w="30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1,937</w:t>
            </w:r>
          </w:p>
        </w:tc>
      </w:tr>
      <w:tr>
        <w:trPr>
          <w:trHeight w:val="216"/>
        </w:trPr>
        <w:tc>
          <w:tcPr>
            <w:tcW w:w="4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Non-compete agreement, net</w:t>
            </w:r>
          </w:p>
        </w:tc>
        <w:tc>
          <w:tcPr>
            <w:tcW w:w="29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489</w:t>
            </w:r>
          </w:p>
        </w:tc>
        <w:tc>
          <w:tcPr>
            <w:tcW w:w="6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565</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527</w:t>
            </w:r>
          </w:p>
        </w:tc>
      </w:tr>
      <w:tr>
        <w:trPr>
          <w:trHeight w:val="209"/>
        </w:trPr>
        <w:tc>
          <w:tcPr>
            <w:tcW w:w="4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2,816</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3,192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3,004</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Tradename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tradename totaling $540,000 as of October 31, 2021, pertained to Read, a separate reporting unit within the upholstery fabrics segment. Read’s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October 31, 2021, no indicators of impairment existed and therefore, no asset impairment charges associated with Read’s tradename were recorded through the second quarter of fiscal 2022.</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59"/>
              <w:spacing w:after="0"/>
              <w:rPr>
                <w:sz w:val="20"/>
                <w:szCs w:val="20"/>
                <w:color w:val="auto"/>
              </w:rPr>
            </w:pPr>
            <w:r>
              <w:rPr>
                <w:rFonts w:ascii="Arial" w:cs="Arial" w:eastAsia="Arial" w:hAnsi="Arial"/>
                <w:sz w:val="16"/>
                <w:szCs w:val="16"/>
                <w:color w:val="auto"/>
              </w:rPr>
              <w:t>Six months ended</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October 31, 2021</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November 1, 2020</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1,937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2,238</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expense</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10"/>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1,787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2,087</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customer relationships was $3.1 million as of October 31, 2021, November 1, 2020, and May 2, 2021, respectively. Accumulated amortization for these customer relationships was $1.3 million, $1.0 million, and $1.2 million as of October 31, 2021, November 1, 2020, and May 2, 2021, respectively.</w:t>
      </w:r>
    </w:p>
    <w:p>
      <w:pPr>
        <w:spacing w:after="0" w:line="14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amortization expense for the next five fiscal years and thereafter follows: FY 2022 - $151,000; FY 2023 - $301,000; FY 2024 - $301,000; FY 2025 - $301,000; FY 2026 - $301,000 and thereafter - $432,000.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our customer relationships was 6.2 as of October 31,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i w:val="1"/>
          <w:iCs w:val="1"/>
          <w:color w:val="auto"/>
        </w:rPr>
        <w:t>Non-Compete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59"/>
              <w:spacing w:after="0"/>
              <w:rPr>
                <w:sz w:val="20"/>
                <w:szCs w:val="20"/>
                <w:color w:val="auto"/>
              </w:rPr>
            </w:pPr>
            <w:r>
              <w:rPr>
                <w:rFonts w:ascii="Arial" w:cs="Arial" w:eastAsia="Arial" w:hAnsi="Arial"/>
                <w:sz w:val="16"/>
                <w:szCs w:val="16"/>
                <w:color w:val="auto"/>
              </w:rPr>
              <w:t>Six months ended</w:t>
            </w:r>
          </w:p>
        </w:tc>
      </w:tr>
      <w:tr>
        <w:trPr>
          <w:trHeight w:val="209"/>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October 31, 2021</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November 1, 2020</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527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602</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expense</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489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565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Our non-compete agreement is amortized on a straight-line basis over the fifteen-year life of the agreement.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non-compete agreement was $2.0 million as of October 31, 2021, November 1, 2020, and May 2, 2021, respectively. Accumulated amortization for our non-compete agreement was $1.5 million as of October 31, 2021, November 1, 2020, and May 2, 2021, respectively.</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amortization expense for the next five years and thereafter follows: FY 2022 - $37,000; FY 2023 - $76,000; FY 2024 - $76,000; FY 2025 - $76,000; FY 2026 - $76,000, and thereafter - $148,000.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the non-compete agreement was 6.5 years as of October 31, 2021.</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accrued expenses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8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0"/>
              </w:rPr>
              <w:t>October 31, 2021</w:t>
            </w:r>
          </w:p>
        </w:tc>
        <w:tc>
          <w:tcPr>
            <w:tcW w:w="158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November 1, 2020</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99"/>
              </w:rPr>
              <w:t>May 2, 2021</w:t>
            </w:r>
          </w:p>
        </w:tc>
      </w:tr>
      <w:tr>
        <w:trPr>
          <w:trHeight w:val="21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Compensation, commissions and related benefits</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5,986</w:t>
            </w:r>
          </w:p>
        </w:tc>
        <w:tc>
          <w:tcPr>
            <w:tcW w:w="6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7,144</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9,816</w:t>
            </w:r>
          </w:p>
        </w:tc>
      </w:tr>
      <w:tr>
        <w:trPr>
          <w:trHeight w:val="213"/>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accrued expenses</w:t>
            </w:r>
          </w:p>
        </w:tc>
        <w:tc>
          <w:tcPr>
            <w:tcW w:w="1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5,033</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4,540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5,023</w:t>
            </w:r>
          </w:p>
        </w:tc>
      </w:tr>
      <w:tr>
        <w:trPr>
          <w:trHeight w:val="209"/>
        </w:trPr>
        <w:tc>
          <w:tcPr>
            <w:tcW w:w="492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11,019</w:t>
            </w:r>
          </w:p>
        </w:tc>
        <w:tc>
          <w:tcPr>
            <w:tcW w:w="6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11,684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14,839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Lines of Credit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Agreement – United States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Credit Agreement (“Credit Agreement”) with Wells Fargo Bank, N.A. (“Wells Fargo”) provides a revolving loan commitment of $30 million, is set to expire on August 15, 2022, and allows us to issue letters of credit not to exceed $1 million.</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Interest is charged at a rate (applicable interest rate of 1.74%, 1.74%, and 1.71% as of October 31, 2021, November 1, 2020, and May 2, 2021, respectively) calculated using a variable spread over LIBOR based on our ratio of debt to EBITDA. Outstanding borrowings are secured by a pledge of 65% of the common stock of Culp International Holdings Ltd. (our subsidiary located in the Cayman Islands).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October 31, 2021, November 1, 2020, and May 2, 2021, there were $275,000, $250,000, and $275,000, respectively, in outstanding letters of credit provided by the Credit Agreement. As of October 31, 2021, we had $725,000 remaining for the issuance of additional letters of credit.</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were no borrowings outstanding under the Credit Agreement as of October 31, 2021, November 1, 2020, and May 2, 2021,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Agreements – China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Denominated in Chinese Yuan Renminbi (“RMB”)</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an unsecured credit agreement denominated in RMB with a bank located in China that provides for a line of credit of up to 40 million RMB ($6.3 million USD as of October 31, 2021). This agreement has an interest rate determined by the Chinese government at the time of borrowing. and expired on December 1, 2021.</w:t>
      </w:r>
    </w:p>
    <w:p>
      <w:pPr>
        <w:spacing w:after="0" w:line="14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November 15, 2021, we renewed this agreement, which renewal maintains our borrowing capacity of 40 million RMB and extends the expiration date to November 15, 2022.</w:t>
      </w:r>
    </w:p>
    <w:p>
      <w:pPr>
        <w:spacing w:after="0" w:line="15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There were no borrowings outstanding under this agreement as of October 31, 2021, November 1, 2020, and May 2, 2021,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Denominated in United States Dollar (“USD”)</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May 2, 2021, we had an unsecured credit agreement denominated in USD with another bank located in China that provided for a line of credit up to $2 million USD and was set to expire on July 7, 2021. On August 30, 2021, we renewed this agreement, which maintains our borrowing capacity of $2.0 million and extends the expiration date to August 30, 2022. The interest rate regarding this agreement is determined by the Chinese government at the time of borrowing.</w:t>
      </w:r>
    </w:p>
    <w:p>
      <w:pPr>
        <w:spacing w:after="0" w:line="151" w:lineRule="exact"/>
        <w:rPr>
          <w:sz w:val="20"/>
          <w:szCs w:val="20"/>
          <w:color w:val="auto"/>
        </w:rPr>
      </w:pPr>
    </w:p>
    <w:p>
      <w:pPr>
        <w:ind w:right="660"/>
        <w:spacing w:after="0" w:line="429" w:lineRule="auto"/>
        <w:rPr>
          <w:sz w:val="20"/>
          <w:szCs w:val="20"/>
          <w:color w:val="auto"/>
        </w:rPr>
      </w:pPr>
      <w:r>
        <w:rPr>
          <w:rFonts w:ascii="Arial" w:cs="Arial" w:eastAsia="Arial" w:hAnsi="Arial"/>
          <w:sz w:val="20"/>
          <w:szCs w:val="20"/>
          <w:color w:val="auto"/>
        </w:rPr>
        <w:t xml:space="preserve">There were no borrowings outstanding under this agreement as October 31, 2021, November 1, 2020, and May 2, 2021, respectively. </w:t>
      </w:r>
      <w:r>
        <w:rPr>
          <w:rFonts w:ascii="Arial" w:cs="Arial" w:eastAsia="Arial" w:hAnsi="Arial"/>
          <w:sz w:val="20"/>
          <w:szCs w:val="20"/>
          <w:i w:val="1"/>
          <w:iCs w:val="1"/>
          <w:color w:val="auto"/>
        </w:rPr>
        <w:t>Overall</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October 31, 2021, we complied with our financial covenants.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No interest payments were made during the first half of fiscal 2022. Interest paid during the first half of fiscal 2021 was $60,000.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Fair Value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hierarchy consists of three broad levels as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Level 1 – Quoted market prices in active markets for identical assets or liabilities.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Level 2 – Inputs other than level 1 inputs that are either directly or indirectly observable, and</w:t>
      </w:r>
    </w:p>
    <w:p>
      <w:pPr>
        <w:spacing w:after="0" w:line="175"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Level 3 – Unobservable inputs developed using the company’s estimates and assumptions, which reflect those that market participants would use.</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Recurring Basis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information about assets measured at fair value on a recurring basis:</w:t>
      </w:r>
    </w:p>
    <w:p>
      <w:pPr>
        <w:spacing w:after="0" w:line="26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Fair value measurements as of October 31, 2021,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color w:val="auto"/>
                <w:w w:val="90"/>
              </w:rPr>
              <w:t>Quoted prices</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Significant</w:t>
            </w:r>
          </w:p>
        </w:tc>
        <w:tc>
          <w:tcPr>
            <w:tcW w:w="1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59"/>
              <w:spacing w:after="0"/>
              <w:rPr>
                <w:sz w:val="20"/>
                <w:szCs w:val="20"/>
                <w:color w:val="auto"/>
              </w:rPr>
            </w:pPr>
            <w:r>
              <w:rPr>
                <w:rFonts w:ascii="Arial" w:cs="Arial" w:eastAsia="Arial" w:hAnsi="Arial"/>
                <w:sz w:val="16"/>
                <w:szCs w:val="16"/>
                <w:color w:val="auto"/>
                <w:w w:val="95"/>
              </w:rPr>
              <w:t>in active</w:t>
            </w: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other</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w w:val="97"/>
              </w:rPr>
              <w:t>Significant</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2"/>
              </w:rPr>
              <w:t>markets for</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observable</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w w:val="91"/>
              </w:rPr>
              <w:t>unobservable</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9"/>
              </w:rPr>
              <w:t>identical assets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inputs</w:t>
            </w:r>
          </w:p>
        </w:tc>
        <w:tc>
          <w:tcPr>
            <w:tcW w:w="13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3"/>
              </w:rPr>
              <w:t>inputs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0"/>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96"/>
              </w:rPr>
              <w:t>Level 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Level 2</w:t>
            </w:r>
          </w:p>
        </w:tc>
        <w:tc>
          <w:tcPr>
            <w:tcW w:w="13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2"/>
              </w:rPr>
              <w:t>Level 3</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2"/>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U.S. Government Money Market Fund</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8,351</w:t>
            </w:r>
          </w:p>
        </w:tc>
        <w:tc>
          <w:tcPr>
            <w:tcW w:w="1260" w:type="dxa"/>
            <w:vAlign w:val="bottom"/>
          </w:tcPr>
          <w:p>
            <w:pPr>
              <w:jc w:val="center"/>
              <w:spacing w:after="0"/>
              <w:rPr>
                <w:sz w:val="20"/>
                <w:szCs w:val="20"/>
                <w:color w:val="auto"/>
              </w:rPr>
            </w:pPr>
            <w:r>
              <w:rPr>
                <w:rFonts w:ascii="Arial" w:cs="Arial" w:eastAsia="Arial" w:hAnsi="Arial"/>
                <w:sz w:val="16"/>
                <w:szCs w:val="16"/>
                <w:color w:val="auto"/>
              </w:rPr>
              <w:t>N/A</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8,351</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Bond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4,384</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4,384</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Inflation Protected Bond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2,975</w:t>
            </w:r>
          </w:p>
        </w:tc>
        <w:tc>
          <w:tcPr>
            <w:tcW w:w="1260" w:type="dxa"/>
            <w:vAlign w:val="bottom"/>
          </w:tcPr>
          <w:p>
            <w:pPr>
              <w:jc w:val="center"/>
              <w:spacing w:after="0"/>
              <w:rPr>
                <w:sz w:val="20"/>
                <w:szCs w:val="20"/>
                <w:color w:val="auto"/>
              </w:rPr>
            </w:pPr>
            <w:r>
              <w:rPr>
                <w:rFonts w:ascii="Arial" w:cs="Arial" w:eastAsia="Arial" w:hAnsi="Arial"/>
                <w:sz w:val="16"/>
                <w:szCs w:val="16"/>
                <w:color w:val="auto"/>
              </w:rPr>
              <w:t>N/A</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2,975</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Mortgage Securities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1,118</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1,118</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Large Cap Equity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694</w:t>
            </w:r>
          </w:p>
        </w:tc>
        <w:tc>
          <w:tcPr>
            <w:tcW w:w="1260" w:type="dxa"/>
            <w:vAlign w:val="bottom"/>
          </w:tcPr>
          <w:p>
            <w:pPr>
              <w:jc w:val="center"/>
              <w:spacing w:after="0"/>
              <w:rPr>
                <w:sz w:val="20"/>
                <w:szCs w:val="20"/>
                <w:color w:val="auto"/>
              </w:rPr>
            </w:pPr>
            <w:r>
              <w:rPr>
                <w:rFonts w:ascii="Arial" w:cs="Arial" w:eastAsia="Arial" w:hAnsi="Arial"/>
                <w:sz w:val="16"/>
                <w:szCs w:val="16"/>
                <w:color w:val="auto"/>
              </w:rPr>
              <w:t>N/A</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694</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Growth Allocation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449</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449</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Preferred Securities Mutual Fund</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282</w:t>
            </w:r>
          </w:p>
        </w:tc>
        <w:tc>
          <w:tcPr>
            <w:tcW w:w="1260" w:type="dxa"/>
            <w:vAlign w:val="bottom"/>
          </w:tcPr>
          <w:p>
            <w:pPr>
              <w:jc w:val="center"/>
              <w:spacing w:after="0"/>
              <w:rPr>
                <w:sz w:val="20"/>
                <w:szCs w:val="20"/>
                <w:color w:val="auto"/>
              </w:rPr>
            </w:pPr>
            <w:r>
              <w:rPr>
                <w:rFonts w:ascii="Arial" w:cs="Arial" w:eastAsia="Arial" w:hAnsi="Arial"/>
                <w:sz w:val="16"/>
                <w:szCs w:val="16"/>
                <w:color w:val="auto"/>
              </w:rPr>
              <w:t>N/A</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282</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U.S. Event Driven Equity Mutual Fund</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203</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203</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Moderate Allocation Mutual Fund</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88</w:t>
            </w:r>
          </w:p>
        </w:tc>
        <w:tc>
          <w:tcPr>
            <w:tcW w:w="1260" w:type="dxa"/>
            <w:vAlign w:val="bottom"/>
          </w:tcPr>
          <w:p>
            <w:pPr>
              <w:jc w:val="center"/>
              <w:spacing w:after="0"/>
              <w:rPr>
                <w:sz w:val="20"/>
                <w:szCs w:val="20"/>
                <w:color w:val="auto"/>
              </w:rPr>
            </w:pPr>
            <w:r>
              <w:rPr>
                <w:rFonts w:ascii="Arial" w:cs="Arial" w:eastAsia="Arial" w:hAnsi="Arial"/>
                <w:sz w:val="16"/>
                <w:szCs w:val="16"/>
                <w:color w:val="auto"/>
              </w:rPr>
              <w:t>N/A</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88</w:t>
            </w:r>
          </w:p>
        </w:tc>
      </w:tr>
      <w:tr>
        <w:trPr>
          <w:trHeight w:val="216"/>
        </w:trPr>
        <w:tc>
          <w:tcPr>
            <w:tcW w:w="4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201</w:t>
            </w:r>
          </w:p>
        </w:tc>
        <w:tc>
          <w:tcPr>
            <w:tcW w:w="12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auto"/>
            </w:tcBorders>
            <w:shd w:val="clear" w:color="auto" w:fill="CFF0FC"/>
          </w:tcPr>
          <w:p>
            <w:pPr>
              <w:jc w:val="center"/>
              <w:ind w:left="59"/>
              <w:spacing w:after="0"/>
              <w:rPr>
                <w:sz w:val="20"/>
                <w:szCs w:val="20"/>
                <w:color w:val="auto"/>
              </w:rPr>
            </w:pPr>
            <w:r>
              <w:rPr>
                <w:rFonts w:ascii="Arial" w:cs="Arial" w:eastAsia="Arial" w:hAnsi="Arial"/>
                <w:sz w:val="16"/>
                <w:szCs w:val="16"/>
                <w:color w:val="auto"/>
              </w:rPr>
              <w:t>N/A</w:t>
            </w: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201</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 w:name="page16"/>
    <w:bookmarkEnd w:id="15"/>
    <w:p>
      <w:pPr>
        <w:ind w:left="6620"/>
        <w:spacing w:after="0"/>
        <w:rPr>
          <w:sz w:val="20"/>
          <w:szCs w:val="20"/>
          <w:color w:val="auto"/>
        </w:rPr>
      </w:pPr>
      <w:r>
        <w:rPr>
          <w:rFonts w:ascii="Arial" w:cs="Arial" w:eastAsia="Arial" w:hAnsi="Arial"/>
          <w:sz w:val="16"/>
          <w:szCs w:val="16"/>
          <w:color w:val="auto"/>
        </w:rPr>
        <w:t>Fair value measurements as of November 1, 2020,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color w:val="auto"/>
                <w:w w:val="90"/>
              </w:rPr>
              <w:t>Quoted prices</w:t>
            </w:r>
          </w:p>
        </w:tc>
        <w:tc>
          <w:tcPr>
            <w:tcW w:w="140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color w:val="auto"/>
                <w:w w:val="94"/>
              </w:rPr>
              <w:t>Significant</w:t>
            </w:r>
          </w:p>
        </w:tc>
        <w:tc>
          <w:tcPr>
            <w:tcW w:w="1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59"/>
              <w:spacing w:after="0"/>
              <w:rPr>
                <w:sz w:val="20"/>
                <w:szCs w:val="20"/>
                <w:color w:val="auto"/>
              </w:rPr>
            </w:pPr>
            <w:r>
              <w:rPr>
                <w:rFonts w:ascii="Arial" w:cs="Arial" w:eastAsia="Arial" w:hAnsi="Arial"/>
                <w:sz w:val="16"/>
                <w:szCs w:val="16"/>
                <w:color w:val="auto"/>
                <w:w w:val="95"/>
              </w:rPr>
              <w:t>in active</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2"/>
              </w:rPr>
              <w:t>markets for</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1"/>
              </w:rPr>
              <w:t>unobservable</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9"/>
              </w:rPr>
              <w:t>identical assets</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09"/>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96"/>
              </w:rPr>
              <w:t>Level 1</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6"/>
              </w:rPr>
              <w:t>Level 2</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Level 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7,665</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7,665</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Bond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5,462</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5,462</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Growth Allocation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255</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255</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Mutual Fund</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73</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w:t>
            </w:r>
          </w:p>
        </w:tc>
      </w:tr>
      <w:tr>
        <w:trPr>
          <w:trHeight w:val="21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67</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N/A</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w:t>
            </w:r>
          </w:p>
        </w:tc>
      </w:tr>
      <w:tr>
        <w:trPr>
          <w:trHeight w:val="453"/>
        </w:trPr>
        <w:tc>
          <w:tcPr>
            <w:tcW w:w="4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color w:val="auto"/>
              </w:rPr>
              <w:t>Fair value measurements as of May 2, 2021, using:</w:t>
            </w:r>
          </w:p>
        </w:tc>
        <w:tc>
          <w:tcPr>
            <w:tcW w:w="1000" w:type="dxa"/>
            <w:vAlign w:val="bottom"/>
            <w:tcBorders>
              <w:bottom w:val="single" w:sz="8" w:color="auto"/>
            </w:tcBorders>
          </w:tcPr>
          <w:p>
            <w:pPr>
              <w:spacing w:after="0"/>
              <w:rPr>
                <w:sz w:val="24"/>
                <w:szCs w:val="24"/>
                <w:color w:val="auto"/>
              </w:rPr>
            </w:pPr>
          </w:p>
        </w:tc>
      </w:tr>
      <w:tr>
        <w:trPr>
          <w:trHeight w:val="207"/>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0"/>
              </w:rPr>
              <w:t>Quoted prices</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4"/>
              </w:rPr>
              <w:t>Significant</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59"/>
              <w:spacing w:after="0"/>
              <w:rPr>
                <w:sz w:val="20"/>
                <w:szCs w:val="20"/>
                <w:color w:val="auto"/>
              </w:rPr>
            </w:pPr>
            <w:r>
              <w:rPr>
                <w:rFonts w:ascii="Arial" w:cs="Arial" w:eastAsia="Arial" w:hAnsi="Arial"/>
                <w:sz w:val="16"/>
                <w:szCs w:val="16"/>
                <w:color w:val="auto"/>
                <w:w w:val="95"/>
              </w:rPr>
              <w:t>in active</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2"/>
              </w:rPr>
              <w:t>markets for</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1"/>
              </w:rPr>
              <w:t>unobservable</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9"/>
              </w:rPr>
              <w:t>identical assets</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09"/>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96"/>
              </w:rPr>
              <w:t>Level 1</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6"/>
              </w:rPr>
              <w:t>Level 2</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Level 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7,879</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7,879</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Bond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4,101</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4,101</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Inflation Protected Bond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722</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722</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Mortgage Securities Mutual Fund</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719</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719</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Growth Allocation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339</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339</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Mutual Fund</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86</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w:t>
            </w:r>
          </w:p>
        </w:tc>
      </w:tr>
      <w:tr>
        <w:trPr>
          <w:trHeight w:val="21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111</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N/A</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Investments – Available for Sale</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short-term investments classified as available for sale consisted of various types of bond and equity mutual funds and had an accumulated unrealized gain totaling $116,000 and $24,000 as of October 31, 2021 and May 2, 2021, respectively, and an unrealized loss totaling $29,000 as of November 1, 2020. Our short-term investments classified as available for sale were recorded at their fair values of $9.7 million, $5.5 million, and $5.5 million as of October 31, 2021, November 1, 2020, and May 2, 2021, respectively. As of October 31, 2021, November 1, 2020, and May 2, 2021, the fair value of our short-term investments classified as available for sale approximated their cost basis.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and Long-Term Investments - Held-To-Maturity</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investments classified as held-to-maturity consisted of investment grade U.S. corporate bonds, foreign bonds, and government bonds with remaining maturities of less than 4 years as of October 31, 2021. These investments were classified as held-to-maturity as we have the positive intent and ability to hold these investments until maturity. Our held-to-maturity investments were recorded as either current or noncurrent on our Consolidated Balance Sheets, based on the maturity date in relation to the respective reporting period, and were recorded at amortized cost.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October 31, 2021, November 1, 2020, and May 2, 2021, our held-to-maturity investments recorded at amortized cost totaled $9.9 million, $5.8 million, and $4.3 million, respectively. The fair value of our held-to-maturity investments as of October 31, 2021, November 1, 2020, and May 2, 2021, totaled $9.9 million, $5.8 million, and $4.3 million, respectively.</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bond investments were classified as level 2 within the fair value hierarchy as they were traded over the counter within a broker network and not on an active market. The fair value of our bond investments was determined based on a published source that provided an average bid price. The average bid price was based on various broker prices that were determined based on market conditions, interest rates, and the rating of the respective bond investment.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Current Expected Credit Loses (“CECL”)- Available for Sale and Held-To-Maturity Investments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October 31, 2021, November 1, 2020, and May 2, 2021, we did not record an allowance for credit losses related to our short-term available for sale or held-to-maturity investments, which are comprised of high-grade U.S. and foreign corporate bonds, U.S. Treasury bonds, and bond and equity mutual funds.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determined that our credit loss exposure was immaterial as we have experienced historically low unrealized losses and gains during past reporting periods. In addition, it is not our intention to sell, and it is not likely that we will be required to sell, our held-to-maturity investments before the recovery of their amortized cost basis.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6" w:name="page17"/>
    <w:bookmarkEnd w:id="16"/>
    <w:p>
      <w:pPr>
        <w:jc w:val="both"/>
        <w:spacing w:after="0" w:line="244" w:lineRule="auto"/>
        <w:rPr>
          <w:sz w:val="20"/>
          <w:szCs w:val="20"/>
          <w:color w:val="auto"/>
        </w:rPr>
      </w:pPr>
      <w:r>
        <w:rPr>
          <w:rFonts w:ascii="Arial" w:cs="Arial" w:eastAsia="Arial" w:hAnsi="Arial"/>
          <w:sz w:val="20"/>
          <w:szCs w:val="20"/>
          <w:color w:val="auto"/>
        </w:rPr>
        <w:t>As of October 31, 2021, we reported an accumulated unrealized gain of $116,000 associated with our short-term investments classified as available for sale. As mentioned above, it is not our intention to sell nor is it likely that we will be required to sell, our held-to-maturity investments before the recovery of their amortized cost basis. Accordingly, we did not record any credit loss expense during the six-month period ending October 31, 2021. In addition, we did not record any credit loss expense during the six-month period ending November 1, 2020.</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Investments - Rabbi Trust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rabbi trust for the participants of our deferred compensation plan (the “Plan”), that enables our participants to credit their contributions to various investment options of the Plan. The investments associated with the rabbi trust consist of a U.S. Government money market fund and various equity related mutual funds that are classified as available for sale.</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long-term investments associated with our rabbi trust are classified as available for sale and recorded at their fair values of $9.0 million, $8.1 million, and $8.4 million as of October 31, 2021, November 1, 2020, and May 2, 2021, respectively. The long-term investments associated with our rabbi trust had an accumulated unrealized gain of $169,000, $55,000, and $122,000 as of October 31, 2021, November 1, 2020, and May 2, 2021, respectively. The fair value of our long-term investments associated with our rabbi trust approximates their cost basis.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amount of our cash and cash equivalents, accounts receivable, other current assets, accounts payable, and accrued expenses approximate their fair value because of the short maturity of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Nonrecurring Basis – Fourth Quarter of Fiscal 2021</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three-month period ending May 2, 2021, we had assets and liabilities that were required to be measured at fair value on a nonrecurring basis that pertained to assets acquired and certain liabilities that were assumed in connection with the CIH business combination effective February 1, 2021. See Note 3 of the consolidated financial statements for further details regarding this business combination.</w:t>
      </w:r>
    </w:p>
    <w:p>
      <w:pPr>
        <w:spacing w:after="0" w:line="39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Fair value measurements on February 1, 2021,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center"/>
              <w:ind w:left="1299"/>
              <w:spacing w:after="0"/>
              <w:rPr>
                <w:sz w:val="20"/>
                <w:szCs w:val="20"/>
                <w:color w:val="auto"/>
              </w:rPr>
            </w:pPr>
            <w:r>
              <w:rPr>
                <w:rFonts w:ascii="Arial" w:cs="Arial" w:eastAsia="Arial" w:hAnsi="Arial"/>
                <w:sz w:val="16"/>
                <w:szCs w:val="16"/>
                <w:color w:val="auto"/>
                <w:w w:val="90"/>
              </w:rPr>
              <w:t>Quoted prices</w:t>
            </w: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7"/>
              </w:rPr>
              <w:t>Significant</w:t>
            </w:r>
          </w:p>
        </w:tc>
        <w:tc>
          <w:tcPr>
            <w:tcW w:w="1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960" w:type="dxa"/>
            <w:vAlign w:val="bottom"/>
          </w:tcPr>
          <w:p>
            <w:pPr>
              <w:jc w:val="center"/>
              <w:ind w:left="1299"/>
              <w:spacing w:after="0"/>
              <w:rPr>
                <w:sz w:val="20"/>
                <w:szCs w:val="20"/>
                <w:color w:val="auto"/>
              </w:rPr>
            </w:pPr>
            <w:r>
              <w:rPr>
                <w:rFonts w:ascii="Arial" w:cs="Arial" w:eastAsia="Arial" w:hAnsi="Arial"/>
                <w:sz w:val="16"/>
                <w:szCs w:val="16"/>
                <w:color w:val="auto"/>
                <w:w w:val="91"/>
              </w:rPr>
              <w:t>in active</w:t>
            </w: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87"/>
              </w:rPr>
              <w:t>other</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Significant</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960" w:type="dxa"/>
            <w:vAlign w:val="bottom"/>
          </w:tcPr>
          <w:p>
            <w:pPr>
              <w:jc w:val="center"/>
              <w:ind w:left="1299"/>
              <w:spacing w:after="0"/>
              <w:rPr>
                <w:sz w:val="20"/>
                <w:szCs w:val="20"/>
                <w:color w:val="auto"/>
              </w:rPr>
            </w:pPr>
            <w:r>
              <w:rPr>
                <w:rFonts w:ascii="Arial" w:cs="Arial" w:eastAsia="Arial" w:hAnsi="Arial"/>
                <w:sz w:val="16"/>
                <w:szCs w:val="16"/>
                <w:color w:val="auto"/>
                <w:w w:val="92"/>
              </w:rPr>
              <w:t>markets for</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89"/>
              </w:rPr>
              <w:t>observable</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unobservable</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2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89"/>
              </w:rPr>
              <w:t>identical assets</w:t>
            </w: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3"/>
              </w:rPr>
              <w:t>inputs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inputs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09"/>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29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96"/>
              </w:rPr>
              <w:t>Level 1</w:t>
            </w: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2"/>
              </w:rPr>
              <w:t>Level 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3"/>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29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Right of use assets</w:t>
            </w:r>
          </w:p>
        </w:tc>
        <w:tc>
          <w:tcPr>
            <w:tcW w:w="2960" w:type="dxa"/>
            <w:vAlign w:val="bottom"/>
          </w:tcPr>
          <w:p>
            <w:pPr>
              <w:ind w:left="2500"/>
              <w:spacing w:after="0"/>
              <w:rPr>
                <w:sz w:val="20"/>
                <w:szCs w:val="20"/>
                <w:color w:val="auto"/>
              </w:rPr>
            </w:pPr>
            <w:r>
              <w:rPr>
                <w:rFonts w:ascii="Arial" w:cs="Arial" w:eastAsia="Arial" w:hAnsi="Arial"/>
                <w:sz w:val="16"/>
                <w:szCs w:val="16"/>
                <w:color w:val="auto"/>
              </w:rPr>
              <w:t>N/A</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2,544</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N/A</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2,544</w:t>
            </w:r>
          </w:p>
        </w:tc>
      </w:tr>
      <w:tr>
        <w:trPr>
          <w:trHeight w:val="21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Equipment and leasehold improvements</w:t>
            </w:r>
          </w:p>
        </w:tc>
        <w:tc>
          <w:tcPr>
            <w:tcW w:w="2960" w:type="dxa"/>
            <w:vAlign w:val="bottom"/>
            <w:shd w:val="clear" w:color="auto" w:fill="CFF0FC"/>
          </w:tcPr>
          <w:p>
            <w:pPr>
              <w:ind w:left="25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846</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846</w:t>
            </w:r>
          </w:p>
        </w:tc>
      </w:tr>
      <w:tr>
        <w:trPr>
          <w:trHeight w:val="21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Inventory</w:t>
            </w:r>
          </w:p>
        </w:tc>
        <w:tc>
          <w:tcPr>
            <w:tcW w:w="2960" w:type="dxa"/>
            <w:vAlign w:val="bottom"/>
            <w:tcBorders>
              <w:bottom w:val="single" w:sz="8" w:color="auto"/>
            </w:tcBorders>
          </w:tcPr>
          <w:p>
            <w:pPr>
              <w:ind w:left="250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r>
    </w:tbl>
    <w:p>
      <w:pPr>
        <w:spacing w:after="0" w:line="200" w:lineRule="exact"/>
        <w:rPr>
          <w:sz w:val="20"/>
          <w:szCs w:val="20"/>
          <w:color w:val="auto"/>
        </w:rPr>
      </w:pP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fair value of our right of use assets was based on our analysis of a recent appraisal of annual lease rates per square foot for industrial buildings that are similar in nature and within the same locale. We believe the annual lease rates per square foot presented in our recent appraisal represent significant observable inputs and therefore the right of use assets were classified as level 2.</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Additionally, in connection with the CIH business combination effective February 1, 2021, we acquired cash, accounts receivable, and certain other current assets, and we assumed accounts payable. Based on the nature of these items and their short-term maturity, the carrying amount of these items approximated their fair values. See Note 3 of the consolidated financial statements for the final allocation of the acquisition cost to assets acquired and liabilities assumed based on their fair values.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Net Income (Loss) Per Share</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Basic net income (loss) per share is computed using the weighted-average number of shares outstanding during the period. Diluted net income (loss) per share uses the weighted-average number of shares outstanding during the period plus the dilutive effect of stock-based compensation calculated using the treasury stock method.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Weighted average shares used in the computation of basic and diluted net income (loss)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40" w:type="dxa"/>
            <w:vAlign w:val="bottom"/>
          </w:tcPr>
          <w:p>
            <w:pPr>
              <w:spacing w:after="0"/>
              <w:rPr>
                <w:sz w:val="17"/>
                <w:szCs w:val="17"/>
                <w:color w:val="auto"/>
              </w:rPr>
            </w:pPr>
          </w:p>
        </w:tc>
        <w:tc>
          <w:tcPr>
            <w:tcW w:w="5500" w:type="dxa"/>
            <w:vAlign w:val="bottom"/>
            <w:gridSpan w:val="2"/>
          </w:tcPr>
          <w:p>
            <w:pPr>
              <w:jc w:val="right"/>
              <w:ind w:right="1079"/>
              <w:spacing w:after="0"/>
              <w:rPr>
                <w:sz w:val="20"/>
                <w:szCs w:val="20"/>
                <w:color w:val="auto"/>
              </w:rPr>
            </w:pPr>
            <w:r>
              <w:rPr>
                <w:rFonts w:ascii="Arial" w:cs="Arial" w:eastAsia="Arial" w:hAnsi="Arial"/>
                <w:sz w:val="16"/>
                <w:szCs w:val="16"/>
                <w:color w:val="auto"/>
              </w:rPr>
              <w:t>Three months ended</w:t>
            </w:r>
          </w:p>
        </w:tc>
      </w:tr>
      <w:tr>
        <w:trPr>
          <w:trHeight w:val="21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3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October 31, 2021</w:t>
            </w:r>
          </w:p>
        </w:tc>
        <w:tc>
          <w:tcPr>
            <w:tcW w:w="1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November 1, 2020</w:t>
            </w:r>
          </w:p>
        </w:tc>
      </w:tr>
      <w:tr>
        <w:trPr>
          <w:trHeight w:val="212"/>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basic</w:t>
            </w:r>
          </w:p>
        </w:tc>
        <w:tc>
          <w:tcPr>
            <w:tcW w:w="37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12,223</w:t>
            </w:r>
          </w:p>
        </w:tc>
        <w:tc>
          <w:tcPr>
            <w:tcW w:w="1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12,298</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stock-based compensation</w:t>
            </w:r>
          </w:p>
        </w:tc>
        <w:tc>
          <w:tcPr>
            <w:tcW w:w="3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93</w:t>
            </w:r>
          </w:p>
        </w:tc>
        <w:tc>
          <w:tcPr>
            <w:tcW w:w="1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w:t>
            </w:r>
          </w:p>
        </w:tc>
      </w:tr>
      <w:tr>
        <w:trPr>
          <w:trHeight w:val="209"/>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Weighted average common shares outstanding, diluted</w:t>
            </w:r>
          </w:p>
        </w:tc>
        <w:tc>
          <w:tcPr>
            <w:tcW w:w="37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12,316</w:t>
            </w:r>
          </w:p>
        </w:tc>
        <w:tc>
          <w:tcPr>
            <w:tcW w:w="1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12,324</w:t>
            </w: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second quarter of fiscal 2022 and 2021, 13,484 and 1,101 shares, respectively, of unvested common stock were not included in the computation of diluted net income per share, as their effect would be antidilutive due to the decrease in the price per share of our common stock during the reporting period compared with the price per share of our common stock as of the respective grant dates of the related stock-based compensation awards.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40" w:type="dxa"/>
            <w:vAlign w:val="bottom"/>
            <w:tcBorders>
              <w:top w:val="single" w:sz="8" w:color="auto"/>
            </w:tcBorders>
          </w:tcPr>
          <w:p>
            <w:pPr>
              <w:spacing w:after="0"/>
              <w:rPr>
                <w:sz w:val="19"/>
                <w:szCs w:val="19"/>
                <w:color w:val="auto"/>
              </w:rPr>
            </w:pPr>
          </w:p>
        </w:tc>
        <w:tc>
          <w:tcPr>
            <w:tcW w:w="5500" w:type="dxa"/>
            <w:vAlign w:val="bottom"/>
            <w:tcBorders>
              <w:top w:val="single" w:sz="8" w:color="auto"/>
            </w:tcBorders>
            <w:gridSpan w:val="2"/>
          </w:tcPr>
          <w:p>
            <w:pPr>
              <w:jc w:val="right"/>
              <w:ind w:right="1159"/>
              <w:spacing w:after="0"/>
              <w:rPr>
                <w:sz w:val="20"/>
                <w:szCs w:val="20"/>
                <w:color w:val="auto"/>
              </w:rPr>
            </w:pPr>
            <w:r>
              <w:rPr>
                <w:rFonts w:ascii="Arial" w:cs="Arial" w:eastAsia="Arial" w:hAnsi="Arial"/>
                <w:sz w:val="16"/>
                <w:szCs w:val="16"/>
                <w:color w:val="auto"/>
              </w:rPr>
              <w:t>Six months ended</w:t>
            </w:r>
          </w:p>
        </w:tc>
      </w:tr>
      <w:tr>
        <w:trPr>
          <w:trHeight w:val="21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3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October 31, 2021</w:t>
            </w:r>
          </w:p>
        </w:tc>
        <w:tc>
          <w:tcPr>
            <w:tcW w:w="1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November 1, 2020</w:t>
            </w: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basic</w:t>
            </w:r>
          </w:p>
        </w:tc>
        <w:tc>
          <w:tcPr>
            <w:tcW w:w="37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12,268</w:t>
            </w:r>
          </w:p>
        </w:tc>
        <w:tc>
          <w:tcPr>
            <w:tcW w:w="1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12,293</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stock-based compensation</w:t>
            </w:r>
          </w:p>
        </w:tc>
        <w:tc>
          <w:tcPr>
            <w:tcW w:w="3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101</w:t>
            </w:r>
          </w:p>
        </w:tc>
        <w:tc>
          <w:tcPr>
            <w:tcW w:w="1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9"/>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Weighted average common shares outstanding, diluted</w:t>
            </w:r>
          </w:p>
        </w:tc>
        <w:tc>
          <w:tcPr>
            <w:tcW w:w="37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12,369</w:t>
            </w:r>
          </w:p>
        </w:tc>
        <w:tc>
          <w:tcPr>
            <w:tcW w:w="1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12,293</w:t>
            </w:r>
          </w:p>
        </w:tc>
      </w:tr>
    </w:tbl>
    <w:p>
      <w:pPr>
        <w:spacing w:after="0" w:line="26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During the first half of fiscal 2022, 1,561 shares of unvested common stock were not included in the computation of diluted net income per share, as their effect would be antidilutive due to the decrease in the price per share of our common stock during the reporting period compared with the price per share of our common stock as of the respective grant dates of the related stock-based compensation awards.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second half of fiscal 2021, 38,313 shares of unvested common stock were not included in the computation of diluted net loss per share, as their effect would be antidilutive. Of the 38,313 shares of unvested common stock, 26,099 shares were antidilutive due to the decrease in the price per share of our common stock during the reporting period compared with the price per share of our common stock as of the respective grant dates of the related stock-based compensation awards. In addition, 12,214 shares of unvested common stock were not included in the computation as we incurred a net loss during the reporting period.</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Segment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Information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evaluate the operating performance of our business segments based upon income (loss) from operations before certain unallocated corporate expenses, asset impairments, restructuring credit (expense) and related charges,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 officers and their support staff, all costs associated with being a public company, and other miscellaneous expenses. Segment assets include assets used in the operations of each segment and primarily consist of accounts receivable, inventories, property, plant, and equipment, and right of use assets. The mattress fabrics segment also included in segment assets its investment in an unconsolidated joint venture as of November 1, 2020.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Statements of operations for our operating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3"/>
          </w:tcPr>
          <w:p>
            <w:pPr>
              <w:jc w:val="right"/>
              <w:ind w:right="107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October 31, 2021</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November 1, 2020</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sales by segment:</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40,883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40,030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33,678</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36,821</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74,561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76,851</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6,146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7,584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4,581</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6,677</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14,261</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 by segment: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3,007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3,553</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2,527</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9,087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9,743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income (loss) from operations by segment:</w:t>
            </w: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3,139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1,028</w:t>
            </w:r>
          </w:p>
        </w:tc>
        <w:tc>
          <w:tcPr>
            <w:tcW w:w="22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(2,527)</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6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1,640</w:t>
            </w:r>
          </w:p>
        </w:tc>
        <w:tc>
          <w:tcPr>
            <w:tcW w:w="2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4,518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1,295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3"/>
          </w:tcPr>
          <w:p>
            <w:pPr>
              <w:jc w:val="right"/>
              <w:ind w:right="115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October 31, 2021</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November 1, 2020</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sales by segment:</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83,941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76,133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73,667</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65,182</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157,608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141,315</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gross profit by segment: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12,941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12,191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10,285</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11,971</w:t>
            </w:r>
          </w:p>
        </w:tc>
        <w:tc>
          <w:tcPr>
            <w:tcW w:w="0" w:type="dxa"/>
            <w:vAlign w:val="bottom"/>
          </w:tcPr>
          <w:p>
            <w:pPr>
              <w:spacing w:after="0"/>
              <w:rPr>
                <w:sz w:val="1"/>
                <w:szCs w:val="1"/>
                <w:color w:val="auto"/>
              </w:rPr>
            </w:pPr>
          </w:p>
        </w:tc>
      </w:tr>
      <w:tr>
        <w:trPr>
          <w:trHeight w:val="24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23,226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24,162</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 by segment: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6,191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6,990</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6,570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5,087</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18,268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17,761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income (loss) from operations by segment:</w:t>
            </w: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6,750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6,227</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3,295</w:t>
            </w:r>
          </w:p>
        </w:tc>
        <w:tc>
          <w:tcPr>
            <w:tcW w:w="22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5,401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(5,087)</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6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4,958</w:t>
            </w:r>
          </w:p>
        </w:tc>
        <w:tc>
          <w:tcPr>
            <w:tcW w:w="22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(640)</w:t>
            </w:r>
          </w:p>
        </w:tc>
        <w:tc>
          <w:tcPr>
            <w:tcW w:w="2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5,421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color w:val="auto"/>
        </w:rPr>
        <w:t>Balance sheet information for our operating segments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92"/>
              </w:rPr>
              <w:t>October 31, 2021</w:t>
            </w: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92"/>
              </w:rPr>
              <w:t>November 1, 2020</w:t>
            </w: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May 2, 2021</w:t>
            </w:r>
          </w:p>
        </w:tc>
      </w:tr>
      <w:tr>
        <w:trPr>
          <w:trHeight w:val="21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Segment assets:</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16,639</w:t>
            </w:r>
          </w:p>
        </w:tc>
        <w:tc>
          <w:tcPr>
            <w:tcW w:w="120" w:type="dxa"/>
            <w:vAlign w:val="bottom"/>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20,427</w:t>
            </w:r>
          </w:p>
        </w:tc>
      </w:tr>
      <w:tr>
        <w:trPr>
          <w:trHeight w:val="213"/>
        </w:trPr>
        <w:tc>
          <w:tcPr>
            <w:tcW w:w="476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34,498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24,200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30,047</w:t>
            </w: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Property, plant and equipment (1)</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40,243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41,264</w:t>
            </w:r>
          </w:p>
        </w:tc>
      </w:tr>
      <w:tr>
        <w:trPr>
          <w:trHeight w:val="213"/>
        </w:trPr>
        <w:tc>
          <w:tcPr>
            <w:tcW w:w="4760" w:type="dxa"/>
            <w:vAlign w:val="bottom"/>
          </w:tcPr>
          <w:p>
            <w:pPr>
              <w:ind w:left="500"/>
              <w:spacing w:after="0"/>
              <w:rPr>
                <w:sz w:val="20"/>
                <w:szCs w:val="20"/>
                <w:color w:val="auto"/>
              </w:rPr>
            </w:pPr>
            <w:r>
              <w:rPr>
                <w:rFonts w:ascii="Arial" w:cs="Arial" w:eastAsia="Arial" w:hAnsi="Arial"/>
                <w:sz w:val="16"/>
                <w:szCs w:val="16"/>
                <w:color w:val="auto"/>
              </w:rPr>
              <w:t>Right of use assets (2)</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3,838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4,278</w:t>
            </w: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Investment in unconsolidated joint venture</w:t>
            </w:r>
          </w:p>
        </w:tc>
        <w:tc>
          <w:tcPr>
            <w:tcW w:w="1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1,859</w:t>
            </w: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7"/>
        </w:trPr>
        <w:tc>
          <w:tcPr>
            <w:tcW w:w="47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mattress fabrics assets</w:t>
            </w:r>
          </w:p>
        </w:tc>
        <w:tc>
          <w:tcPr>
            <w:tcW w:w="14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95,218</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81,977</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96,016</w:t>
            </w:r>
          </w:p>
        </w:tc>
      </w:tr>
      <w:tr>
        <w:trPr>
          <w:trHeight w:val="213"/>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47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15,677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17,046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17,299</w:t>
            </w: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29,283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23,526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25,870</w:t>
            </w:r>
          </w:p>
        </w:tc>
      </w:tr>
      <w:tr>
        <w:trPr>
          <w:trHeight w:val="213"/>
        </w:trPr>
        <w:tc>
          <w:tcPr>
            <w:tcW w:w="4760" w:type="dxa"/>
            <w:vAlign w:val="bottom"/>
          </w:tcPr>
          <w:p>
            <w:pPr>
              <w:ind w:left="500"/>
              <w:spacing w:after="0"/>
              <w:rPr>
                <w:sz w:val="20"/>
                <w:szCs w:val="20"/>
                <w:color w:val="auto"/>
              </w:rPr>
            </w:pPr>
            <w:r>
              <w:rPr>
                <w:rFonts w:ascii="Arial" w:cs="Arial" w:eastAsia="Arial" w:hAnsi="Arial"/>
                <w:sz w:val="16"/>
                <w:szCs w:val="16"/>
                <w:color w:val="auto"/>
              </w:rPr>
              <w:t>Property, plant and equipment (3)</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2,110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1,925</w:t>
            </w: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Right of use assets (4)</w:t>
            </w:r>
          </w:p>
        </w:tc>
        <w:tc>
          <w:tcPr>
            <w:tcW w:w="1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5,472</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3,269</w:t>
            </w: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5,945</w:t>
            </w:r>
          </w:p>
        </w:tc>
      </w:tr>
      <w:tr>
        <w:trPr>
          <w:trHeight w:val="207"/>
        </w:trPr>
        <w:tc>
          <w:tcPr>
            <w:tcW w:w="47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upholstery fabrics assets</w:t>
            </w:r>
          </w:p>
        </w:tc>
        <w:tc>
          <w:tcPr>
            <w:tcW w:w="14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52,542</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45,855</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51,039</w:t>
            </w:r>
          </w:p>
        </w:tc>
      </w:tr>
      <w:tr>
        <w:trPr>
          <w:trHeight w:val="212"/>
        </w:trPr>
        <w:tc>
          <w:tcPr>
            <w:tcW w:w="4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segment assets</w:t>
            </w:r>
          </w:p>
        </w:tc>
        <w:tc>
          <w:tcPr>
            <w:tcW w:w="14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147,760</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127,832</w:t>
            </w:r>
          </w:p>
        </w:tc>
        <w:tc>
          <w:tcPr>
            <w:tcW w:w="1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147,055</w:t>
            </w:r>
          </w:p>
        </w:tc>
      </w:tr>
      <w:tr>
        <w:trPr>
          <w:trHeight w:val="207"/>
        </w:trPr>
        <w:tc>
          <w:tcPr>
            <w:tcW w:w="4760" w:type="dxa"/>
            <w:vAlign w:val="bottom"/>
          </w:tcPr>
          <w:p>
            <w:pPr>
              <w:ind w:left="260"/>
              <w:spacing w:after="0"/>
              <w:rPr>
                <w:sz w:val="20"/>
                <w:szCs w:val="20"/>
                <w:color w:val="auto"/>
              </w:rPr>
            </w:pPr>
            <w:r>
              <w:rPr>
                <w:rFonts w:ascii="Arial" w:cs="Arial" w:eastAsia="Arial" w:hAnsi="Arial"/>
                <w:sz w:val="16"/>
                <w:szCs w:val="16"/>
                <w:color w:val="auto"/>
              </w:rPr>
              <w:t>Non-segment assets: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16,956</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45,288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37,009</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Short-term investments - available for sale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9,709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5,542</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investments - held-to-maturity</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1,564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3,161</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Current income taxes receivable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3,811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3,852</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545</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Property, plant and equipment (5)</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814</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Right of use assets (6)</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4,339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1,507</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2,816</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3,004</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Long-term investments - rabbi trust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9,036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8,415</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investments - held-to-maturity</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8,353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1,141</w:t>
            </w:r>
          </w:p>
        </w:tc>
      </w:tr>
      <w:tr>
        <w:trPr>
          <w:trHeight w:val="213"/>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w:t>
            </w:r>
          </w:p>
        </w:tc>
        <w:tc>
          <w:tcPr>
            <w:tcW w:w="1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3,004</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2,035</w:t>
            </w:r>
          </w:p>
        </w:tc>
      </w:tr>
      <w:tr>
        <w:trPr>
          <w:trHeight w:val="210"/>
        </w:trPr>
        <w:tc>
          <w:tcPr>
            <w:tcW w:w="4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209,325</w:t>
            </w:r>
          </w:p>
        </w:tc>
        <w:tc>
          <w:tcPr>
            <w:tcW w:w="120" w:type="dxa"/>
            <w:vAlign w:val="bottom"/>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202,776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214,080</w:t>
            </w: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gridSpan w:val="4"/>
          </w:tcPr>
          <w:p>
            <w:pPr>
              <w:spacing w:after="0" w:line="20" w:lineRule="exact"/>
              <w:rPr>
                <w:sz w:val="1"/>
                <w:szCs w:val="1"/>
                <w:color w:val="auto"/>
              </w:rPr>
            </w:pPr>
          </w:p>
        </w:tc>
      </w:tr>
      <w:tr>
        <w:trPr>
          <w:trHeight w:val="173"/>
        </w:trPr>
        <w:tc>
          <w:tcPr>
            <w:tcW w:w="47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spacing w:after="0"/>
              <w:rPr>
                <w:sz w:val="15"/>
                <w:szCs w:val="15"/>
                <w:color w:val="auto"/>
              </w:rPr>
            </w:pPr>
          </w:p>
        </w:tc>
      </w:tr>
      <w:tr>
        <w:trPr>
          <w:trHeight w:val="230"/>
        </w:trPr>
        <w:tc>
          <w:tcPr>
            <w:tcW w:w="4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jc w:val="right"/>
              <w:ind w:right="1099"/>
              <w:spacing w:after="0"/>
              <w:rPr>
                <w:sz w:val="20"/>
                <w:szCs w:val="20"/>
                <w:color w:val="auto"/>
              </w:rPr>
            </w:pPr>
            <w:r>
              <w:rPr>
                <w:rFonts w:ascii="Arial" w:cs="Arial" w:eastAsia="Arial" w:hAnsi="Arial"/>
                <w:sz w:val="16"/>
                <w:szCs w:val="16"/>
                <w:color w:val="auto"/>
              </w:rPr>
              <w:t>Six months ended</w:t>
            </w:r>
          </w:p>
        </w:tc>
      </w:tr>
      <w:tr>
        <w:trPr>
          <w:trHeight w:val="219"/>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October 31, 2021</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w w:val="95"/>
              </w:rPr>
              <w:t>November 1, 2020</w:t>
            </w:r>
          </w:p>
        </w:tc>
      </w:tr>
      <w:tr>
        <w:trPr>
          <w:trHeight w:val="21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 (7):</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2,030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1,710</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w:t>
            </w:r>
          </w:p>
        </w:tc>
      </w:tr>
      <w:tr>
        <w:trPr>
          <w:trHeight w:val="213"/>
        </w:trPr>
        <w:tc>
          <w:tcPr>
            <w:tcW w:w="4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Unallocated Corporate</w:t>
            </w: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1,302</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w:t>
            </w:r>
          </w:p>
        </w:tc>
      </w:tr>
      <w:tr>
        <w:trPr>
          <w:trHeight w:val="209"/>
        </w:trPr>
        <w:tc>
          <w:tcPr>
            <w:tcW w:w="47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 capital expenditures</w:t>
            </w:r>
          </w:p>
        </w:tc>
        <w:tc>
          <w:tcPr>
            <w:tcW w:w="14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3,729</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2,002</w:t>
            </w:r>
          </w:p>
        </w:tc>
      </w:tr>
      <w:tr>
        <w:trPr>
          <w:trHeight w:val="210"/>
        </w:trPr>
        <w:tc>
          <w:tcPr>
            <w:tcW w:w="4760" w:type="dxa"/>
            <w:vAlign w:val="bottom"/>
          </w:tcPr>
          <w:p>
            <w:pPr>
              <w:spacing w:after="0"/>
              <w:rPr>
                <w:sz w:val="20"/>
                <w:szCs w:val="20"/>
                <w:color w:val="auto"/>
              </w:rPr>
            </w:pPr>
            <w:r>
              <w:rPr>
                <w:rFonts w:ascii="Arial" w:cs="Arial" w:eastAsia="Arial" w:hAnsi="Arial"/>
                <w:sz w:val="16"/>
                <w:szCs w:val="16"/>
                <w:color w:val="auto"/>
              </w:rPr>
              <w:t>Depreciation expense: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3,071</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3,132</w:t>
            </w:r>
          </w:p>
        </w:tc>
      </w:tr>
      <w:tr>
        <w:trPr>
          <w:trHeight w:val="213"/>
        </w:trPr>
        <w:tc>
          <w:tcPr>
            <w:tcW w:w="4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Upholstery Fabrics</w:t>
            </w: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406</w:t>
            </w:r>
          </w:p>
        </w:tc>
      </w:tr>
      <w:tr>
        <w:trPr>
          <w:trHeight w:val="209"/>
        </w:trPr>
        <w:tc>
          <w:tcPr>
            <w:tcW w:w="47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 depreciation expense</w:t>
            </w:r>
          </w:p>
        </w:tc>
        <w:tc>
          <w:tcPr>
            <w:tcW w:w="14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3,471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3,538</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360" w:hanging="352"/>
        <w:spacing w:after="0" w:line="328"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$40.2 million as of October 31, 2021, represents property, plant, and equipment of $26.8 million, $12.6 million, and $836,000 located in the U.S., Canada, and Haiti, respectively. The $38.8 million as of November 1, 2020, represents property, plant, and equipment of $26.5 million and $12.3 million located in the U.S. and Canada, respectively. The $41.3 million as of May 2, 2021, represents property, plant, and equipment of $28.4 million, $12.0 million, and $855,000 located in the U.S., Canada, and Haiti, respectively.</w:t>
      </w:r>
    </w:p>
    <w:p>
      <w:pPr>
        <w:spacing w:after="0" w:line="87" w:lineRule="exact"/>
        <w:rPr>
          <w:rFonts w:ascii="Arial" w:cs="Arial" w:eastAsia="Arial" w:hAnsi="Arial"/>
          <w:sz w:val="16"/>
          <w:szCs w:val="16"/>
          <w:color w:val="auto"/>
        </w:rPr>
      </w:pPr>
    </w:p>
    <w:p>
      <w:pPr>
        <w:jc w:val="both"/>
        <w:ind w:left="360" w:right="20" w:hanging="352"/>
        <w:spacing w:after="0" w:line="246" w:lineRule="auto"/>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$3.8 million as of October 31, 2021, represents right of use assets of $2.2 million, $1.3 million, and $309,000 located in Haiti, the U.S., and Canada, respectively. The $1.2 million as of November 1, 2020, represents right of use assets of $696,000 and $490,000 located in the U.S. and Canada, respectively. The $4.3 million as of May 2, 2021, represents right of use assets of $2.4 million, $1.4 million, and $400,000 located in Haiti, the U.S., and Canada, respectively.</w:t>
      </w:r>
    </w:p>
    <w:p>
      <w:pPr>
        <w:spacing w:after="0" w:line="150" w:lineRule="exact"/>
        <w:rPr>
          <w:rFonts w:ascii="Arial" w:cs="Arial" w:eastAsia="Arial" w:hAnsi="Arial"/>
          <w:sz w:val="20"/>
          <w:szCs w:val="20"/>
          <w:color w:val="auto"/>
        </w:rPr>
      </w:pPr>
    </w:p>
    <w:p>
      <w:pPr>
        <w:jc w:val="both"/>
        <w:ind w:left="360" w:hanging="352"/>
        <w:spacing w:after="0" w:line="263" w:lineRule="auto"/>
        <w:tabs>
          <w:tab w:leader="none" w:pos="3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$2.1 million as of October 31, 2021, represents property, plant, and equipment of $1.1 million, $798,000, and $242,000 located in the U.S., China, and Haiti, respectively. The $2.0 million as of November 1, 2020, represents property, plant, and equipment of $1.1 million and $904,000 located in the U.S. and China, respectively. The $1.9 million as of May 2, 2021, represents property, plant, and equipment of $1.1 million and $850,000 located in the U.S. and China,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0" w:name="page21"/>
    <w:bookmarkEnd w:id="20"/>
    <w:p>
      <w:pPr>
        <w:jc w:val="both"/>
        <w:ind w:left="360" w:hanging="352"/>
        <w:spacing w:after="0" w:line="246"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$5.5 million as of October 31, 2021, represents right of use assets of $4.3 million and $1.2 million located in China and the U.S., respectively. The $3.3 million as of November 1, 2020, represents right of use assets of $2.7 million and $561,000 located in China and the U.S., respectively. The $5.9 million as of May 2, 2021, represents right of use assets of $5.0 million and $952,000 located in China and the U.S., respectively.</w:t>
      </w:r>
    </w:p>
    <w:p>
      <w:pPr>
        <w:spacing w:after="0" w:line="150" w:lineRule="exact"/>
        <w:rPr>
          <w:rFonts w:ascii="Arial" w:cs="Arial" w:eastAsia="Arial" w:hAnsi="Arial"/>
          <w:sz w:val="20"/>
          <w:szCs w:val="20"/>
          <w:color w:val="auto"/>
        </w:rPr>
      </w:pPr>
    </w:p>
    <w:p>
      <w:pPr>
        <w:jc w:val="both"/>
        <w:ind w:left="360" w:hanging="352"/>
        <w:spacing w:after="0" w:line="291"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$912,000, $767,000, and $814,000 as of October 31, 2021, November 1, 2020, and May 2, 2021,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11" w:lineRule="exact"/>
        <w:rPr>
          <w:rFonts w:ascii="Arial" w:cs="Arial" w:eastAsia="Arial" w:hAnsi="Arial"/>
          <w:sz w:val="18"/>
          <w:szCs w:val="18"/>
          <w:color w:val="auto"/>
        </w:rPr>
      </w:pPr>
    </w:p>
    <w:p>
      <w:pPr>
        <w:ind w:left="360" w:hanging="352"/>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$4.3 million, $1.7 million, and $1.5 million as of October 31, 2021, November1, 2020, and May 2, 2021, respectively, represent right of use assets located in the U.S.</w:t>
      </w:r>
    </w:p>
    <w:p>
      <w:pPr>
        <w:spacing w:after="0" w:line="136"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Capital expenditure amounts are stated on the accrual basis. See Consolidated Statements of Cash Flows for capital expenditure amounts on a cash basis.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recorded income tax expense of $1.3 million, or 30.3% of income before income taxes, for the six-month period ending October 31, 2021, compared with income tax expense of $5.9 million, or 109.5% of income before income taxes, for the six-month period ending November 1, 2020.</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effective income tax rates for the six-month periods ended October 31, 2021, and November 1, 2020, were based upon the estimated effective income tax rate applicable for the full year after giving effect to any significant items related specifically to interim periods. When calculating the annual estimated effective income tax rate for the six-month periods ended October 31, 2021, and November 1, 2020, we were subject to a loss limitation rule in accordance with ASC Topic 740-270-30-36(a). This loss limitation rule requires any taxable loss associated with our U.S. or foreign operations to be excluded from the annual estimated effective income tax rate calculation if it is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ending October 31, 2021, and November 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tcPr>
          <w:p>
            <w:pPr>
              <w:spacing w:after="0"/>
              <w:rPr>
                <w:sz w:val="17"/>
                <w:szCs w:val="17"/>
                <w:color w:val="auto"/>
              </w:rPr>
            </w:pPr>
          </w:p>
        </w:tc>
        <w:tc>
          <w:tcPr>
            <w:tcW w:w="3800" w:type="dxa"/>
            <w:vAlign w:val="bottom"/>
          </w:tcPr>
          <w:p>
            <w:pPr>
              <w:jc w:val="right"/>
              <w:ind w:right="719"/>
              <w:spacing w:after="0"/>
              <w:rPr>
                <w:sz w:val="20"/>
                <w:szCs w:val="20"/>
                <w:color w:val="auto"/>
              </w:rPr>
            </w:pPr>
            <w:r>
              <w:rPr>
                <w:rFonts w:ascii="Arial" w:cs="Arial" w:eastAsia="Arial" w:hAnsi="Arial"/>
                <w:sz w:val="16"/>
                <w:szCs w:val="16"/>
                <w:color w:val="auto"/>
              </w:rPr>
              <w:t>October 31,</w:t>
            </w:r>
          </w:p>
        </w:tc>
        <w:tc>
          <w:tcPr>
            <w:tcW w:w="1620" w:type="dxa"/>
            <w:vAlign w:val="bottom"/>
          </w:tcPr>
          <w:p>
            <w:pPr>
              <w:jc w:val="right"/>
              <w:ind w:right="419"/>
              <w:spacing w:after="0"/>
              <w:rPr>
                <w:sz w:val="20"/>
                <w:szCs w:val="20"/>
                <w:color w:val="auto"/>
              </w:rPr>
            </w:pPr>
            <w:r>
              <w:rPr>
                <w:rFonts w:ascii="Arial" w:cs="Arial" w:eastAsia="Arial" w:hAnsi="Arial"/>
                <w:sz w:val="16"/>
                <w:szCs w:val="16"/>
                <w:color w:val="auto"/>
              </w:rPr>
              <w:t>November 1,</w:t>
            </w:r>
          </w:p>
        </w:tc>
      </w:tr>
      <w:tr>
        <w:trPr>
          <w:trHeight w:val="219"/>
        </w:trPr>
        <w:tc>
          <w:tcPr>
            <w:tcW w:w="58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2021</w:t>
            </w: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2020</w:t>
            </w:r>
          </w:p>
        </w:tc>
      </w:tr>
      <w:tr>
        <w:trPr>
          <w:trHeight w:val="212"/>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U.S. federal income tax rate</w:t>
            </w:r>
          </w:p>
        </w:tc>
        <w:tc>
          <w:tcPr>
            <w:tcW w:w="38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21.0%</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U.S. valuation allowance</w:t>
            </w:r>
          </w:p>
        </w:tc>
        <w:tc>
          <w:tcPr>
            <w:tcW w:w="3800" w:type="dxa"/>
            <w:vAlign w:val="bottom"/>
          </w:tcPr>
          <w:p>
            <w:pPr>
              <w:jc w:val="right"/>
              <w:ind w:right="279"/>
              <w:spacing w:after="0"/>
              <w:rPr>
                <w:sz w:val="20"/>
                <w:szCs w:val="20"/>
                <w:color w:val="auto"/>
              </w:rPr>
            </w:pPr>
            <w:r>
              <w:rPr>
                <w:rFonts w:ascii="Arial" w:cs="Arial" w:eastAsia="Arial" w:hAnsi="Arial"/>
                <w:sz w:val="16"/>
                <w:szCs w:val="16"/>
                <w:color w:val="auto"/>
              </w:rPr>
              <w:t>(4.5)</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141.6</w:t>
            </w: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U.S. income tax law change</w:t>
            </w:r>
          </w:p>
        </w:tc>
        <w:tc>
          <w:tcPr>
            <w:tcW w:w="38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(65.1)</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Withholding taxes associated with foreign jurisdictions</w:t>
            </w:r>
          </w:p>
        </w:tc>
        <w:tc>
          <w:tcPr>
            <w:tcW w:w="3800" w:type="dxa"/>
            <w:vAlign w:val="bottom"/>
          </w:tcPr>
          <w:p>
            <w:pPr>
              <w:jc w:val="right"/>
              <w:ind w:right="339"/>
              <w:spacing w:after="0"/>
              <w:rPr>
                <w:sz w:val="20"/>
                <w:szCs w:val="20"/>
                <w:color w:val="auto"/>
              </w:rPr>
            </w:pPr>
            <w:r>
              <w:rPr>
                <w:rFonts w:ascii="Arial" w:cs="Arial" w:eastAsia="Arial" w:hAnsi="Arial"/>
                <w:sz w:val="16"/>
                <w:szCs w:val="16"/>
                <w:color w:val="auto"/>
              </w:rPr>
              <w:t>6.1</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8.4</w:t>
            </w: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Foreign income tax rate differential</w:t>
            </w:r>
          </w:p>
        </w:tc>
        <w:tc>
          <w:tcPr>
            <w:tcW w:w="38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3.9</w:t>
            </w: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Global Intangible Low Taxed Income Tax ("GILTI")</w:t>
            </w:r>
          </w:p>
        </w:tc>
        <w:tc>
          <w:tcPr>
            <w:tcW w:w="3800" w:type="dxa"/>
            <w:vAlign w:val="bottom"/>
          </w:tcPr>
          <w:p>
            <w:pPr>
              <w:jc w:val="right"/>
              <w:ind w:right="339"/>
              <w:spacing w:after="0"/>
              <w:rPr>
                <w:sz w:val="20"/>
                <w:szCs w:val="20"/>
                <w:color w:val="auto"/>
              </w:rPr>
            </w:pPr>
            <w:r>
              <w:rPr>
                <w:rFonts w:ascii="Arial" w:cs="Arial" w:eastAsia="Arial" w:hAnsi="Arial"/>
                <w:sz w:val="16"/>
                <w:szCs w:val="16"/>
                <w:color w:val="auto"/>
              </w:rPr>
              <w:t>3.3</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Tax effects of deductible foreign exchange rate losses</w:t>
            </w:r>
          </w:p>
        </w:tc>
        <w:tc>
          <w:tcPr>
            <w:tcW w:w="38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(0.4)</w:t>
            </w: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w:t>
            </w:r>
          </w:p>
        </w:tc>
      </w:tr>
      <w:tr>
        <w:trPr>
          <w:trHeight w:val="213"/>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3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0.9</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210"/>
        </w:trPr>
        <w:tc>
          <w:tcPr>
            <w:tcW w:w="5820" w:type="dxa"/>
            <w:vAlign w:val="bottom"/>
            <w:tcBorders>
              <w:bottom w:val="single" w:sz="8" w:color="auto"/>
            </w:tcBorders>
            <w:shd w:val="clear" w:color="auto" w:fill="CFF0FC"/>
          </w:tcPr>
          <w:p>
            <w:pPr>
              <w:spacing w:after="0"/>
              <w:rPr>
                <w:sz w:val="18"/>
                <w:szCs w:val="18"/>
                <w:color w:val="auto"/>
              </w:rPr>
            </w:pPr>
          </w:p>
        </w:tc>
        <w:tc>
          <w:tcPr>
            <w:tcW w:w="38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30.3%</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109.5%</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effective income tax rate during the first half of fiscal 2022 was negatively affected, but not nearly to the extent as in the first half of fiscal 2021, by the mix of taxable income that is mostly earned by our foreign operations located in China and Canada, which have higher income tax rates than the U.S. This is due mostly to higher annual forecasted taxable income from our U.S. operations as of the end of the second quarter of fiscal 2022, compared with lower annual forecasted taxable from our U.S. operations as of the end of the second quarter of fiscal 2021.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GILTI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2021</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Effective July 20, 2020, the U.S. Treasury Department finalized and enacted previously proposed regulations regarding the GILTI tax provisions of the Tax Cuts and Jobs Act of 2017 (“TCJA”). With the enactment of these final regulations, we became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1" w:name="page22"/>
    <w:bookmarkEnd w:id="21"/>
    <w:p>
      <w:pPr>
        <w:jc w:val="both"/>
        <w:spacing w:after="0" w:line="244" w:lineRule="auto"/>
        <w:rPr>
          <w:sz w:val="20"/>
          <w:szCs w:val="20"/>
          <w:color w:val="auto"/>
        </w:rPr>
      </w:pPr>
      <w:r>
        <w:rPr>
          <w:rFonts w:ascii="Arial" w:cs="Arial" w:eastAsia="Arial" w:hAnsi="Arial"/>
          <w:sz w:val="20"/>
          <w:szCs w:val="20"/>
          <w:color w:val="auto"/>
        </w:rPr>
        <w:t>eligible for an exclusion from GILTI if we meet the provisions of the GILTI High-Tax exception included in these final regulations. To meet the provisions of the GILTI high tax exception, the tested foreign entity’s effective income tax rate related to current year’s earnings must be higher than 90% of the U.S. Federal income tax rate of 21% (i.e., 18.9%). In addition, the enactment of the new regulations and the provisions for the GILTI High-Tax exception are retroactive to the original enactment of the GILTI tax provision, which includes our 2019 and 2020 fiscal years.</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Since we met the requirements for the High-Tax exception for our 2019 and 2020 fiscal years,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and the six-month year-to-date period of fiscal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met the requirements for the High-Tax exception for our 2021 fiscal year, and therefore, were not subject to GILTI tax.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2022</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the end of the second quarter of fiscal 2022, we believe we will not meet the requirements for the GILTI High-Tax exception regarding our foreign subsidiaries located in Canada and Haiti, and therefore, will be subject to GILTI tax for the 2022 fiscal year.</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Based on our assessment associated with our operation located in Canada, </w:t>
      </w:r>
      <w:r>
        <w:rPr>
          <w:rFonts w:ascii="Arial" w:cs="Arial" w:eastAsia="Arial" w:hAnsi="Arial"/>
          <w:sz w:val="18"/>
          <w:szCs w:val="18"/>
          <w:color w:val="auto"/>
        </w:rPr>
        <w:t>we expect that several significant capital projects will be placed into</w:t>
      </w:r>
      <w:r>
        <w:rPr>
          <w:rFonts w:ascii="Arial" w:cs="Arial" w:eastAsia="Arial" w:hAnsi="Arial"/>
          <w:sz w:val="17"/>
          <w:szCs w:val="17"/>
          <w:color w:val="auto"/>
        </w:rPr>
        <w:t xml:space="preserve"> </w:t>
      </w:r>
      <w:r>
        <w:rPr>
          <w:rFonts w:ascii="Arial" w:cs="Arial" w:eastAsia="Arial" w:hAnsi="Arial"/>
          <w:sz w:val="18"/>
          <w:szCs w:val="18"/>
          <w:color w:val="auto"/>
        </w:rPr>
        <w:t>service during fiscal 2022, and therefore we will be eligible for a significant amount of deductible accelerated depreciation. As a result, our current year’s income tax expense is expected to be much lower than prior fiscal years’, and therefore, our projected current effective income tax rate is expected to be lower than the required 18.9% current effective income tax rate to meet the GILTI High-Tax exception.</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Based on our assessment associated with our operations located in Haiti, we expect to earn taxable income that is not subject to income tax, as we are located in an economic zone that permits a 0% income tax rate for the first fifteen years of operations, for which we have ten years remaining. Since our operations located in Haiti are not expected to be subject to income tax, our projected current effective income tax rate of 0% will be lower than the required 18.9% current effective income tax rate to meet the GILTI High-Tax exception. Fiscal 2022 is the first fiscal year in which we expect to earn taxable income from our operations located in Haiti.</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Allowance</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we evaluate the realizability of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was reversed as a result of the retroactivity of the new GILTI regulations. Consequently, due to the retroactivity of the new regulations, we experienced a recent history of cumulative U.S. taxable losses during our last two fiscal years, and we expected at the time of this assessment that our history of U.S. pre-tax losses would continue into fiscal 2021. As a result of the significant weight of this negative evidence, we believed it was more-likely-than-not that our U.S. net deferred income tax assets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and the six-month year-to-date period of fiscal 2021.</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As of October 31, 2021, we evaluated the realizability of our U.S. net deferred income tax assets to determine if a full valuation allowance was still required. Based on our assessment, we determined we still have a recent history of cumulative U.S. taxable losses, in that we experienced U.S. taxable losses during each of the fiscal years 2020 and 2021. In addition, as of October 31, 2021, we are currently expecting U.S. taxable income during fiscal 2022 stemming from the source of taxable income provided by GILTI noted above. However, the cumulative losses that we have experienced during fiscal years 2020 and 2021 significantly exceed the U.S. taxable income expected during fiscal 2022. As a result of the significant weight of this negative evidence,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20"/>
          <w:szCs w:val="20"/>
          <w:color w:val="auto"/>
        </w:rPr>
        <w:t>believe it is more likely than not that our U.S. deferred income tax assets will not be fully realizable, and therefore we provided for a full valuation allowance against our U.S. net deferred income tax assets.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Based on our assessments as of October 31, 2021, November 1, 2020, and May 2, 2021, valuation allowances against our U.S. net deferred income taxes pertain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10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October 31, 2021</w:t>
            </w:r>
          </w:p>
        </w:tc>
        <w:tc>
          <w:tcPr>
            <w:tcW w:w="1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November 1, 2020</w:t>
            </w: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May 2, 2021</w:t>
            </w:r>
          </w:p>
        </w:tc>
      </w:tr>
      <w:tr>
        <w:trPr>
          <w:trHeight w:val="212"/>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U.S. federal and state net deferred income tax assets</w:t>
            </w:r>
          </w:p>
        </w:tc>
        <w:tc>
          <w:tcPr>
            <w:tcW w:w="21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9,155</w:t>
            </w:r>
          </w:p>
        </w:tc>
        <w:tc>
          <w:tcPr>
            <w:tcW w:w="17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8,543</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9,344</w:t>
            </w:r>
          </w:p>
        </w:tc>
      </w:tr>
      <w:tr>
        <w:trPr>
          <w:trHeight w:val="21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capital loss carryforward</w:t>
            </w:r>
          </w:p>
        </w:tc>
        <w:tc>
          <w:tcPr>
            <w:tcW w:w="2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2,330</w:t>
            </w:r>
          </w:p>
        </w:tc>
        <w:tc>
          <w:tcPr>
            <w:tcW w:w="1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2,281</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2,330</w:t>
            </w:r>
          </w:p>
        </w:tc>
      </w:tr>
      <w:tr>
        <w:trPr>
          <w:trHeight w:val="210"/>
        </w:trPr>
        <w:tc>
          <w:tcPr>
            <w:tcW w:w="506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11,485</w:t>
            </w:r>
          </w:p>
        </w:tc>
        <w:tc>
          <w:tcPr>
            <w:tcW w:w="17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10,824</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11,674</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Undistributed Earnings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accordance with ASC Topic 740, we assess whether the undistributed earnings from our foreign subsidiaries will be reinvested indefinitely or eventually distributed to our U.S. parent company. ASC Topic 740 requires that a deferred income tax liability should be recorded for undistributed earnings from foreign subsidiaries that will not be reinvested indefinitely. As of October 31, 2021, we assessed the liquidity requirements of our U.S. parent company and determined that our undistributed earnings and profits from our foreign subsidiaries would not be reinvested indefinitely and would be eventually distributed to our U.S. parent company. The conclusion reached from this assessment was consistent with prior years.</w:t>
      </w:r>
    </w:p>
    <w:p>
      <w:pPr>
        <w:spacing w:after="0" w:line="15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a result of the TCJA, a U.S. corporation is allowed a 100% dividend received deduction for earnings and profits received from a 10% owned foreign corporation. Therefore, a deferred income tax liability will be required for unremitted withholding taxes associated with earnings and profits generated by our foreign subsidiaries that will ultimately be repatriated to the U.S. parent company. As a result, as of October 31, 2021, November 1, 2020, and May 2, 2021, we recorded a deferred income tax liability of $3.4 million, $3.9 million, and $3.5 million, respectively, for withholding taxes associated with undistributed earnings and profits from our foreign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an unrecognized income tax benefit for an uncertain income tax position can be recognized in the first interim period if the more-likely-than-not recognition threshold is met by the end of the reporting period, or is effectively settled through examination, negotiation,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October 31, 2021, November 1, 2020, and May 2, 2021, we had a $1.4 million total gross unrecognized income tax benefit, of which $1.1 million and $380,000 were recorded to income taxes payable-long-term and noncurrent deferred income taxes, respectively, in the accompanying Consolidated Balance Sheets. Of this $1.4 million total gross unrecognized income tax benefit, $1.1 million would favorably affect the income tax rate in future periods.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gross unrecognized income tax benefit of $1.4 million relates to income tax positions for which significant change is currently not expected within the next year. This amount primarily relates to double taxation under applicable income tax treaties with foreign tax jurisdictions.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 Paid (Refunded)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taxes paid (refunded)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gridSpan w:val="3"/>
          </w:tcPr>
          <w:p>
            <w:pPr>
              <w:jc w:val="right"/>
              <w:ind w:right="1419"/>
              <w:spacing w:after="0"/>
              <w:rPr>
                <w:sz w:val="20"/>
                <w:szCs w:val="20"/>
                <w:color w:val="auto"/>
              </w:rPr>
            </w:pPr>
            <w:r>
              <w:rPr>
                <w:rFonts w:ascii="Arial" w:cs="Arial" w:eastAsia="Arial" w:hAnsi="Arial"/>
                <w:sz w:val="16"/>
                <w:szCs w:val="16"/>
                <w:color w:val="auto"/>
              </w:rPr>
              <w:t>Six Months Ended</w:t>
            </w:r>
          </w:p>
        </w:tc>
      </w:tr>
      <w:tr>
        <w:trPr>
          <w:trHeight w:val="219"/>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October 31, 2021</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November 1, 2020</w:t>
            </w:r>
          </w:p>
        </w:tc>
      </w:tr>
      <w:tr>
        <w:trPr>
          <w:trHeight w:val="203"/>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United States Federal - Alternative Minimum Tax</w:t>
            </w: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r>
      <w:tr>
        <w:trPr>
          <w:trHeight w:val="212"/>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(AMT) credit refunds (1)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(1,509)</w:t>
            </w: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United States Transition Tax Payment</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266</w:t>
            </w:r>
          </w:p>
        </w:tc>
        <w:tc>
          <w:tcPr>
            <w:tcW w:w="34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227</w:t>
            </w: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China - Income Taxes</w:t>
            </w: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921</w:t>
            </w:r>
          </w:p>
        </w:tc>
        <w:tc>
          <w:tcPr>
            <w:tcW w:w="3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349</w:t>
            </w:r>
          </w:p>
        </w:tc>
      </w:tr>
      <w:tr>
        <w:trPr>
          <w:trHeight w:val="206"/>
        </w:trPr>
        <w:tc>
          <w:tcPr>
            <w:tcW w:w="7160" w:type="dxa"/>
            <w:vAlign w:val="bottom"/>
          </w:tcPr>
          <w:p>
            <w:pPr>
              <w:spacing w:after="0"/>
              <w:rPr>
                <w:sz w:val="20"/>
                <w:szCs w:val="20"/>
                <w:color w:val="auto"/>
              </w:rPr>
            </w:pPr>
            <w:r>
              <w:rPr>
                <w:rFonts w:ascii="Arial" w:cs="Arial" w:eastAsia="Arial" w:hAnsi="Arial"/>
                <w:sz w:val="16"/>
                <w:szCs w:val="16"/>
                <w:color w:val="auto"/>
              </w:rPr>
              <w:t>China - Withholding Taxes Associated with Earnings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9"/>
        </w:trPr>
        <w:tc>
          <w:tcPr>
            <w:tcW w:w="7160" w:type="dxa"/>
            <w:vAlign w:val="bottom"/>
          </w:tcPr>
          <w:p>
            <w:pPr>
              <w:ind w:left="180"/>
              <w:spacing w:after="0"/>
              <w:rPr>
                <w:sz w:val="20"/>
                <w:szCs w:val="20"/>
                <w:color w:val="auto"/>
              </w:rPr>
            </w:pPr>
            <w:r>
              <w:rPr>
                <w:rFonts w:ascii="Arial" w:cs="Arial" w:eastAsia="Arial" w:hAnsi="Arial"/>
                <w:sz w:val="16"/>
                <w:szCs w:val="16"/>
                <w:color w:val="auto"/>
              </w:rPr>
              <w:t>and Profits Distribution to U.S. Parent</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487</w:t>
            </w:r>
          </w:p>
        </w:tc>
        <w:tc>
          <w:tcPr>
            <w:tcW w:w="34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Canada -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427</w:t>
            </w:r>
          </w:p>
        </w:tc>
        <w:tc>
          <w:tcPr>
            <w:tcW w:w="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w:t>
            </w:r>
          </w:p>
        </w:tc>
      </w:tr>
      <w:tr>
        <w:trPr>
          <w:trHeight w:val="209"/>
        </w:trPr>
        <w:tc>
          <w:tcPr>
            <w:tcW w:w="716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2,101</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ind w:left="360" w:hanging="352"/>
        <w:spacing w:after="0" w:line="250"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accordance with the provisions of the TCJA, we elected to treat our prior AMT credit carryforward balance of $1.5 million as refundable. We received our $1.5 million refundable balance in two separate installments totaling $746,000 and $764,000 during the first and second quarters of fiscal 2021,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14.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Incentive Plan Description</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2021, there were 470,947 shares available for future equity-based grants under the 2015 Plan.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Performance-Based Restricted Stock Units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Executives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performance targets that have been achieved may be adjusted based on a market-based total shareholder return component as defined in the related restricted stock unit agreements.</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July 22,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tcPr>
          <w:p>
            <w:pPr>
              <w:spacing w:after="0"/>
              <w:rPr>
                <w:sz w:val="19"/>
                <w:szCs w:val="19"/>
                <w:color w:val="auto"/>
              </w:rPr>
            </w:pPr>
          </w:p>
        </w:tc>
        <w:tc>
          <w:tcPr>
            <w:tcW w:w="4680" w:type="dxa"/>
            <w:vAlign w:val="bottom"/>
          </w:tcPr>
          <w:p>
            <w:pPr>
              <w:jc w:val="right"/>
              <w:ind w:right="90"/>
              <w:spacing w:after="0"/>
              <w:rPr>
                <w:sz w:val="20"/>
                <w:szCs w:val="20"/>
                <w:color w:val="auto"/>
              </w:rPr>
            </w:pPr>
            <w:r>
              <w:rPr>
                <w:rFonts w:ascii="Arial" w:cs="Arial" w:eastAsia="Arial" w:hAnsi="Arial"/>
                <w:sz w:val="18"/>
                <w:szCs w:val="18"/>
                <w:i w:val="1"/>
                <w:iCs w:val="1"/>
                <w:color w:val="auto"/>
              </w:rPr>
              <w:t>July 22,</w:t>
            </w:r>
          </w:p>
        </w:tc>
      </w:tr>
      <w:tr>
        <w:trPr>
          <w:trHeight w:val="230"/>
        </w:trPr>
        <w:tc>
          <w:tcPr>
            <w:tcW w:w="65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2021</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Closing price of our common stock</w:t>
            </w:r>
          </w:p>
        </w:tc>
        <w:tc>
          <w:tcPr>
            <w:tcW w:w="4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$ 14. 75</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Expected volatility of our common stock</w:t>
            </w:r>
          </w:p>
        </w:tc>
        <w:tc>
          <w:tcPr>
            <w:tcW w:w="468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peer companies (1)</w:t>
            </w:r>
          </w:p>
        </w:tc>
        <w:tc>
          <w:tcPr>
            <w:tcW w:w="4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45.7% - 101.5%</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8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4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Correlation coefficient of peer companies (1)</w:t>
            </w:r>
          </w:p>
        </w:tc>
        <w:tc>
          <w:tcPr>
            <w:tcW w:w="4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0.03 - 0.35</w:t>
            </w:r>
          </w:p>
        </w:tc>
      </w:tr>
    </w:tbl>
    <w:p>
      <w:pPr>
        <w:spacing w:after="0" w:line="172" w:lineRule="exact"/>
        <w:rPr>
          <w:sz w:val="20"/>
          <w:szCs w:val="20"/>
          <w:color w:val="auto"/>
        </w:rPr>
      </w:pPr>
    </w:p>
    <w:p>
      <w:pPr>
        <w:jc w:val="both"/>
        <w:ind w:left="340" w:hanging="322"/>
        <w:spacing w:after="0" w:line="246" w:lineRule="auto"/>
        <w:tabs>
          <w:tab w:leader="none" w:pos="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expected volatility and correlation coefficient of our peer companies for the July 22, 2021, grant date was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Employees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grant performance-based restricted stock units which could earn up to a certain number of shares of common stock if certain performance targets are met over a three-fiscal year performance period as defined in the related restricted stock unit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Overall</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summarizes information related to our grants of performance-based restricted stock units associated with senior executives and key employees that are unvested as of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3020" w:type="dxa"/>
            <w:vAlign w:val="bottom"/>
          </w:tcPr>
          <w:p>
            <w:pPr>
              <w:jc w:val="center"/>
              <w:ind w:left="679"/>
              <w:spacing w:after="0"/>
              <w:rPr>
                <w:sz w:val="20"/>
                <w:szCs w:val="20"/>
                <w:color w:val="auto"/>
              </w:rPr>
            </w:pPr>
            <w:r>
              <w:rPr>
                <w:rFonts w:ascii="Arial" w:cs="Arial" w:eastAsia="Arial" w:hAnsi="Arial"/>
                <w:sz w:val="16"/>
                <w:szCs w:val="16"/>
                <w:color w:val="auto"/>
                <w:w w:val="91"/>
              </w:rPr>
              <w:t>(3)</w:t>
            </w:r>
          </w:p>
        </w:tc>
        <w:tc>
          <w:tcPr>
            <w:tcW w:w="1800" w:type="dxa"/>
            <w:vAlign w:val="bottom"/>
          </w:tcPr>
          <w:p>
            <w:pPr>
              <w:jc w:val="center"/>
              <w:ind w:right="39"/>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3020" w:type="dxa"/>
            <w:vAlign w:val="bottom"/>
          </w:tcPr>
          <w:p>
            <w:pPr>
              <w:jc w:val="center"/>
              <w:ind w:left="699"/>
              <w:spacing w:after="0"/>
              <w:rPr>
                <w:sz w:val="20"/>
                <w:szCs w:val="20"/>
                <w:color w:val="auto"/>
              </w:rPr>
            </w:pPr>
            <w:r>
              <w:rPr>
                <w:rFonts w:ascii="Arial" w:cs="Arial" w:eastAsia="Arial" w:hAnsi="Arial"/>
                <w:sz w:val="16"/>
                <w:szCs w:val="16"/>
                <w:color w:val="auto"/>
                <w:w w:val="89"/>
              </w:rPr>
              <w:t>Performance-Based</w:t>
            </w:r>
          </w:p>
        </w:tc>
        <w:tc>
          <w:tcPr>
            <w:tcW w:w="1800" w:type="dxa"/>
            <w:vAlign w:val="bottom"/>
          </w:tcPr>
          <w:p>
            <w:pPr>
              <w:jc w:val="center"/>
              <w:ind w:right="39"/>
              <w:spacing w:after="0"/>
              <w:rPr>
                <w:sz w:val="20"/>
                <w:szCs w:val="20"/>
                <w:color w:val="auto"/>
              </w:rPr>
            </w:pPr>
            <w:r>
              <w:rPr>
                <w:rFonts w:ascii="Arial" w:cs="Arial" w:eastAsia="Arial" w:hAnsi="Arial"/>
                <w:sz w:val="16"/>
                <w:szCs w:val="16"/>
                <w:color w:val="auto"/>
                <w:w w:val="92"/>
              </w:rPr>
              <w:t>Restricted Stock</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020" w:type="dxa"/>
            <w:vAlign w:val="bottom"/>
          </w:tcPr>
          <w:p>
            <w:pPr>
              <w:jc w:val="center"/>
              <w:ind w:left="679"/>
              <w:spacing w:after="0"/>
              <w:rPr>
                <w:sz w:val="20"/>
                <w:szCs w:val="20"/>
                <w:color w:val="auto"/>
              </w:rPr>
            </w:pPr>
            <w:r>
              <w:rPr>
                <w:rFonts w:ascii="Arial" w:cs="Arial" w:eastAsia="Arial" w:hAnsi="Arial"/>
                <w:sz w:val="16"/>
                <w:szCs w:val="16"/>
                <w:color w:val="auto"/>
                <w:w w:val="90"/>
              </w:rPr>
              <w:t>Restricted Stock</w:t>
            </w:r>
          </w:p>
        </w:tc>
        <w:tc>
          <w:tcPr>
            <w:tcW w:w="1800" w:type="dxa"/>
            <w:vAlign w:val="bottom"/>
          </w:tcPr>
          <w:p>
            <w:pPr>
              <w:jc w:val="center"/>
              <w:ind w:right="39"/>
              <w:spacing w:after="0"/>
              <w:rPr>
                <w:sz w:val="20"/>
                <w:szCs w:val="20"/>
                <w:color w:val="auto"/>
              </w:rPr>
            </w:pPr>
            <w:r>
              <w:rPr>
                <w:rFonts w:ascii="Arial" w:cs="Arial" w:eastAsia="Arial" w:hAnsi="Arial"/>
                <w:sz w:val="16"/>
                <w:szCs w:val="16"/>
                <w:color w:val="auto"/>
                <w:w w:val="92"/>
              </w:rPr>
              <w:t>Units Expected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of Grant</w:t>
            </w:r>
          </w:p>
        </w:tc>
        <w:tc>
          <w:tcPr>
            <w:tcW w:w="302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4"/>
              </w:rPr>
              <w:t>Units Awarded</w:t>
            </w: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8"/>
              </w:rPr>
              <w:t>to Vest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7"/>
              </w:rPr>
              <w:t>Price Per Share</w:t>
            </w:r>
          </w:p>
        </w:tc>
        <w:tc>
          <w:tcPr>
            <w:tcW w:w="5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Vesting Period</w:t>
            </w:r>
          </w:p>
        </w:tc>
      </w:tr>
      <w:tr>
        <w:trPr>
          <w:trHeight w:val="213"/>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July 22, 2021 (1)</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122,477</w:t>
            </w:r>
          </w:p>
        </w:tc>
        <w:tc>
          <w:tcPr>
            <w:tcW w:w="1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61,238</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w:t>
            </w:r>
          </w:p>
        </w:tc>
        <w:tc>
          <w:tcPr>
            <w:tcW w:w="5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July 22, 2021 (2)</w:t>
            </w:r>
          </w:p>
        </w:tc>
        <w:tc>
          <w:tcPr>
            <w:tcW w:w="3020" w:type="dxa"/>
            <w:vAlign w:val="bottom"/>
          </w:tcPr>
          <w:p>
            <w:pPr>
              <w:jc w:val="right"/>
              <w:ind w:right="199"/>
              <w:spacing w:after="0"/>
              <w:rPr>
                <w:sz w:val="20"/>
                <w:szCs w:val="20"/>
                <w:color w:val="auto"/>
              </w:rPr>
            </w:pPr>
            <w:r>
              <w:rPr>
                <w:rFonts w:ascii="Arial" w:cs="Arial" w:eastAsia="Arial" w:hAnsi="Arial"/>
                <w:sz w:val="16"/>
                <w:szCs w:val="16"/>
                <w:color w:val="auto"/>
              </w:rPr>
              <w:t>21,900</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10,650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14.75</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(7)</w:t>
            </w:r>
          </w:p>
        </w:tc>
        <w:tc>
          <w:tcPr>
            <w:tcW w:w="1640" w:type="dxa"/>
            <w:vAlign w:val="bottom"/>
          </w:tcPr>
          <w:p>
            <w:pPr>
              <w:ind w:left="1160"/>
              <w:spacing w:after="0"/>
              <w:rPr>
                <w:sz w:val="20"/>
                <w:szCs w:val="20"/>
                <w:color w:val="auto"/>
              </w:rPr>
            </w:pPr>
            <w:r>
              <w:rPr>
                <w:rFonts w:ascii="Arial" w:cs="Arial" w:eastAsia="Arial" w:hAnsi="Arial"/>
                <w:sz w:val="16"/>
                <w:szCs w:val="16"/>
                <w:color w:val="auto"/>
                <w:w w:val="87"/>
              </w:rPr>
              <w:t>3 years</w:t>
            </w: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July 18, 2019 (1)</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93,653</w:t>
            </w:r>
          </w:p>
        </w:tc>
        <w:tc>
          <w:tcPr>
            <w:tcW w:w="1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4,654</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w:t>
            </w:r>
          </w:p>
        </w:tc>
        <w:tc>
          <w:tcPr>
            <w:tcW w:w="5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(6)</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13"/>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July 18, 2019 (2)</w:t>
            </w:r>
          </w:p>
        </w:tc>
        <w:tc>
          <w:tcPr>
            <w:tcW w:w="3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29,227</w:t>
            </w: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2,787</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w:t>
            </w:r>
          </w:p>
        </w:tc>
        <w:tc>
          <w:tcPr>
            <w:tcW w:w="16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w w:val="87"/>
              </w:rPr>
              <w:t>3 years</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senior executives.</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key employees.</w:t>
      </w:r>
    </w:p>
    <w:p>
      <w:pPr>
        <w:spacing w:after="0" w:line="175"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Amounts represent the maximum number of common stock shares that could be earned if certain performance targets are met as defined in the related restricted stock unit agreements.</w:t>
      </w:r>
    </w:p>
    <w:p>
      <w:pPr>
        <w:spacing w:after="0" w:line="136" w:lineRule="exact"/>
        <w:rPr>
          <w:rFonts w:ascii="Arial" w:cs="Arial" w:eastAsia="Arial" w:hAnsi="Arial"/>
          <w:sz w:val="20"/>
          <w:szCs w:val="20"/>
          <w:color w:val="auto"/>
        </w:rPr>
      </w:pPr>
    </w:p>
    <w:p>
      <w:pPr>
        <w:jc w:val="both"/>
        <w:ind w:left="360" w:hanging="352"/>
        <w:spacing w:after="0" w:line="250"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October 31, 2021.</w:t>
      </w:r>
    </w:p>
    <w:p>
      <w:pPr>
        <w:spacing w:after="0" w:line="145"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senior executives on July 22, 2021.</w:t>
      </w:r>
    </w:p>
    <w:p>
      <w:pPr>
        <w:spacing w:after="0" w:line="150"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($1.03 per $1, or an increase of $0.55 to the closing price of our common stock on the date of grant) determined using the Monte Carlo simulation model for the market-based total shareholder return component and the closing price of our common stock ($18.49) for the performance-based component of the performance-based restricted stock units granted to senior executives on July 18, 2019.</w:t>
      </w:r>
    </w:p>
    <w:p>
      <w:pPr>
        <w:spacing w:after="0" w:line="150" w:lineRule="exact"/>
        <w:rPr>
          <w:rFonts w:ascii="Arial" w:cs="Arial" w:eastAsia="Arial" w:hAnsi="Arial"/>
          <w:sz w:val="20"/>
          <w:szCs w:val="20"/>
          <w:color w:val="auto"/>
        </w:rPr>
      </w:pPr>
    </w:p>
    <w:p>
      <w:pPr>
        <w:ind w:left="360" w:hanging="352"/>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Price per share represents the closing price of our common stock on the date of grant.</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summarizes information related to our performance-based restricted stock units that vested during the six-month periods ending October 31, 2021, and 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20" w:type="dxa"/>
            <w:vAlign w:val="bottom"/>
          </w:tcPr>
          <w:p>
            <w:pPr>
              <w:spacing w:after="0"/>
              <w:rPr>
                <w:sz w:val="17"/>
                <w:szCs w:val="17"/>
                <w:color w:val="auto"/>
              </w:rPr>
            </w:pPr>
          </w:p>
        </w:tc>
        <w:tc>
          <w:tcPr>
            <w:tcW w:w="4060" w:type="dxa"/>
            <w:vAlign w:val="bottom"/>
          </w:tcPr>
          <w:p>
            <w:pPr>
              <w:jc w:val="center"/>
              <w:ind w:left="2019"/>
              <w:spacing w:after="0"/>
              <w:rPr>
                <w:sz w:val="20"/>
                <w:szCs w:val="20"/>
                <w:color w:val="auto"/>
              </w:rPr>
            </w:pPr>
            <w:r>
              <w:rPr>
                <w:rFonts w:ascii="Arial" w:cs="Arial" w:eastAsia="Arial" w:hAnsi="Arial"/>
                <w:sz w:val="16"/>
                <w:szCs w:val="16"/>
                <w:color w:val="auto"/>
                <w:w w:val="89"/>
              </w:rPr>
              <w:t>Performance-Based</w:t>
            </w: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center"/>
              <w:ind w:right="299"/>
              <w:spacing w:after="0"/>
              <w:rPr>
                <w:sz w:val="20"/>
                <w:szCs w:val="20"/>
                <w:color w:val="auto"/>
              </w:rPr>
            </w:pPr>
            <w:r>
              <w:rPr>
                <w:rFonts w:ascii="Arial" w:cs="Arial" w:eastAsia="Arial" w:hAnsi="Arial"/>
                <w:sz w:val="16"/>
                <w:szCs w:val="16"/>
                <w:color w:val="auto"/>
              </w:rPr>
              <w:t>(4)</w:t>
            </w:r>
          </w:p>
        </w:tc>
      </w:tr>
      <w:tr>
        <w:trPr>
          <w:trHeight w:val="216"/>
        </w:trPr>
        <w:tc>
          <w:tcPr>
            <w:tcW w:w="3420" w:type="dxa"/>
            <w:vAlign w:val="bottom"/>
          </w:tcPr>
          <w:p>
            <w:pPr>
              <w:spacing w:after="0"/>
              <w:rPr>
                <w:sz w:val="18"/>
                <w:szCs w:val="18"/>
                <w:color w:val="auto"/>
              </w:rPr>
            </w:pPr>
          </w:p>
        </w:tc>
        <w:tc>
          <w:tcPr>
            <w:tcW w:w="4060" w:type="dxa"/>
            <w:vAlign w:val="bottom"/>
          </w:tcPr>
          <w:p>
            <w:pPr>
              <w:jc w:val="center"/>
              <w:ind w:left="1999"/>
              <w:spacing w:after="0"/>
              <w:rPr>
                <w:sz w:val="20"/>
                <w:szCs w:val="20"/>
                <w:color w:val="auto"/>
              </w:rPr>
            </w:pPr>
            <w:r>
              <w:rPr>
                <w:rFonts w:ascii="Arial" w:cs="Arial" w:eastAsia="Arial" w:hAnsi="Arial"/>
                <w:sz w:val="16"/>
                <w:szCs w:val="16"/>
                <w:color w:val="auto"/>
                <w:w w:val="90"/>
              </w:rPr>
              <w:t>Restricted Stock</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center"/>
              <w:ind w:right="299"/>
              <w:spacing w:after="0"/>
              <w:rPr>
                <w:sz w:val="20"/>
                <w:szCs w:val="20"/>
                <w:color w:val="auto"/>
              </w:rPr>
            </w:pPr>
            <w:r>
              <w:rPr>
                <w:rFonts w:ascii="Arial" w:cs="Arial" w:eastAsia="Arial" w:hAnsi="Arial"/>
                <w:sz w:val="16"/>
                <w:szCs w:val="16"/>
                <w:color w:val="auto"/>
                <w:w w:val="87"/>
              </w:rPr>
              <w:t>Price</w:t>
            </w:r>
          </w:p>
        </w:tc>
      </w:tr>
      <w:tr>
        <w:trPr>
          <w:trHeight w:val="219"/>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w:t>
            </w:r>
          </w:p>
        </w:tc>
        <w:tc>
          <w:tcPr>
            <w:tcW w:w="4060" w:type="dxa"/>
            <w:vAlign w:val="bottom"/>
            <w:tcBorders>
              <w:bottom w:val="single" w:sz="8" w:color="auto"/>
            </w:tcBorders>
          </w:tcPr>
          <w:p>
            <w:pPr>
              <w:jc w:val="center"/>
              <w:ind w:left="1999"/>
              <w:spacing w:after="0"/>
              <w:rPr>
                <w:sz w:val="20"/>
                <w:szCs w:val="20"/>
                <w:color w:val="auto"/>
              </w:rPr>
            </w:pPr>
            <w:r>
              <w:rPr>
                <w:rFonts w:ascii="Arial" w:cs="Arial" w:eastAsia="Arial" w:hAnsi="Arial"/>
                <w:sz w:val="16"/>
                <w:szCs w:val="16"/>
                <w:color w:val="auto"/>
                <w:w w:val="90"/>
              </w:rPr>
              <w:t>Units Vested</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Fair Value</w:t>
            </w: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8"/>
              </w:rPr>
              <w:t>Per Share</w:t>
            </w:r>
          </w:p>
        </w:tc>
      </w:tr>
      <w:tr>
        <w:trPr>
          <w:trHeight w:val="213"/>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Fiscal 2022 (1)</w:t>
            </w:r>
          </w:p>
        </w:tc>
        <w:tc>
          <w:tcPr>
            <w:tcW w:w="4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6,734</w:t>
            </w:r>
          </w:p>
        </w:tc>
        <w:tc>
          <w:tcPr>
            <w:tcW w:w="146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17.14</w:t>
            </w:r>
          </w:p>
        </w:tc>
      </w:tr>
      <w:tr>
        <w:trPr>
          <w:trHeight w:val="213"/>
        </w:trPr>
        <w:tc>
          <w:tcPr>
            <w:tcW w:w="3420" w:type="dxa"/>
            <w:vAlign w:val="bottom"/>
          </w:tcPr>
          <w:p>
            <w:pPr>
              <w:spacing w:after="0"/>
              <w:rPr>
                <w:sz w:val="20"/>
                <w:szCs w:val="20"/>
                <w:color w:val="auto"/>
              </w:rPr>
            </w:pPr>
            <w:r>
              <w:rPr>
                <w:rFonts w:ascii="Arial" w:cs="Arial" w:eastAsia="Arial" w:hAnsi="Arial"/>
                <w:sz w:val="16"/>
                <w:szCs w:val="16"/>
                <w:color w:val="auto"/>
              </w:rPr>
              <w:t>Fiscal 2022 (2)</w:t>
            </w:r>
          </w:p>
        </w:tc>
        <w:tc>
          <w:tcPr>
            <w:tcW w:w="4060" w:type="dxa"/>
            <w:vAlign w:val="bottom"/>
          </w:tcPr>
          <w:p>
            <w:pPr>
              <w:jc w:val="right"/>
              <w:ind w:right="59"/>
              <w:spacing w:after="0"/>
              <w:rPr>
                <w:sz w:val="20"/>
                <w:szCs w:val="20"/>
                <w:color w:val="auto"/>
              </w:rPr>
            </w:pPr>
            <w:r>
              <w:rPr>
                <w:rFonts w:ascii="Arial" w:cs="Arial" w:eastAsia="Arial" w:hAnsi="Arial"/>
                <w:sz w:val="16"/>
                <w:szCs w:val="16"/>
                <w:color w:val="auto"/>
              </w:rPr>
              <w:t>5,812</w:t>
            </w:r>
          </w:p>
        </w:tc>
        <w:tc>
          <w:tcPr>
            <w:tcW w:w="14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17.14</w:t>
            </w:r>
          </w:p>
        </w:tc>
      </w:tr>
      <w:tr>
        <w:trPr>
          <w:trHeight w:val="219"/>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Fiscal 2021 (1)</w:t>
            </w:r>
          </w:p>
        </w:tc>
        <w:tc>
          <w:tcPr>
            <w:tcW w:w="4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3,277</w:t>
            </w:r>
          </w:p>
        </w:tc>
        <w:tc>
          <w:tcPr>
            <w:tcW w:w="146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9.96</w:t>
            </w:r>
          </w:p>
        </w:tc>
      </w:tr>
      <w:tr>
        <w:trPr>
          <w:trHeight w:val="213"/>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2021 (2)</w:t>
            </w:r>
          </w:p>
        </w:tc>
        <w:tc>
          <w:tcPr>
            <w:tcW w:w="4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3,710</w:t>
            </w:r>
          </w:p>
        </w:tc>
        <w:tc>
          <w:tcPr>
            <w:tcW w:w="14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9.96</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Performance-based restricted stock units vested by senior executives.</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Performance-based restricted stock units vested by key employees.</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Dollar amounts are in thousands.</w:t>
      </w:r>
    </w:p>
    <w:p>
      <w:pPr>
        <w:spacing w:after="0" w:line="175"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Price per share is derived from the closing price of our common stock on the date the respective performance-based restricted stock units vested.</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recorded compensation expense of $109,000 and $89,000 within selling, general, and administrative expenses for the six-month periods ending October 31, 2021, and November 1, 2020, respectively. Compensation cost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cost will not be recorded, and any previously recognized compensation cost will be reversed.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5" w:name="page26"/>
    <w:bookmarkEnd w:id="25"/>
    <w:p>
      <w:pPr>
        <w:jc w:val="both"/>
        <w:spacing w:after="0" w:line="250" w:lineRule="auto"/>
        <w:rPr>
          <w:sz w:val="20"/>
          <w:szCs w:val="20"/>
          <w:color w:val="auto"/>
        </w:rPr>
      </w:pPr>
      <w:r>
        <w:rPr>
          <w:rFonts w:ascii="Arial" w:cs="Arial" w:eastAsia="Arial" w:hAnsi="Arial"/>
          <w:sz w:val="20"/>
          <w:szCs w:val="20"/>
          <w:color w:val="auto"/>
        </w:rPr>
        <w:t>As of October 31, 2021, the remaining unrecognized compensation cost related to our performance-based restricted stock units was $1.1 million, which is expected to be recognized over a weighted average vesting period of 2.6 years. As of October 31, 2021, the performance-based restricted stock units that were expected to vest had a fair value totaling $951,000.</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Time-Based Restricted Stock Units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information related to our grants of time-based restricted stock unit awards associated with senior executives and key members of management that are unvested as of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0" w:type="dxa"/>
            <w:vAlign w:val="bottom"/>
          </w:tcPr>
          <w:p>
            <w:pPr>
              <w:spacing w:after="0"/>
              <w:rPr>
                <w:sz w:val="17"/>
                <w:szCs w:val="17"/>
                <w:color w:val="auto"/>
              </w:rPr>
            </w:pPr>
          </w:p>
        </w:tc>
        <w:tc>
          <w:tcPr>
            <w:tcW w:w="3920" w:type="dxa"/>
            <w:vAlign w:val="bottom"/>
          </w:tcPr>
          <w:p>
            <w:pPr>
              <w:jc w:val="center"/>
              <w:ind w:left="1899"/>
              <w:spacing w:after="0"/>
              <w:rPr>
                <w:sz w:val="20"/>
                <w:szCs w:val="20"/>
                <w:color w:val="auto"/>
              </w:rPr>
            </w:pPr>
            <w:r>
              <w:rPr>
                <w:rFonts w:ascii="Arial" w:cs="Arial" w:eastAsia="Arial" w:hAnsi="Arial"/>
                <w:sz w:val="16"/>
                <w:szCs w:val="16"/>
                <w:color w:val="auto"/>
                <w:w w:val="90"/>
              </w:rPr>
              <w:t>Time-Based</w:t>
            </w: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3920" w:type="dxa"/>
            <w:vAlign w:val="bottom"/>
          </w:tcPr>
          <w:p>
            <w:pPr>
              <w:jc w:val="center"/>
              <w:ind w:left="1899"/>
              <w:spacing w:after="0"/>
              <w:rPr>
                <w:sz w:val="20"/>
                <w:szCs w:val="20"/>
                <w:color w:val="auto"/>
              </w:rPr>
            </w:pPr>
            <w:r>
              <w:rPr>
                <w:rFonts w:ascii="Arial" w:cs="Arial" w:eastAsia="Arial" w:hAnsi="Arial"/>
                <w:sz w:val="16"/>
                <w:szCs w:val="16"/>
                <w:color w:val="auto"/>
                <w:w w:val="90"/>
              </w:rPr>
              <w:t>Restricted Stock</w:t>
            </w:r>
          </w:p>
        </w:tc>
        <w:tc>
          <w:tcPr>
            <w:tcW w:w="380" w:type="dxa"/>
            <w:vAlign w:val="bottom"/>
          </w:tcPr>
          <w:p>
            <w:pPr>
              <w:spacing w:after="0"/>
              <w:rPr>
                <w:sz w:val="18"/>
                <w:szCs w:val="18"/>
                <w:color w:val="auto"/>
              </w:rPr>
            </w:pPr>
          </w:p>
        </w:tc>
        <w:tc>
          <w:tcPr>
            <w:tcW w:w="1680" w:type="dxa"/>
            <w:vAlign w:val="bottom"/>
          </w:tcPr>
          <w:p>
            <w:pPr>
              <w:jc w:val="right"/>
              <w:ind w:right="1019"/>
              <w:spacing w:after="0"/>
              <w:rPr>
                <w:sz w:val="20"/>
                <w:szCs w:val="20"/>
                <w:color w:val="auto"/>
              </w:rPr>
            </w:pPr>
            <w:r>
              <w:rPr>
                <w:rFonts w:ascii="Arial" w:cs="Arial" w:eastAsia="Arial" w:hAnsi="Arial"/>
                <w:sz w:val="16"/>
                <w:szCs w:val="16"/>
                <w:color w:val="auto"/>
              </w:rPr>
              <w:t>(1)</w:t>
            </w:r>
          </w:p>
        </w:tc>
        <w:tc>
          <w:tcPr>
            <w:tcW w:w="1860" w:type="dxa"/>
            <w:vAlign w:val="bottom"/>
          </w:tcPr>
          <w:p>
            <w:pPr>
              <w:spacing w:after="0"/>
              <w:rPr>
                <w:sz w:val="18"/>
                <w:szCs w:val="18"/>
                <w:color w:val="auto"/>
              </w:rPr>
            </w:pPr>
          </w:p>
        </w:tc>
      </w:tr>
      <w:tr>
        <w:trPr>
          <w:trHeight w:val="219"/>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of Grant</w:t>
            </w:r>
          </w:p>
        </w:tc>
        <w:tc>
          <w:tcPr>
            <w:tcW w:w="3920" w:type="dxa"/>
            <w:vAlign w:val="bottom"/>
            <w:tcBorders>
              <w:bottom w:val="single" w:sz="8" w:color="auto"/>
            </w:tcBorders>
          </w:tcPr>
          <w:p>
            <w:pPr>
              <w:jc w:val="center"/>
              <w:ind w:left="1899"/>
              <w:spacing w:after="0"/>
              <w:rPr>
                <w:sz w:val="20"/>
                <w:szCs w:val="20"/>
                <w:color w:val="auto"/>
              </w:rPr>
            </w:pPr>
            <w:r>
              <w:rPr>
                <w:rFonts w:ascii="Arial" w:cs="Arial" w:eastAsia="Arial" w:hAnsi="Arial"/>
                <w:sz w:val="16"/>
                <w:szCs w:val="16"/>
                <w:color w:val="auto"/>
                <w:w w:val="94"/>
              </w:rPr>
              <w:t>Units Awarded</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Price Per Share</w:t>
            </w: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Vesting Period</w:t>
            </w:r>
          </w:p>
        </w:tc>
      </w:tr>
      <w:tr>
        <w:trPr>
          <w:trHeight w:val="212"/>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July 22, 2021</w:t>
            </w:r>
          </w:p>
        </w:tc>
        <w:tc>
          <w:tcPr>
            <w:tcW w:w="3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37,991</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14.75</w:t>
            </w:r>
          </w:p>
        </w:tc>
        <w:tc>
          <w:tcPr>
            <w:tcW w:w="18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87"/>
              </w:rPr>
              <w:t>3 years</w:t>
            </w: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rPr>
              <w:t>August 6, 2020</w:t>
            </w:r>
          </w:p>
        </w:tc>
        <w:tc>
          <w:tcPr>
            <w:tcW w:w="3920" w:type="dxa"/>
            <w:vAlign w:val="bottom"/>
          </w:tcPr>
          <w:p>
            <w:pPr>
              <w:jc w:val="right"/>
              <w:ind w:right="59"/>
              <w:spacing w:after="0"/>
              <w:rPr>
                <w:sz w:val="20"/>
                <w:szCs w:val="20"/>
                <w:color w:val="auto"/>
              </w:rPr>
            </w:pPr>
            <w:r>
              <w:rPr>
                <w:rFonts w:ascii="Arial" w:cs="Arial" w:eastAsia="Arial" w:hAnsi="Arial"/>
                <w:sz w:val="16"/>
                <w:szCs w:val="16"/>
                <w:color w:val="auto"/>
              </w:rPr>
              <w:t>129,896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79"/>
              <w:spacing w:after="0"/>
              <w:rPr>
                <w:sz w:val="20"/>
                <w:szCs w:val="20"/>
                <w:color w:val="auto"/>
              </w:rPr>
            </w:pPr>
            <w:r>
              <w:rPr>
                <w:rFonts w:ascii="Arial" w:cs="Arial" w:eastAsia="Arial" w:hAnsi="Arial"/>
                <w:sz w:val="16"/>
                <w:szCs w:val="16"/>
                <w:color w:val="auto"/>
              </w:rPr>
              <w:t>11.01</w:t>
            </w:r>
          </w:p>
        </w:tc>
        <w:tc>
          <w:tcPr>
            <w:tcW w:w="1860" w:type="dxa"/>
            <w:vAlign w:val="bottom"/>
          </w:tcPr>
          <w:p>
            <w:pPr>
              <w:ind w:left="1380"/>
              <w:spacing w:after="0"/>
              <w:rPr>
                <w:sz w:val="20"/>
                <w:szCs w:val="20"/>
                <w:color w:val="auto"/>
              </w:rPr>
            </w:pPr>
            <w:r>
              <w:rPr>
                <w:rFonts w:ascii="Arial" w:cs="Arial" w:eastAsia="Arial" w:hAnsi="Arial"/>
                <w:sz w:val="16"/>
                <w:szCs w:val="16"/>
                <w:color w:val="auto"/>
                <w:w w:val="87"/>
              </w:rPr>
              <w:t>3 years</w:t>
            </w: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July 18, 2019</w:t>
            </w:r>
          </w:p>
        </w:tc>
        <w:tc>
          <w:tcPr>
            <w:tcW w:w="3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34,399</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18.49</w:t>
            </w:r>
          </w:p>
        </w:tc>
        <w:tc>
          <w:tcPr>
            <w:tcW w:w="18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87"/>
              </w:rPr>
              <w:t>3 years</w:t>
            </w:r>
          </w:p>
        </w:tc>
      </w:tr>
      <w:tr>
        <w:trPr>
          <w:trHeight w:val="213"/>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August 2, 2018</w:t>
            </w:r>
          </w:p>
        </w:tc>
        <w:tc>
          <w:tcPr>
            <w:tcW w:w="3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24.35</w:t>
            </w:r>
          </w:p>
        </w:tc>
        <w:tc>
          <w:tcPr>
            <w:tcW w:w="186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w w:val="87"/>
              </w:rPr>
              <w:t>5 years</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720" w:firstLine="8"/>
        <w:spacing w:after="0" w:line="415" w:lineRule="auto"/>
        <w:tabs>
          <w:tab w:leader="none" w:pos="351"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Price per share represents closing price of common stock on the date the respective award was granted. </w:t>
      </w:r>
      <w:r>
        <w:rPr>
          <w:rFonts w:ascii="Arial" w:cs="Arial" w:eastAsia="Arial" w:hAnsi="Arial"/>
          <w:sz w:val="20"/>
          <w:szCs w:val="20"/>
          <w:u w:val="single" w:color="auto"/>
          <w:color w:val="auto"/>
        </w:rPr>
        <w:t>Overall</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recorded compensation expense of $446,000 and $245,000 within selling, general, and administrative expenses associated with our time-based restricted stock unit awards for the six-month periods ending October 31, 2021, and November 1, 2020, respectively.</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October 31, 2021, the remaining unrecognized compensation cost related to our time-based restricted stock units was $1.6 million, which is expected to be recognized over a weighted average vesting period of 2.0 years. As of October 31, 2021, the time-based restricted stock units that are expected to vest had a fair value totaling $2.8 million.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Award</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granted a total of 6,426 and 4,312 shares of common stock to our outside directors on October 1, 2021 and July 1, 2021, respectively. These shares of common stock vested immediately and were measured at their fair value on the date of grant. The fair value of these awards was $13.03 and $16.24 per share on October 1, 2021 and July 1, 2021, respectively, which represents the closing price of our common stock on the date of grant.</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granted a total of 5,193 and 7,000 shares of common stock to our outside directors on October 1, 2020 and July 1, 2020, respectively. These shares of common stock vested immediately and were measured at their fair value on the date of grant. The fair value of these awards was $13.48 and $10.00 per share on October 1, 2020 and July 1, 2020, respectively, which represents the closing price of our common stock on the date of grant.</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recorded $154,000 and $140,000 of compensation expense within selling, general, and administrative expenses for common stock awards to our outside directors for the six-month periods ending October 31, 2021, and November 1, 2020.</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Leases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lease manufacturing facilities, showroom and office space, distribution centers, and equipment under operating lease arrangements. Our operating leases have remaining noncancellable lease terms of one to ten years, with renewal options for additional periods ranging up to twelve years.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w:t>
      </w:r>
    </w:p>
    <w:p>
      <w:pPr>
        <w:spacing w:after="0" w:line="18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right of use assets and lease liabilities associated with our operating leases as of October 31, 2021, November 1, 2020, and May 2,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October 31,</w:t>
            </w:r>
          </w:p>
        </w:tc>
        <w:tc>
          <w:tcPr>
            <w:tcW w:w="28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color w:val="auto"/>
                <w:w w:val="98"/>
              </w:rPr>
              <w:t>November 1,</w:t>
            </w:r>
          </w:p>
        </w:tc>
        <w:tc>
          <w:tcPr>
            <w:tcW w:w="3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color w:val="auto"/>
              </w:rPr>
              <w:t>May 2,</w:t>
            </w:r>
          </w:p>
        </w:tc>
      </w:tr>
      <w:tr>
        <w:trPr>
          <w:trHeight w:val="209"/>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r>
      <w:tr>
        <w:trPr>
          <w:trHeight w:val="213"/>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Right of use assets</w:t>
            </w:r>
          </w:p>
        </w:tc>
        <w:tc>
          <w:tcPr>
            <w:tcW w:w="2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13,649</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6,165</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11,730</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Operating lease liability - current</w:t>
            </w:r>
          </w:p>
        </w:tc>
        <w:tc>
          <w:tcPr>
            <w:tcW w:w="230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2,878</w:t>
            </w:r>
          </w:p>
        </w:tc>
        <w:tc>
          <w:tcPr>
            <w:tcW w:w="28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2,316</w:t>
            </w:r>
          </w:p>
        </w:tc>
        <w:tc>
          <w:tcPr>
            <w:tcW w:w="3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2,736</w:t>
            </w: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lease liability – noncurrent</w:t>
            </w:r>
          </w:p>
        </w:tc>
        <w:tc>
          <w:tcPr>
            <w:tcW w:w="2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7,914</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4,008</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6,821</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i w:val="1"/>
          <w:iCs w:val="1"/>
          <w:color w:val="auto"/>
        </w:rPr>
        <w:t>Supplemental Cash Flow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color w:val="auto"/>
                <w:w w:val="95"/>
              </w:rPr>
              <w:t>Six Months</w:t>
            </w: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color w:val="auto"/>
                <w:w w:val="95"/>
              </w:rPr>
              <w:t>Six Months</w:t>
            </w:r>
          </w:p>
        </w:tc>
      </w:tr>
      <w:tr>
        <w:trPr>
          <w:trHeight w:val="206"/>
        </w:trPr>
        <w:tc>
          <w:tcPr>
            <w:tcW w:w="5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40" w:type="dxa"/>
            <w:vAlign w:val="bottom"/>
          </w:tcPr>
          <w:p>
            <w:pPr>
              <w:jc w:val="center"/>
              <w:ind w:right="219"/>
              <w:spacing w:after="0"/>
              <w:rPr>
                <w:sz w:val="20"/>
                <w:szCs w:val="20"/>
                <w:color w:val="auto"/>
              </w:rPr>
            </w:pPr>
            <w:r>
              <w:rPr>
                <w:rFonts w:ascii="Arial" w:cs="Arial" w:eastAsia="Arial" w:hAnsi="Arial"/>
                <w:sz w:val="16"/>
                <w:szCs w:val="16"/>
                <w:color w:val="auto"/>
                <w:w w:val="86"/>
              </w:rPr>
              <w:t>Ended</w:t>
            </w:r>
          </w:p>
        </w:tc>
        <w:tc>
          <w:tcPr>
            <w:tcW w:w="260" w:type="dxa"/>
            <w:vAlign w:val="bottom"/>
          </w:tcPr>
          <w:p>
            <w:pPr>
              <w:spacing w:after="0"/>
              <w:rPr>
                <w:sz w:val="17"/>
                <w:szCs w:val="17"/>
                <w:color w:val="auto"/>
              </w:rPr>
            </w:pPr>
          </w:p>
        </w:tc>
        <w:tc>
          <w:tcPr>
            <w:tcW w:w="1560" w:type="dxa"/>
            <w:vAlign w:val="bottom"/>
          </w:tcPr>
          <w:p>
            <w:pPr>
              <w:jc w:val="center"/>
              <w:ind w:right="179"/>
              <w:spacing w:after="0"/>
              <w:rPr>
                <w:sz w:val="20"/>
                <w:szCs w:val="20"/>
                <w:color w:val="auto"/>
              </w:rPr>
            </w:pPr>
            <w:r>
              <w:rPr>
                <w:rFonts w:ascii="Arial" w:cs="Arial" w:eastAsia="Arial" w:hAnsi="Arial"/>
                <w:sz w:val="16"/>
                <w:szCs w:val="16"/>
                <w:color w:val="auto"/>
                <w:w w:val="90"/>
              </w:rPr>
              <w:t>Ended</w:t>
            </w:r>
          </w:p>
        </w:tc>
      </w:tr>
      <w:tr>
        <w:trPr>
          <w:trHeight w:val="219"/>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90"/>
              </w:rPr>
              <w:t>October 31, 2021</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1"/>
              </w:rPr>
              <w:t>November 1, 2020</w:t>
            </w:r>
          </w:p>
        </w:tc>
      </w:tr>
      <w:tr>
        <w:trPr>
          <w:trHeight w:val="21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payments</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1,436</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1,232</w:t>
            </w:r>
          </w:p>
        </w:tc>
      </w:tr>
      <w:tr>
        <w:trPr>
          <w:trHeight w:val="213"/>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 exchanged for lease liabilities</w:t>
            </w:r>
          </w:p>
        </w:tc>
        <w:tc>
          <w:tcPr>
            <w:tcW w:w="2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2,614</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3,618</w:t>
            </w:r>
          </w:p>
        </w:tc>
      </w:tr>
    </w:tbl>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lease expense for the three-month periods ended October 31, 2021, and November 1, 2020, was $905,000 and $696,000, respectively. Operating lease expense for the six-month periods ended October 31, 2021, and November 1, 2020, was $1.8 million and $1.4 million, respectively. Short-term lease and variable lease expenses were immaterial for the three-month and six-month periods ended October 31, 2021, and November 1, 2020.</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Maturity of our operating lease liabilities for the remainder of fiscal 2022,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2022</w:t>
            </w:r>
          </w:p>
        </w:tc>
        <w:tc>
          <w:tcPr>
            <w:tcW w:w="38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1,449</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2023</w:t>
            </w:r>
          </w:p>
        </w:tc>
        <w:tc>
          <w:tcPr>
            <w:tcW w:w="382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2,991</w:t>
            </w: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8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2,689</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2025</w:t>
            </w:r>
          </w:p>
        </w:tc>
        <w:tc>
          <w:tcPr>
            <w:tcW w:w="382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1,753</w:t>
            </w: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38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493</w:t>
            </w: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3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1,868</w:t>
            </w:r>
          </w:p>
        </w:tc>
      </w:tr>
      <w:tr>
        <w:trPr>
          <w:trHeight w:val="213"/>
        </w:trPr>
        <w:tc>
          <w:tcPr>
            <w:tcW w:w="5660" w:type="dxa"/>
            <w:vAlign w:val="bottom"/>
            <w:shd w:val="clear" w:color="auto" w:fill="CFF0FC"/>
          </w:tcPr>
          <w:p>
            <w:pPr>
              <w:spacing w:after="0"/>
              <w:rPr>
                <w:sz w:val="18"/>
                <w:szCs w:val="18"/>
                <w:color w:val="auto"/>
              </w:rPr>
            </w:pPr>
          </w:p>
        </w:tc>
        <w:tc>
          <w:tcPr>
            <w:tcW w:w="3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11,243</w:t>
            </w: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interest</w:t>
            </w:r>
          </w:p>
        </w:tc>
        <w:tc>
          <w:tcPr>
            <w:tcW w:w="3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r>
      <w:tr>
        <w:trPr>
          <w:trHeight w:val="210"/>
        </w:trPr>
        <w:tc>
          <w:tcPr>
            <w:tcW w:w="5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Present value of lease liabilities</w:t>
            </w:r>
          </w:p>
        </w:tc>
        <w:tc>
          <w:tcPr>
            <w:tcW w:w="3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10,792</w:t>
            </w:r>
          </w:p>
        </w:tc>
      </w:tr>
      <w:tr>
        <w:trPr>
          <w:trHeight w:val="20"/>
        </w:trPr>
        <w:tc>
          <w:tcPr>
            <w:tcW w:w="9480" w:type="dxa"/>
            <w:vAlign w:val="bottom"/>
            <w:tcBorders>
              <w:bottom w:val="single" w:sz="8" w:color="auto"/>
            </w:tcBorders>
            <w:gridSpan w:val="2"/>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33"/>
        </w:trPr>
        <w:tc>
          <w:tcPr>
            <w:tcW w:w="9480" w:type="dxa"/>
            <w:vAlign w:val="bottom"/>
            <w:gridSpan w:val="2"/>
          </w:tcPr>
          <w:p>
            <w:pPr>
              <w:spacing w:after="0"/>
              <w:rPr>
                <w:sz w:val="20"/>
                <w:szCs w:val="20"/>
                <w:color w:val="auto"/>
              </w:rPr>
            </w:pPr>
            <w:r>
              <w:rPr>
                <w:rFonts w:ascii="Arial" w:cs="Arial" w:eastAsia="Arial" w:hAnsi="Arial"/>
                <w:sz w:val="20"/>
                <w:szCs w:val="20"/>
                <w:color w:val="auto"/>
                <w:w w:val="90"/>
              </w:rPr>
              <w:t>As of October 31, 2021, the weighted average remaining lease term and discount rate for our operating leases follows:</w:t>
            </w:r>
          </w:p>
        </w:tc>
        <w:tc>
          <w:tcPr>
            <w:tcW w:w="1760" w:type="dxa"/>
            <w:vAlign w:val="bottom"/>
          </w:tcPr>
          <w:p>
            <w:pPr>
              <w:spacing w:after="0"/>
              <w:rPr>
                <w:sz w:val="24"/>
                <w:szCs w:val="24"/>
                <w:color w:val="auto"/>
              </w:rPr>
            </w:pPr>
          </w:p>
        </w:tc>
      </w:tr>
      <w:tr>
        <w:trPr>
          <w:trHeight w:val="212"/>
        </w:trPr>
        <w:tc>
          <w:tcPr>
            <w:tcW w:w="56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98"/>
              </w:rPr>
              <w:t>October 31, 2021</w:t>
            </w: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lease term</w:t>
            </w:r>
          </w:p>
        </w:tc>
        <w:tc>
          <w:tcPr>
            <w:tcW w:w="38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 years</w:t>
            </w: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discount rate</w:t>
            </w:r>
          </w:p>
        </w:tc>
        <w:tc>
          <w:tcPr>
            <w:tcW w:w="3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As of November 1, 2020, the weighted average remaining lease term and discount rate for our operating leases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November 1, 2020</w:t>
            </w:r>
          </w:p>
        </w:tc>
      </w:tr>
      <w:tr>
        <w:trPr>
          <w:trHeight w:val="213"/>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lease term</w:t>
            </w:r>
          </w:p>
        </w:tc>
        <w:tc>
          <w:tcPr>
            <w:tcW w:w="54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 years</w:t>
            </w:r>
          </w:p>
        </w:tc>
      </w:tr>
      <w:tr>
        <w:trPr>
          <w:trHeight w:val="213"/>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discount rate</w:t>
            </w:r>
          </w:p>
        </w:tc>
        <w:tc>
          <w:tcPr>
            <w:tcW w:w="5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 Contracts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Culp Upholstery Fabrics – Haiti, Ltd.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Effective April 9, 2021, we entered into an agreement to lease a 90,000 square foot facility located in a modern industrial park on the northeastern border of Haiti. This facility will be dedicated to the production of cut and sewn upholstery kits and is expected to be operational during the third quarter of fiscal 2022. The lease agreement has an initial non-cancelable lease term of eight years, which will commence after the construction of the facility has been completed, and at such time we will have control of the facility based on the terms of the lease. The rent payments for the initial term of the lease total $2.8 million and will be paid in advance of commencement of the lease. Of the $2.8 million rent payments, $1.4 million was paid during April 2021, $558,000 was paid during July 2021, $418,500 was paid during August 2021, and the remaining $418,500 is expected to be paid during the third quarter of fiscal 2022 within 30 days after commencement of the lease as defined in the agreement. As of October 31, 2021, $2.4 million was paid in advance of the commencement of the lease and was classified as other assets in the accompanying Consolidated Balance Sheets.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initial non-cancelable term of the lease can be subsequently renewed and extended for successive eight-year periods by written communication as defined in the lease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High Point, NC – Design and Innovation Campus</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Effective May 7, 2021, we entered into an agreement to lease showroom and office space encompassing 21,000 square feet located in downtown High Point, NC. This facility will be used to advance synergies between our upholstery fabrics and mattress fabrics business segments by bringing our creative talent together to collaborate, develop new products through shared innovation and technology, and meet with new and existing customers. The lease agreement commenced during the second quarter of fiscal 2022, has an initial non-cancelable lease term of ten years, and requires lease payments totaling $2.2 million to be paid in monthly installments beginning November 1, 2021.</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addition to the required lease payments, we invested $995,000 in certain leasehold improvements that were determined to be lessor owned assets in accordance with ASC Topic 842, </w:t>
      </w:r>
      <w:r>
        <w:rPr>
          <w:rFonts w:ascii="Arial" w:cs="Arial" w:eastAsia="Arial" w:hAnsi="Arial"/>
          <w:sz w:val="20"/>
          <w:szCs w:val="20"/>
          <w:i w:val="1"/>
          <w:iCs w:val="1"/>
          <w:color w:val="auto"/>
        </w:rPr>
        <w:t>Leases</w:t>
      </w:r>
      <w:r>
        <w:rPr>
          <w:rFonts w:ascii="Arial" w:cs="Arial" w:eastAsia="Arial" w:hAnsi="Arial"/>
          <w:sz w:val="20"/>
          <w:szCs w:val="20"/>
          <w:color w:val="auto"/>
        </w:rPr>
        <w:t xml:space="preserve"> and therefore, are classified as a right of use asset in the accompanying Consolidated Balance Sheets.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initial noncancellable term of the lease can be subsequently renewed and extended up to four additional periods of three years each by written communication as defined in the lease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Commitments, Contingencies, and Guarantees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October 31, 2021, November 1, 2020, and May 2, 2021, we had total amounts due regarding capital expenditures totaling $176,000, $68,000, and $348,000, respectively, which pertained to outstanding vendor invoices, none of which were financed.</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2021, we had open purchase commitments to acquire equipment for our mattress fabrics segment totaling $810,000.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Supply and Royalty Agreements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connection with the sale of our entire ownership interest in eLuxury, LLC (“eLuxury”) on March 31, 2020, we entered into supply and royalty agreements with eLuxury to preserve an additional sales channel for our core products – upholstery and mattress fabrics. The supply agreement requires eLuxury to purchase all its requirements at fair market prices for mattress and upholstery fabric products of the type we were supplying to eLuxury at the time of the sale transaction, as well as certain home accessories and soft good products, subject to our ability to provide competitive pricing and delivery terms for such products. The royalty agreement requires eLuxury to pay us a royalty fee based on a percentage of sales, as defined in the royalty agreement, for sales of eLuxury’s products to certain business-to-business customers, including customers which we referred to eLuxury prior to the sale transaction and new customer relationships we develop for eLuxury going forward, as well as sales of eLuxury products generated by sales representatives that we develop or introduce to eLuxury.</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There are no guarantees or provisions under either the supply or royalty agreements that require eLuxury to purchase a minimum amount of our products or sell a certain amount of eLuxury products to customers or through sales representatives developed or introduced by us. As a result, the success of these agreements and the period of time in which our involvement with eLuxury is expected to continue are based on eLuxury’s ability to sell products that require mattress and upholstery fabrics and our ability to provide an additional sales channel for eLuxury to grow its business-to-business sales platform.</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three-month and six-month periods ending October 31, 2021, shipments to eLuxury under the supply agreement totaled $40,000 and $83,000, respectively. During the three-month and six-month periods ending November 1, 2020, shipments to eLuxury under the supply agreement totaled $41,000 and $285,000, respectively.</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three-month and six-month periods ending October 31, 2021, we received payments pursuant to the royalty agreement totaling $14,000 and $28,000, respectively. During the three-month and six-month periods ending November 1, 2020, we received payments pursuant to the royalty agreement totaling $28,000 and $80,000,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u w:val="single" w:color="auto"/>
          <w:color w:val="auto"/>
        </w:rPr>
        <w:t>Financial Guarantee</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Currently, we have an agreement that guarantees 70% of any unpaid lease payments associated with eLuxury’s facility located in Evansville, Indiana. The lease agreement expires in September 2024 and requires monthly payments of $18,865. Under the terms of the sale of our controlling interest in eLuxury, the buyer (the former noncontrolling interest holder) must use commercially reasonable efforts to cause the lessor to release us from this financial guarantee of eLuxury’s lease agreement. Following the sale transaction, eLuxury and its sole owner have indemnified us from any liabilities and obligations that we would be required to pay regarding this lease agreement.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Statutory Reserves</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October 31, 2021,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transfer to this reserve must be made before distributions of any dividend to shareholders. As of October 31, 2021, the company’s statutory surplus reserve was $4.5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subsidiary located in China can transfer funds to the parent company, except for the statutory surplus reserve of $4.5 million, to assist with debt repayment, capital expenditures, and other expenses of the company’s business.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Common Stock Repurchase Program</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half of fiscal 2022, we repurchased 121,688 shares of our common stock at a cost of $1.8 million. As a result, as of October 31, 2021, we had $3.2 million available for additional repurchases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During the first half of fiscal 2021, we did not repurchase any shares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Dividend Program</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December 1, 2021, our board of directors approved a quarterly cash dividend of $0.115 per share. This payment will be made on January 19, 2022, to shareholders of record as of January 11, 2022.</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first half of fiscal 2022, dividend payments totaled $2.7 million, which represented quarterly dividend payments of $0.11 per share. During the first half of fiscal 2021, dividend payments totaled $2.6 million, which represented quarterly dividend payments of $0.105 per share.</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CAUTIONARY STATEMENT CONCERNING FORWARD-LOOKING INFORMATION</w:t>
      </w:r>
    </w:p>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we will realize these expectations or meet our guidance, or that these beliefs will prove correct.</w:t>
      </w: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the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or valuation allowances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w:t>
      </w:r>
    </w:p>
    <w:p>
      <w:pPr>
        <w:spacing w:after="0" w:line="19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9"/>
          <w:szCs w:val="19"/>
          <w:color w:val="auto"/>
        </w:rPr>
        <w:t>MANAGEMENT’S DISCUSSION AND ANALYSIS OF FINANCIAL CONDITION AND RESULTS OF OPERATIONS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Our fiscal year is the 52 or 53-week period ending on the Sunday closest to April 30. The six months ended October 31, 2021, and November 1, 2020, both represent 26-week periods.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operations are classified into two business segments: mattress fabrics and upholstery fabrics. The mattress fabrics segment manufactures, sources, and sells fabrics and mattress covers primarily to bedding manufacturers. We have mattress fabric operations located in Stokesdale, NC, High Point, NC, and Quebec, Canada. Additionally, we acquired the remaining fifty percent ownership interest in our former unconsolidated joint venture in Ouanaminthe, Haiti, during the fourth quarter of fiscal 2021. As a result, we are now the sole owner with full control of this cut and sewn mattress cover operation (see Note 3 of the consolidated financial statements for further details regarding this business combination).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8"/>
          <w:szCs w:val="18"/>
          <w:color w:val="auto"/>
        </w:rPr>
        <w:t>The upholstery fabrics segment develops, sources, manufactures, and sells fabrics primarily to residential and commercial furniture manufacturers. We have upholstery fabric operations located in Shanghai, China, and Burlington, NC. We also commenced construction on a new leased facility in Haiti during the fourth quarter of last fiscal year. This new operation will be dedicated to production of cut and sewn upholstery kits and is now expected to begin operating during the third quarter of this fiscal year. Additionally, Read Window Products, LLC (“Read”), a wholly-owned subsidiary with operations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evaluate the operating performance of our business segments based upon income (loss) from operations before certain unallocated corporate expenses, asset impairments, restructuring credit (expense) and related charges, and other items that are not expected to occur on a regular basis. Cost of sales in each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and other miscellaneous expenses.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20" w:type="dxa"/>
            <w:vAlign w:val="bottom"/>
            <w:gridSpan w:val="3"/>
          </w:tcPr>
          <w:p>
            <w:pPr>
              <w:jc w:val="right"/>
              <w:ind w:right="181"/>
              <w:spacing w:after="0"/>
              <w:rPr>
                <w:sz w:val="20"/>
                <w:szCs w:val="20"/>
                <w:color w:val="auto"/>
              </w:rPr>
            </w:pPr>
            <w:r>
              <w:rPr>
                <w:rFonts w:ascii="Arial" w:cs="Arial" w:eastAsia="Arial" w:hAnsi="Arial"/>
                <w:sz w:val="16"/>
                <w:szCs w:val="16"/>
                <w:color w:val="auto"/>
              </w:rPr>
              <w:t>Three Months Ended</w:t>
            </w: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0"/>
              </w:rPr>
              <w:t>October 31, 2021</w:t>
            </w: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w w:val="92"/>
              </w:rPr>
              <w:t>November 1, 2020</w:t>
            </w:r>
          </w:p>
        </w:tc>
        <w:tc>
          <w:tcPr>
            <w:tcW w:w="14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Change</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74,561</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76,851</w:t>
            </w:r>
          </w:p>
        </w:tc>
        <w:tc>
          <w:tcPr>
            <w:tcW w:w="14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3"/>
              </w:rPr>
              <w:t>(3.0)%</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Gross profit</w:t>
            </w:r>
          </w:p>
        </w:tc>
        <w:tc>
          <w:tcPr>
            <w:tcW w:w="164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color w:val="auto"/>
              </w:rPr>
              <w:t>10,727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14,261</w:t>
            </w:r>
          </w:p>
        </w:tc>
        <w:tc>
          <w:tcPr>
            <w:tcW w:w="1480" w:type="dxa"/>
            <w:vAlign w:val="bottom"/>
          </w:tcPr>
          <w:p>
            <w:pPr>
              <w:jc w:val="center"/>
              <w:ind w:right="159"/>
              <w:spacing w:after="0"/>
              <w:rPr>
                <w:sz w:val="20"/>
                <w:szCs w:val="20"/>
                <w:color w:val="auto"/>
              </w:rPr>
            </w:pPr>
            <w:r>
              <w:rPr>
                <w:rFonts w:ascii="Arial" w:cs="Arial" w:eastAsia="Arial" w:hAnsi="Arial"/>
                <w:sz w:val="16"/>
                <w:szCs w:val="16"/>
                <w:color w:val="auto"/>
                <w:w w:val="92"/>
              </w:rPr>
              <w:t>(24.8)%</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18.6%</w:t>
            </w:r>
          </w:p>
        </w:tc>
        <w:tc>
          <w:tcPr>
            <w:tcW w:w="14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4"/>
              </w:rPr>
              <w:t>(420)bp</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4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color w:val="auto"/>
              </w:rPr>
              <w:t>9,087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9,743</w:t>
            </w:r>
          </w:p>
        </w:tc>
        <w:tc>
          <w:tcPr>
            <w:tcW w:w="1480" w:type="dxa"/>
            <w:vAlign w:val="bottom"/>
          </w:tcPr>
          <w:p>
            <w:pPr>
              <w:jc w:val="center"/>
              <w:ind w:right="159"/>
              <w:spacing w:after="0"/>
              <w:rPr>
                <w:sz w:val="20"/>
                <w:szCs w:val="20"/>
                <w:color w:val="auto"/>
              </w:rPr>
            </w:pPr>
            <w:r>
              <w:rPr>
                <w:rFonts w:ascii="Arial" w:cs="Arial" w:eastAsia="Arial" w:hAnsi="Arial"/>
                <w:sz w:val="16"/>
                <w:szCs w:val="16"/>
                <w:color w:val="auto"/>
                <w:w w:val="93"/>
              </w:rPr>
              <w:t>(6.7)%</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1,640</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4,518</w:t>
            </w:r>
          </w:p>
        </w:tc>
        <w:tc>
          <w:tcPr>
            <w:tcW w:w="14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(63.7)%</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Operating margin</w:t>
            </w:r>
          </w:p>
        </w:tc>
        <w:tc>
          <w:tcPr>
            <w:tcW w:w="1640" w:type="dxa"/>
            <w:vAlign w:val="bottom"/>
          </w:tcPr>
          <w:p>
            <w:pPr>
              <w:spacing w:after="0"/>
              <w:rPr>
                <w:sz w:val="18"/>
                <w:szCs w:val="18"/>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color w:val="auto"/>
              </w:rPr>
              <w:t>5.9%</w:t>
            </w:r>
          </w:p>
        </w:tc>
        <w:tc>
          <w:tcPr>
            <w:tcW w:w="1480" w:type="dxa"/>
            <w:vAlign w:val="bottom"/>
          </w:tcPr>
          <w:p>
            <w:pPr>
              <w:jc w:val="center"/>
              <w:ind w:right="159"/>
              <w:spacing w:after="0"/>
              <w:rPr>
                <w:sz w:val="20"/>
                <w:szCs w:val="20"/>
                <w:color w:val="auto"/>
              </w:rPr>
            </w:pPr>
            <w:r>
              <w:rPr>
                <w:rFonts w:ascii="Arial" w:cs="Arial" w:eastAsia="Arial" w:hAnsi="Arial"/>
                <w:sz w:val="16"/>
                <w:szCs w:val="16"/>
                <w:color w:val="auto"/>
                <w:w w:val="94"/>
              </w:rPr>
              <w:t>(370)bp</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6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1,295</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3,897</w:t>
            </w:r>
          </w:p>
        </w:tc>
        <w:tc>
          <w:tcPr>
            <w:tcW w:w="14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(66.8)%</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Income tax expense</w:t>
            </w:r>
          </w:p>
        </w:tc>
        <w:tc>
          <w:tcPr>
            <w:tcW w:w="164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color w:val="auto"/>
              </w:rPr>
              <w:t>444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1,613</w:t>
            </w:r>
          </w:p>
        </w:tc>
        <w:tc>
          <w:tcPr>
            <w:tcW w:w="1480" w:type="dxa"/>
            <w:vAlign w:val="bottom"/>
          </w:tcPr>
          <w:p>
            <w:pPr>
              <w:jc w:val="center"/>
              <w:ind w:right="159"/>
              <w:spacing w:after="0"/>
              <w:rPr>
                <w:sz w:val="20"/>
                <w:szCs w:val="20"/>
                <w:color w:val="auto"/>
              </w:rPr>
            </w:pPr>
            <w:r>
              <w:rPr>
                <w:rFonts w:ascii="Arial" w:cs="Arial" w:eastAsia="Arial" w:hAnsi="Arial"/>
                <w:sz w:val="16"/>
                <w:szCs w:val="16"/>
                <w:color w:val="auto"/>
                <w:w w:val="92"/>
              </w:rPr>
              <w:t>(72.5)%</w:t>
            </w:r>
          </w:p>
        </w:tc>
      </w:tr>
      <w:tr>
        <w:trPr>
          <w:trHeight w:val="216"/>
        </w:trPr>
        <w:tc>
          <w:tcPr>
            <w:tcW w:w="4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income</w:t>
            </w:r>
          </w:p>
        </w:tc>
        <w:tc>
          <w:tcPr>
            <w:tcW w:w="16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851</w:t>
            </w: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2,384</w:t>
            </w:r>
          </w:p>
        </w:tc>
        <w:tc>
          <w:tcPr>
            <w:tcW w:w="1480" w:type="dxa"/>
            <w:vAlign w:val="bottom"/>
            <w:tcBorders>
              <w:bottom w:val="single" w:sz="8" w:color="auto"/>
            </w:tcBorders>
            <w:shd w:val="clear" w:color="auto" w:fill="CFF0FC"/>
          </w:tcPr>
          <w:p>
            <w:pPr>
              <w:jc w:val="center"/>
              <w:ind w:right="159"/>
              <w:spacing w:after="0"/>
              <w:rPr>
                <w:sz w:val="20"/>
                <w:szCs w:val="20"/>
                <w:color w:val="auto"/>
              </w:rPr>
            </w:pPr>
            <w:r>
              <w:rPr>
                <w:rFonts w:ascii="Arial" w:cs="Arial" w:eastAsia="Arial" w:hAnsi="Arial"/>
                <w:sz w:val="16"/>
                <w:szCs w:val="16"/>
                <w:color w:val="auto"/>
                <w:w w:val="92"/>
              </w:rPr>
              <w:t>(64.3)%</w:t>
            </w:r>
          </w:p>
        </w:tc>
      </w:tr>
      <w:tr>
        <w:trPr>
          <w:trHeight w:val="402"/>
        </w:trPr>
        <w:tc>
          <w:tcPr>
            <w:tcW w:w="4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03"/>
        </w:trPr>
        <w:tc>
          <w:tcPr>
            <w:tcW w:w="4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20" w:type="dxa"/>
            <w:vAlign w:val="bottom"/>
            <w:gridSpan w:val="3"/>
          </w:tcPr>
          <w:p>
            <w:pPr>
              <w:jc w:val="right"/>
              <w:ind w:right="161"/>
              <w:spacing w:after="0"/>
              <w:rPr>
                <w:sz w:val="20"/>
                <w:szCs w:val="20"/>
                <w:color w:val="auto"/>
              </w:rPr>
            </w:pPr>
            <w:r>
              <w:rPr>
                <w:rFonts w:ascii="Arial" w:cs="Arial" w:eastAsia="Arial" w:hAnsi="Arial"/>
                <w:sz w:val="16"/>
                <w:szCs w:val="16"/>
                <w:color w:val="auto"/>
              </w:rPr>
              <w:t>Six Months Ended</w:t>
            </w: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7"/>
              </w:rPr>
              <w:t>October 31, 2021</w:t>
            </w: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November 1, 2020</w:t>
            </w: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Change</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157,608</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21"/>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141,315</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2"/>
              </w:rPr>
              <w:t>11.5%</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Gross profit</w:t>
            </w:r>
          </w:p>
        </w:tc>
        <w:tc>
          <w:tcPr>
            <w:tcW w:w="164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23,226</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24,162</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7"/>
              </w:rPr>
              <w:t>(3.9)%</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17.1%</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0"/>
              </w:rPr>
              <w:t>(240)bp</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4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18,268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17,761</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3"/>
              </w:rPr>
              <w:t>2.9%</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4,958</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6,401</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(22.5)%</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Operating margin</w:t>
            </w:r>
          </w:p>
        </w:tc>
        <w:tc>
          <w:tcPr>
            <w:tcW w:w="16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4.5%</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0"/>
              </w:rPr>
              <w:t>(140)bp</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6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4,450</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5,421</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(17.9)%</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Income tax expense</w:t>
            </w:r>
          </w:p>
        </w:tc>
        <w:tc>
          <w:tcPr>
            <w:tcW w:w="164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1,349</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5,937</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(77.3)%</w:t>
            </w:r>
          </w:p>
        </w:tc>
      </w:tr>
      <w:tr>
        <w:trPr>
          <w:trHeight w:val="216"/>
        </w:trPr>
        <w:tc>
          <w:tcPr>
            <w:tcW w:w="4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6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3,101</w:t>
            </w: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(349)</w:t>
            </w:r>
          </w:p>
        </w:tc>
        <w:tc>
          <w:tcPr>
            <w:tcW w:w="1480" w:type="dxa"/>
            <w:vAlign w:val="bottom"/>
            <w:tcBorders>
              <w:bottom w:val="single" w:sz="8" w:color="auto"/>
            </w:tcBorders>
            <w:shd w:val="clear" w:color="auto" w:fill="CFF0FC"/>
          </w:tcPr>
          <w:p>
            <w:pPr>
              <w:jc w:val="center"/>
              <w:ind w:right="179"/>
              <w:spacing w:after="0"/>
              <w:rPr>
                <w:sz w:val="20"/>
                <w:szCs w:val="20"/>
                <w:color w:val="auto"/>
              </w:rPr>
            </w:pPr>
            <w:r>
              <w:rPr>
                <w:rFonts w:ascii="Arial" w:cs="Arial" w:eastAsia="Arial" w:hAnsi="Arial"/>
                <w:sz w:val="16"/>
                <w:szCs w:val="16"/>
                <w:color w:val="auto"/>
              </w:rPr>
              <w:t>N.M.</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Sales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Overall, our net sales for the second quarter of fiscal 2022 decreased by 3.0% compared with the same period a year ago, with mattress fabrics sales increasing 2.1% and upholstery fabrics sales decreasing 8.5%. Our net sales for the first half of fiscal 2022 increased by 11.5%, compared with the same period a year ago, with mattress fabrics sales increasing 10.3% and upholstery fabrics sales increasing 13.0%. The first half of fiscal 2021 was negatively affected by the economic disruption caused by the COVID-19 pandemic during the early months of the period.</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increase in net sales for our mattress fabrics segment for the second quarter reflects continued solid demand for our products compared to strong sales during the prior-year period, although sales were affected somewhat by our customers’ supply chain constraints for non-fabric components and their existing inventory levels for mattress fabrics and covers. It also reflects a price increase that was effective during the quarter, as well as a surcharge that was implemented during the quarter, which together increased net sales for the division by approximately 4.6%. The decrease in net sales for our upholstery fabrics segment for the second quarter reflects lower sales in our residential fabrics business due to COVID-19-related shutdowns of our sourcing partners and customers in Vietnam throughout most of the quarter, as well as our customers’ supply chain constraints for non-fabric components and labor shortages at their U.S. facilities, which reduced our ability to ship prepared fabric orders. The decrease was partially offset by a price increase and freight surcharge that were effective during the quarter, which increased net sales for the division by approximately 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9"/>
          <w:szCs w:val="19"/>
          <w:color w:val="auto"/>
        </w:rPr>
        <w:t>The increase in net sales in both segments for the first half of fiscal 2022 reflects increased demand for both our mattress and residential upholstery fabric products during the first quarter, as compared to the prior-year first quarter, which was negatively affected by disruption from the COVID-19 pandemic. It also reflects our ability to meet this increased demand and respond quickly to the needs of our customers through our flexible global platform and the support of our long-term supplier relationships. The increase in net sales for the first half of fiscal 2022 was supplemented by a price increase that was effective during the first half of fiscal 2022 for both divisions, as well as a surcharge that was implemented and effective during most of the second quarter for both divisions, which collectively increased our consolidated net sales by approximately 2.8% for the six-month period.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Before Income Taxes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Overall, our income before income taxes for the second quarter of fiscal 2022 was $1.3 million, compared with $3.9 million for the prior-year period, while income before income taxes for the first six months of fiscal 2022 was $4.5 million, compared with $5.4 million for the prior-year period.</w:t>
      </w:r>
    </w:p>
    <w:p>
      <w:pPr>
        <w:spacing w:after="0" w:line="16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Operating performance for the second quarter of fiscal 2022 was materially affected by lower sales as compared with the same period a year ago, as well as higher freight, raw material, and labor costs; unfavorable foreign exchange rate fluctuations associated with our operations in China and Canada; start-up costs for the new Haiti facility for our upholstery fabrics segment; and operating inefficiencies due to labor shortages in the U.S. and Canada for our mattress fabrics segment. Operating performance for the first half of fiscal 2022 was also materially pressured by the same factors, but partially offset by higher sales for the six-month period, as compared with the same period a year ago.</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recorded income tax expense of $1.3 million, or 30.3% of income before income taxes, for the six-month period ending October 31, 2021, compared with income tax expense of $5.9 million, or 109.5% of income before income taxes, for the prior-year period. Our effective income tax rate during the first half of fiscal 2022 was negatively affected, but not nearly to the extent as in the first half of fiscal 2021, by the mix of taxable income that is mostly earned by our foreign operations located in China and Canada, which have higher income tax rates than the U.S. This is due mostly to higher annual forecasted taxable income from our U.S. operations as of the end of the second quarter of fiscal 2022, compared with lower annual forecasted taxable from our U.S. operations as of the end of the second quarter of fiscal 2021.</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Income tax expense during the first half of fiscal 2021 was also affected by a $4.2 million net income tax charge, which consisted of a $7.7 million non-cash income tax charge to record a full valuation allowance against the company’s U.S. net deferred income tax assets, partially offset by a $3.5 million non-cash income tax benefit that re-established certain U.S. federal net operating loss carryforwards in connection with U.S. Treasury regulations regarding the Global Intangible Low Taxed Income (“GILTI”) tax provisions of the Tax Cuts and Jobs Act of 2017. The $7.7 million non-cash income tax charge represents $7.0 million to provide for a full valuation allowance against our U.S. net deferred income tax assets that existed at the beginning of fiscal 2021 and $713,000 to provide for a full valuation allowance against the U.S. income tax loss carryforward that originated during fiscal 2021.</w:t>
      </w:r>
    </w:p>
    <w:p>
      <w:pPr>
        <w:spacing w:after="0" w:line="158" w:lineRule="exact"/>
        <w:rPr>
          <w:sz w:val="20"/>
          <w:szCs w:val="20"/>
          <w:color w:val="auto"/>
        </w:rPr>
      </w:pPr>
    </w:p>
    <w:p>
      <w:pPr>
        <w:ind w:right="1960"/>
        <w:spacing w:after="0" w:line="422" w:lineRule="auto"/>
        <w:rPr>
          <w:sz w:val="20"/>
          <w:szCs w:val="20"/>
          <w:color w:val="auto"/>
        </w:rPr>
      </w:pPr>
      <w:r>
        <w:rPr>
          <w:rFonts w:ascii="Arial" w:cs="Arial" w:eastAsia="Arial" w:hAnsi="Arial"/>
          <w:sz w:val="20"/>
          <w:szCs w:val="20"/>
          <w:color w:val="auto"/>
        </w:rPr>
        <w:t xml:space="preserve">Refer to Note 13 of the consolidated financial statements for further details regarding our provision for income taxes. </w:t>
      </w:r>
      <w:r>
        <w:rPr>
          <w:rFonts w:ascii="Arial" w:cs="Arial" w:eastAsia="Arial" w:hAnsi="Arial"/>
          <w:sz w:val="20"/>
          <w:szCs w:val="20"/>
          <w:u w:val="single" w:color="auto"/>
          <w:color w:val="auto"/>
        </w:rPr>
        <w:t>Liquidity</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October 31, 2021, our cash and cash equivalents, short-term investments (available for sale), and short-term and long-term investments (held-to-maturity) (collectively “cash and investments”) totaled $36.6 million compared with $46.9 million as of May 2, 2021.</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our cash and investments from the end of fiscal 2021 was mostly due to (i) $3.9 million of capital expenditures primarily related to our mattress fabrics segment, our innovation campus located in downtown High Point, NC, and equipment associated with information technology, (ii) cash payments totaling $2.7 million for regular quarterly dividend payments to shareholders, (iii) common stock repurchases totaling $1.8 million, and (iv) net cash used in operating activities totaling $1.3 million.</w:t>
      </w:r>
    </w:p>
    <w:p>
      <w:pPr>
        <w:spacing w:after="0" w:line="13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net cash used in operating activities was $1.3 million during the first half of fiscal 2022 compared with net cash provided by operating activities of $22.7 million during the first half of fiscal 2021. This difference was mostly due to (i) a net increase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9"/>
          <w:szCs w:val="19"/>
          <w:color w:val="auto"/>
        </w:rPr>
        <w:t>cash that was generated during the first half of fiscal 2021 due to a significant surge in customer demand as a result of the focus-on-the-home trend that occurred as businesses began to re-open coming out of pandemic-related closures, which surge did not recur during the first half of fiscal 2022; (ii) a decrease in accounts payable related to our return to normal credit terms with our vendors, as opposed to the extended terms previously granted in response to the COVID-19 pandemic; (iii) an increase in inventory to support our customers by accommodating their need to slow order uptake due to their supply chain constraints for non-fabric components, as well an increase in inventory purchases to strategically get ahead of anticipated increases in raw material costs and improve our in-stock position in anticipation of customer demand ahead of the upcoming Chinese New Year holiday; (iv) a decrease in accrued expenses primarily due to annual incentive bonus compensation paid during the first quarter of fiscal 2022; (v) $1.4 million in payments for the new building lease and start-up expenses associated our upholstery fabrics cut and sew operation located in Haiti; (vi) an increase in income tax payments mostly related to U.S. Alternative Minimum Tax credit refunds totaling $1.5 million received during fiscal 2021 that will not recur during fiscal 2022; partially offset by (vii) a decrease in accounts receivable related to our customers’ return to normal credit terms, rather than the extended terms previously granted in response to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2021, there were no outstanding borrowings under our lines of credit.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 Program</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December 1, 2021, our board of directors approved a quarterly cash dividend of $0.115 per share, or $0.46 per share on an annualized basis. This payment will be made on January 19, 2022, to shareholders of record as of January 11, 2022.</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first half of fiscal 2022, dividend payments totaled $2.7 million, which represented quarterly dividend payments of $0.11 per share. During the first half of fiscal 2021, dividend payments totaled $2.6 million, which represented quarterly dividend payments of $0.105 per share.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Common Stock Repurchases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half of fiscal 2022, we repurchased 121,688 shares of our common stock at a cost of $1.8 million. As a result, as of October 31, 2021, we had $3.2 million available for additional repurchases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During the first half of fiscal 2021, we did not repurchase any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Analysis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Mattress Fabrics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700" w:type="dxa"/>
            <w:vAlign w:val="bottom"/>
            <w:gridSpan w:val="3"/>
          </w:tcPr>
          <w:p>
            <w:pPr>
              <w:jc w:val="right"/>
              <w:ind w:right="1439"/>
              <w:spacing w:after="0"/>
              <w:rPr>
                <w:sz w:val="20"/>
                <w:szCs w:val="20"/>
                <w:color w:val="auto"/>
              </w:rPr>
            </w:pPr>
            <w:r>
              <w:rPr>
                <w:rFonts w:ascii="Arial" w:cs="Arial" w:eastAsia="Arial" w:hAnsi="Arial"/>
                <w:sz w:val="16"/>
                <w:szCs w:val="16"/>
                <w:color w:val="auto"/>
              </w:rPr>
              <w:t>Three Months Ended</w:t>
            </w:r>
          </w:p>
        </w:tc>
        <w:tc>
          <w:tcPr>
            <w:tcW w:w="1480" w:type="dxa"/>
            <w:vAlign w:val="bottom"/>
          </w:tcPr>
          <w:p>
            <w:pPr>
              <w:spacing w:after="0"/>
              <w:rPr>
                <w:sz w:val="17"/>
                <w:szCs w:val="17"/>
                <w:color w:val="auto"/>
              </w:rPr>
            </w:pP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0"/>
              </w:rPr>
              <w:t>October 31, 2021</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91"/>
              </w:rPr>
              <w:t>November 1, 2020</w:t>
            </w: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Change</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40,883</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40,030</w:t>
            </w:r>
          </w:p>
        </w:tc>
        <w:tc>
          <w:tcPr>
            <w:tcW w:w="148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2.1%</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Gross profit</w:t>
            </w:r>
          </w:p>
        </w:tc>
        <w:tc>
          <w:tcPr>
            <w:tcW w:w="166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6,146</w:t>
            </w:r>
          </w:p>
        </w:tc>
        <w:tc>
          <w:tcPr>
            <w:tcW w:w="200" w:type="dxa"/>
            <w:vAlign w:val="bottom"/>
          </w:tcPr>
          <w:p>
            <w:pPr>
              <w:spacing w:after="0"/>
              <w:rPr>
                <w:sz w:val="18"/>
                <w:szCs w:val="18"/>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7,584</w:t>
            </w:r>
          </w:p>
        </w:tc>
        <w:tc>
          <w:tcPr>
            <w:tcW w:w="1480" w:type="dxa"/>
            <w:vAlign w:val="bottom"/>
          </w:tcPr>
          <w:p>
            <w:pPr>
              <w:jc w:val="right"/>
              <w:ind w:right="539"/>
              <w:spacing w:after="0"/>
              <w:rPr>
                <w:sz w:val="20"/>
                <w:szCs w:val="20"/>
                <w:color w:val="auto"/>
              </w:rPr>
            </w:pPr>
            <w:r>
              <w:rPr>
                <w:rFonts w:ascii="Arial" w:cs="Arial" w:eastAsia="Arial" w:hAnsi="Arial"/>
                <w:sz w:val="16"/>
                <w:szCs w:val="16"/>
                <w:color w:val="auto"/>
              </w:rPr>
              <w:t>(19.0)%</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18.9%</w:t>
            </w:r>
          </w:p>
        </w:tc>
        <w:tc>
          <w:tcPr>
            <w:tcW w:w="1480" w:type="dxa"/>
            <w:vAlign w:val="bottom"/>
            <w:shd w:val="clear" w:color="auto" w:fill="CFF0FC"/>
          </w:tcPr>
          <w:p>
            <w:pPr>
              <w:jc w:val="center"/>
              <w:ind w:right="199"/>
              <w:spacing w:after="0"/>
              <w:rPr>
                <w:sz w:val="20"/>
                <w:szCs w:val="20"/>
                <w:color w:val="auto"/>
              </w:rPr>
            </w:pPr>
            <w:r>
              <w:rPr>
                <w:rFonts w:ascii="Arial" w:cs="Arial" w:eastAsia="Arial" w:hAnsi="Arial"/>
                <w:sz w:val="16"/>
                <w:szCs w:val="16"/>
                <w:color w:val="auto"/>
                <w:w w:val="94"/>
              </w:rPr>
              <w:t>(390)bp</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6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3,007</w:t>
            </w:r>
          </w:p>
        </w:tc>
        <w:tc>
          <w:tcPr>
            <w:tcW w:w="200" w:type="dxa"/>
            <w:vAlign w:val="bottom"/>
          </w:tcPr>
          <w:p>
            <w:pPr>
              <w:spacing w:after="0"/>
              <w:rPr>
                <w:sz w:val="18"/>
                <w:szCs w:val="18"/>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3,202</w:t>
            </w:r>
          </w:p>
        </w:tc>
        <w:tc>
          <w:tcPr>
            <w:tcW w:w="1480" w:type="dxa"/>
            <w:vAlign w:val="bottom"/>
          </w:tcPr>
          <w:p>
            <w:pPr>
              <w:jc w:val="right"/>
              <w:ind w:right="579"/>
              <w:spacing w:after="0"/>
              <w:rPr>
                <w:sz w:val="20"/>
                <w:szCs w:val="20"/>
                <w:color w:val="auto"/>
              </w:rPr>
            </w:pPr>
            <w:r>
              <w:rPr>
                <w:rFonts w:ascii="Arial" w:cs="Arial" w:eastAsia="Arial" w:hAnsi="Arial"/>
                <w:sz w:val="16"/>
                <w:szCs w:val="16"/>
                <w:color w:val="auto"/>
              </w:rPr>
              <w:t>(6.1)%</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3,139</w:t>
            </w: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4,382</w:t>
            </w:r>
          </w:p>
        </w:tc>
        <w:tc>
          <w:tcPr>
            <w:tcW w:w="148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(28.4)%</w:t>
            </w:r>
          </w:p>
        </w:tc>
      </w:tr>
      <w:tr>
        <w:trPr>
          <w:trHeight w:val="213"/>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margin</w:t>
            </w:r>
          </w:p>
        </w:tc>
        <w:tc>
          <w:tcPr>
            <w:tcW w:w="16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10.9%</w:t>
            </w: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4"/>
              </w:rPr>
              <w:t>(320)bp</w:t>
            </w:r>
          </w:p>
        </w:tc>
      </w:tr>
      <w:tr>
        <w:trPr>
          <w:trHeight w:val="455"/>
        </w:trPr>
        <w:tc>
          <w:tcPr>
            <w:tcW w:w="4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0"/>
        </w:trPr>
        <w:tc>
          <w:tcPr>
            <w:tcW w:w="4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00" w:type="dxa"/>
            <w:vAlign w:val="bottom"/>
            <w:gridSpan w:val="3"/>
          </w:tcPr>
          <w:p>
            <w:pPr>
              <w:jc w:val="right"/>
              <w:ind w:right="1459"/>
              <w:spacing w:after="0"/>
              <w:rPr>
                <w:sz w:val="20"/>
                <w:szCs w:val="20"/>
                <w:color w:val="auto"/>
              </w:rPr>
            </w:pPr>
            <w:r>
              <w:rPr>
                <w:rFonts w:ascii="Arial" w:cs="Arial" w:eastAsia="Arial" w:hAnsi="Arial"/>
                <w:sz w:val="16"/>
                <w:szCs w:val="16"/>
                <w:color w:val="auto"/>
              </w:rPr>
              <w:t>Six Months Ended</w:t>
            </w:r>
          </w:p>
        </w:tc>
        <w:tc>
          <w:tcPr>
            <w:tcW w:w="1480" w:type="dxa"/>
            <w:vAlign w:val="bottom"/>
          </w:tcPr>
          <w:p>
            <w:pPr>
              <w:spacing w:after="0"/>
              <w:rPr>
                <w:sz w:val="20"/>
                <w:szCs w:val="20"/>
                <w:color w:val="auto"/>
              </w:rPr>
            </w:pP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5"/>
              </w:rPr>
              <w:t>October 31, 2021</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95"/>
              </w:rPr>
              <w:t>November 1, 2020</w:t>
            </w: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Change</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83,941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76,133</w:t>
            </w:r>
          </w:p>
        </w:tc>
        <w:tc>
          <w:tcPr>
            <w:tcW w:w="148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10.3%</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Gross profit</w:t>
            </w:r>
          </w:p>
        </w:tc>
        <w:tc>
          <w:tcPr>
            <w:tcW w:w="16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12,941</w:t>
            </w:r>
          </w:p>
        </w:tc>
        <w:tc>
          <w:tcPr>
            <w:tcW w:w="200" w:type="dxa"/>
            <w:vAlign w:val="bottom"/>
          </w:tcPr>
          <w:p>
            <w:pPr>
              <w:spacing w:after="0"/>
              <w:rPr>
                <w:sz w:val="18"/>
                <w:szCs w:val="18"/>
                <w:color w:val="auto"/>
              </w:rPr>
            </w:pPr>
          </w:p>
        </w:tc>
        <w:tc>
          <w:tcPr>
            <w:tcW w:w="1900" w:type="dxa"/>
            <w:vAlign w:val="bottom"/>
          </w:tcPr>
          <w:p>
            <w:pPr>
              <w:jc w:val="right"/>
              <w:ind w:right="399"/>
              <w:spacing w:after="0"/>
              <w:rPr>
                <w:sz w:val="20"/>
                <w:szCs w:val="20"/>
                <w:color w:val="auto"/>
              </w:rPr>
            </w:pPr>
            <w:r>
              <w:rPr>
                <w:rFonts w:ascii="Arial" w:cs="Arial" w:eastAsia="Arial" w:hAnsi="Arial"/>
                <w:sz w:val="16"/>
                <w:szCs w:val="16"/>
                <w:color w:val="auto"/>
              </w:rPr>
              <w:t>12,191</w:t>
            </w:r>
          </w:p>
        </w:tc>
        <w:tc>
          <w:tcPr>
            <w:tcW w:w="1480" w:type="dxa"/>
            <w:vAlign w:val="bottom"/>
          </w:tcPr>
          <w:p>
            <w:pPr>
              <w:jc w:val="right"/>
              <w:ind w:right="619"/>
              <w:spacing w:after="0"/>
              <w:rPr>
                <w:sz w:val="20"/>
                <w:szCs w:val="20"/>
                <w:color w:val="auto"/>
              </w:rPr>
            </w:pPr>
            <w:r>
              <w:rPr>
                <w:rFonts w:ascii="Arial" w:cs="Arial" w:eastAsia="Arial" w:hAnsi="Arial"/>
                <w:sz w:val="16"/>
                <w:szCs w:val="16"/>
                <w:color w:val="auto"/>
              </w:rPr>
              <w:t>6.2%</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16.0%</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0"/>
              </w:rPr>
              <w:t>(60)bp</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6,191</w:t>
            </w:r>
          </w:p>
        </w:tc>
        <w:tc>
          <w:tcPr>
            <w:tcW w:w="200" w:type="dxa"/>
            <w:vAlign w:val="bottom"/>
          </w:tcPr>
          <w:p>
            <w:pPr>
              <w:spacing w:after="0"/>
              <w:rPr>
                <w:sz w:val="18"/>
                <w:szCs w:val="18"/>
                <w:color w:val="auto"/>
              </w:rPr>
            </w:pPr>
          </w:p>
        </w:tc>
        <w:tc>
          <w:tcPr>
            <w:tcW w:w="1900" w:type="dxa"/>
            <w:vAlign w:val="bottom"/>
          </w:tcPr>
          <w:p>
            <w:pPr>
              <w:jc w:val="right"/>
              <w:ind w:right="399"/>
              <w:spacing w:after="0"/>
              <w:rPr>
                <w:sz w:val="20"/>
                <w:szCs w:val="20"/>
                <w:color w:val="auto"/>
              </w:rPr>
            </w:pPr>
            <w:r>
              <w:rPr>
                <w:rFonts w:ascii="Arial" w:cs="Arial" w:eastAsia="Arial" w:hAnsi="Arial"/>
                <w:sz w:val="16"/>
                <w:szCs w:val="16"/>
                <w:color w:val="auto"/>
              </w:rPr>
              <w:t>5,964</w:t>
            </w:r>
          </w:p>
        </w:tc>
        <w:tc>
          <w:tcPr>
            <w:tcW w:w="1480" w:type="dxa"/>
            <w:vAlign w:val="bottom"/>
          </w:tcPr>
          <w:p>
            <w:pPr>
              <w:jc w:val="right"/>
              <w:ind w:right="619"/>
              <w:spacing w:after="0"/>
              <w:rPr>
                <w:sz w:val="20"/>
                <w:szCs w:val="20"/>
                <w:color w:val="auto"/>
              </w:rPr>
            </w:pPr>
            <w:r>
              <w:rPr>
                <w:rFonts w:ascii="Arial" w:cs="Arial" w:eastAsia="Arial" w:hAnsi="Arial"/>
                <w:sz w:val="16"/>
                <w:szCs w:val="16"/>
                <w:color w:val="auto"/>
              </w:rPr>
              <w:t>3.8%</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6,750</w:t>
            </w: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6,227</w:t>
            </w:r>
          </w:p>
        </w:tc>
        <w:tc>
          <w:tcPr>
            <w:tcW w:w="148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8.4%</w:t>
            </w:r>
          </w:p>
        </w:tc>
      </w:tr>
      <w:tr>
        <w:trPr>
          <w:trHeight w:val="213"/>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margin</w:t>
            </w:r>
          </w:p>
        </w:tc>
        <w:tc>
          <w:tcPr>
            <w:tcW w:w="16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8.2%</w:t>
            </w: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90"/>
              </w:rPr>
              <w:t>(20)bp</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i w:val="1"/>
          <w:iCs w:val="1"/>
          <w:color w:val="auto"/>
        </w:rPr>
        <w:t>Net Sales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Mattress fabrics sales increased 2.1% in the second quarter of fiscal 2022, as compared to the prior-year period. Mattress fabrics sales increased 10.3% for the first half of fiscal 2022, as compared to the first half of fiscal 2021, which was adversely affected during the early months by disruption from the COVID-19 pandemic.</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mattress fabrics net sales for the second quarter reflects continued solid demand for our products compared to strong sales during the prior-year period, although sales were affected somewhat during the second quarter by our customers’ supply chain constraints for non-fabric components and their existing inventory levels for mattress fabrics and covers. It also reflects a price increase that was in effect throughout the quarter, as well as a surcharge that was implemented during the quarter, which together increased net sales for the division by approximately 4.6% for the quarter.</w:t>
      </w:r>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During the quarter, we relied on our product-driven strategy with a focus on design creativity and innovation, supported by the utilization of our flexible, global manufacturing and sourcing operations in the U.S., Canada, Haiti, Asia, and Turkey, which enabled us to support current demand levels and serve the needs of our mattress fabrics and cover customers. Demand trends for sewn mattress covers were negatively affected by our customers’ supply chain constraints and existing levels of cover inventory. However, we continue to believe our on-shore, near-shore, and off-shore supply chain strategy, as well as our fabric-to-cover model, remains a preferred platform for our customers and continues to support our business.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mattress fabrics net sales for the first half of fiscal 2022 reflects an increase in demand primarily during the first quarter, as compared to the prior-year first quarter, which was negatively affected by disruption from the COVID-19 pandemic. This sales increase was also supplemented by a price increase that was effective throughout the first half of fiscal 2022, as well as a surcharge that was implemented and in effect during much of the second quarter, to help offset certain inflationary pressures. These pricing actions increased net sales by approximately 3.8% for the first half of fiscal 2022.</w:t>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Looking ahead, we believe our market position remains solid, with strong new placements and product developments for fiscal 2023. We expect some continued near-term pressures relating to our customers’ capacity limitations due to supply chain disruption for non-fabric components, but we expect that most of these headwinds are temporary. Additionally, the impact of the COVID-19 pandemic, including the new Omicron variant, remains unknown and depends on factors beyond our knowledge or control, including the duration and severity of the outbreak, actions taken to contain its spread and mitigate the public health and economic effects, the short- and long-term disruption of the global economy, consumer confidence, unemployment, employee health, and the financial health of our customers, suppliers, and distribution channels. At this time, we cannot reasonably estimate the ongoing impact of the COVID-19 pandemic on our mattress fabrics segment; however, if conditions relating to the pandemic worsen, the disruption could adversely affect our operations and financial performance.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Operating Income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decrease in mattress fabrics profitability during the second quarter, as compared to the prior-year period, was primarily due to higher freight, raw material, and labor costs; inefficiencies due to labor shortages at our facilities in the U.S. and Canada; and unfavorable foreign currency fluctuations in China and Canada. Mattress fabrics profitability for the first half of fiscal 2022 was pressured by the same factors that affected the second quarter, partially offset by higher sales for the six-month period, as compared with the same period a year ago.</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previously implemented price increase and surcharge have helped us offset a portion of the current inflationary pressures we are facing. However, the lag in cost-price realization, along with some competitive market pressures that limit us from immediately passing on all of our cost increases, are expected to continue affecting our profitability during fiscal 2022.</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expect inflationary pressures relating to increasing labor, freight, and raw material costs, as well as ongoing foreign currency fluctuations in China and Canada, to continue over the near-term. We believe most of these headwinds are temporary and will be mitigated to some extent by the pricing actions we have already implemented, as noted above, as well as our ongoing efforts to control our internal costs, improve efficiencies, and consider additional reasonable pricing actions to mitigate and manage inflation.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CLASS International Holdings, Ltd. (“CIH”)</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Effective January 1, 2017, Culp International Holdings, Ltd. (“Culp International”), a wholly-owned subsidiary of the company, entered into a joint venture agreement pursuant to which Culp International owned 50% of Class International Holdings, Ltd. (“CIH”). During the fourth quarter of fiscal 2021, Culp International acquired the remaining 50% ownership interest in CIH from its former joint venture partner, such that we are now the sole owner with full control of CIH. CIH produces cut and sewn mattress covers and is housed in two facilities totaling 120,000 square feet, located in a modern industrial park on the northeastern border of Haiti. We believe having sole ownership of this operation enhances our capacity and increases our flexibility by having near-shore capabilities that help us meet the needs of our mattress cover customers. See Note 3 of the consolidated financial statements for further details regarding this business combination.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Segment assets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Segment assets consist of accounts receivable, inventory, property, plant, and equipment, right of use assets, and investment in unconsolidated joint venture.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50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October 31, 2021</w:t>
            </w:r>
          </w:p>
        </w:tc>
        <w:tc>
          <w:tcPr>
            <w:tcW w:w="16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November 1, 2020</w:t>
            </w: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3"/>
              </w:rPr>
              <w:t>May 2, 2021</w:t>
            </w:r>
          </w:p>
        </w:tc>
      </w:tr>
      <w:tr>
        <w:trPr>
          <w:trHeight w:val="213"/>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2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16,639</w:t>
            </w:r>
          </w:p>
        </w:tc>
        <w:tc>
          <w:tcPr>
            <w:tcW w:w="6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15,914</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20,427</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Inventory</w:t>
            </w:r>
          </w:p>
        </w:tc>
        <w:tc>
          <w:tcPr>
            <w:tcW w:w="254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34,498</w:t>
            </w:r>
          </w:p>
        </w:tc>
        <w:tc>
          <w:tcPr>
            <w:tcW w:w="6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24,200</w:t>
            </w: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30,047</w:t>
            </w: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25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40,243</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38,818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41,264</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Right of use assets</w:t>
            </w:r>
          </w:p>
        </w:tc>
        <w:tc>
          <w:tcPr>
            <w:tcW w:w="254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3,838</w:t>
            </w:r>
          </w:p>
        </w:tc>
        <w:tc>
          <w:tcPr>
            <w:tcW w:w="6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1,186</w:t>
            </w: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4,278</w:t>
            </w:r>
          </w:p>
        </w:tc>
      </w:tr>
      <w:tr>
        <w:trPr>
          <w:trHeight w:val="216"/>
        </w:trPr>
        <w:tc>
          <w:tcPr>
            <w:tcW w:w="4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Investment in unconsolidated joint venture</w:t>
            </w:r>
          </w:p>
        </w:tc>
        <w:tc>
          <w:tcPr>
            <w:tcW w:w="2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1,859</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48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95,218</w:t>
            </w: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81,977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96,016</w:t>
            </w:r>
          </w:p>
        </w:tc>
      </w:tr>
    </w:tbl>
    <w:p>
      <w:pPr>
        <w:spacing w:after="0" w:line="226" w:lineRule="exact"/>
        <w:rPr>
          <w:sz w:val="20"/>
          <w:szCs w:val="20"/>
          <w:color w:val="auto"/>
        </w:rPr>
      </w:pPr>
    </w:p>
    <w:p>
      <w:pPr>
        <w:ind w:right="1760"/>
        <w:spacing w:after="0" w:line="429" w:lineRule="auto"/>
        <w:rPr>
          <w:sz w:val="20"/>
          <w:szCs w:val="20"/>
          <w:color w:val="auto"/>
        </w:rPr>
      </w:pPr>
      <w:r>
        <w:rPr>
          <w:rFonts w:ascii="Arial" w:cs="Arial" w:eastAsia="Arial" w:hAnsi="Arial"/>
          <w:sz w:val="20"/>
          <w:szCs w:val="20"/>
          <w:color w:val="auto"/>
        </w:rPr>
        <w:t xml:space="preserve">Refer to Note 12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October 31, 2021, accounts receivable increased by $725,000, or 4.6%, compared with November 1, 2020. This increase reflects the slight increase in net sales during the second quarter of fiscal 2022, as compared with the second quarter of fiscal 2021.</w:t>
      </w:r>
    </w:p>
    <w:p>
      <w:pPr>
        <w:spacing w:after="0" w:line="1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of October 31, 2021, accounts receivable decreased by $3.8 million, or 18.5%, compared with May 2, 2021. This decrease reflects improved cash collections during the second quarter of fiscal 2022 compared with the fourth quarter of fiscal 2021, as customers continued their return to making payments based on normal credit terms, as opposed to extended terms previously granted in response to the COVID-19 pandemic. In addition, this decrease reflects the decrease in net sales during the second quarter of fiscal 2022 compared with the fourth quarter of fiscal 2021. Net sales of $40.9 million during the second quarter of fiscal 2022 decreased by $2.0 million, or 4.8%, compared with net sales of $42.9 million during the fourth quarter of fiscal 2021.</w:t>
      </w:r>
    </w:p>
    <w:p>
      <w:pPr>
        <w:spacing w:after="0" w:line="15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Days’ sales outstanding was 37 days for the second quarter of fiscal 2022, compared with 36 days for the second quarter of fiscal 2021 and 43 days for the fourth quarter of fiscal 2021.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of October 31, 2021, inventory increased by $10.3 million, or 42.6%, compared with November 1, 2020. As of October 31, 2021, inventory increased by $4.5 million, or 14.8%, compared with May 2, 2021. The increases in inventory reflects (i) support for our customers by accommodating their need to slow order uptake due to their supply chain constraints for non-fabric components, (ii) an increase in inventory purchase to strategically get ahead of anticipated increases in raw material costs, and (iii) an increase in inventory purchases to strategically improve our inventory position to support expected customer demand ahead of the upcoming Chinese New Year holiday.</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4.2 for the second quarter of fiscal 2022, compared with 5.7 for the second quarter of fiscal 2021 and 4.2 for the fourth quarter of fiscal 2021.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$40.2 million as of October 31, 2021, represents property, plant, and equipment of $26.8 million, $12.6 million, and $836,000 located in the U.S., Canada, and Haiti, respectively. The $38.8 million as of November 1, 2020, represents property, plant, and equipment of $26.5 million and $12.3 million located in the U.S. and Canada, respectively. The $41.3 million as of May 2, 2021, represents property, plant, and equipment of $28.4 million, $12.0 million, and $855,000 located in the U.S., Canada, and Haiti, respectively.</w:t>
      </w:r>
    </w:p>
    <w:p>
      <w:pPr>
        <w:spacing w:after="0" w:line="12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Property, plant, and equipment amounts are comparable for the periods presented as capital expenditures have been made commensurate with depreciation expense.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$3.8 million as of October 31, 2021, represents right of use assets of $2.2 million, $1.3 million, and $309,000 located Haiti, the U.S., and Canada, respectively. The $1.2 million as of November 1, 2020, represents right of use assets of $696,000 and $490,000 located in the U.S. and Canada., respectively. The $4.3 million as of May 2, 2021, represents right of use assets of $2.4 million, $1.4 million, and $400,000 located in Haiti, the U.S., and Canada,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9"/>
          <w:szCs w:val="19"/>
          <w:color w:val="auto"/>
        </w:rPr>
        <w:t>As of October 31, 2021, and May 2, 2021, right of use assets have increased significantly from November 1, 2020. This increase primarily represents (i) $2.5 million that related to building leases acquired from CIH during the fourth quarter of fiscal 2021; (ii) $879,000 that related to the renewal and amendment of a building lease located in the U.S. associated with our mattress cover operation during the fourth quarter of fiscal 2021; partially offset by (iii) rent expense associated with executed lease agreements.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Unconsolidated Joint Venture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November 1, 2020, our investment in unconsolidated joint venture represented our 50% ownership in CIH and was accounted for under the equity method in accordance with ASC Topic 823. Accordingly, the carrying value of our investment in CIH was reported as a single line item in the Consolidated Balance Sheets titled “Investment in unconsolidated joint venture”. Effective February 1, 2021, we entered into an agreement with our former joint venture partner to acquire the remaining 50% interest in CIH. Pursuant to this transaction, we are now the sole owner with full control over CIH. Accordingly, our consolidated financial statements now include all of the accounts of CIH, and any significant intercompany balances and transactions have been eliminated. Furthermore, the equity method will no longer be used and the former investment in unconsolidated joint venture is now included in the net assets of our now 100% interest in CIH.</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See Note 3 to the consolidated financial statements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Upholstery Fabrics Segment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gridSpan w:val="2"/>
          </w:tcPr>
          <w:p>
            <w:pPr>
              <w:jc w:val="right"/>
              <w:ind w:right="199"/>
              <w:spacing w:after="0"/>
              <w:rPr>
                <w:sz w:val="20"/>
                <w:szCs w:val="20"/>
                <w:color w:val="auto"/>
              </w:rPr>
            </w:pPr>
            <w:r>
              <w:rPr>
                <w:rFonts w:ascii="Arial" w:cs="Arial" w:eastAsia="Arial" w:hAnsi="Arial"/>
                <w:sz w:val="16"/>
                <w:szCs w:val="16"/>
                <w:color w:val="auto"/>
                <w:w w:val="95"/>
              </w:rPr>
              <w:t>Three Months Ended</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9"/>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3"/>
              </w:rPr>
              <w:t>October 31, 2021</w:t>
            </w:r>
          </w:p>
        </w:tc>
        <w:tc>
          <w:tcPr>
            <w:tcW w:w="8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November 1, 2020</w:t>
            </w: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3"/>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Non-U.S. Produced</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31,306</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93%</w:t>
            </w:r>
          </w:p>
        </w:tc>
        <w:tc>
          <w:tcPr>
            <w:tcW w:w="88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34,473</w:t>
            </w:r>
          </w:p>
        </w:tc>
        <w:tc>
          <w:tcPr>
            <w:tcW w:w="9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94%</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Produced</w:t>
            </w:r>
          </w:p>
        </w:tc>
        <w:tc>
          <w:tcPr>
            <w:tcW w:w="1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2,348</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2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33,678</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88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36,821</w:t>
            </w:r>
          </w:p>
        </w:tc>
        <w:tc>
          <w:tcPr>
            <w:tcW w:w="9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100%</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r>
      <w:tr>
        <w:trPr>
          <w:trHeight w:val="469"/>
        </w:trPr>
        <w:tc>
          <w:tcPr>
            <w:tcW w:w="2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03"/>
        </w:trPr>
        <w:tc>
          <w:tcPr>
            <w:tcW w:w="2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color w:val="auto"/>
              </w:rPr>
              <w:t>Six Months Ended</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9"/>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3"/>
              </w:rPr>
              <w:t>October 31, 2021</w:t>
            </w:r>
          </w:p>
        </w:tc>
        <w:tc>
          <w:tcPr>
            <w:tcW w:w="8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November 1, 2020</w:t>
            </w: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3"/>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Non-U.S. Produced</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69,528</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w:t>
            </w:r>
          </w:p>
        </w:tc>
        <w:tc>
          <w:tcPr>
            <w:tcW w:w="88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60,484</w:t>
            </w:r>
          </w:p>
        </w:tc>
        <w:tc>
          <w:tcPr>
            <w:tcW w:w="9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93%</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Produced</w:t>
            </w:r>
          </w:p>
        </w:tc>
        <w:tc>
          <w:tcPr>
            <w:tcW w:w="1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4,698</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09"/>
        </w:trPr>
        <w:tc>
          <w:tcPr>
            <w:tcW w:w="2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73,667</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88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65,182</w:t>
            </w:r>
          </w:p>
        </w:tc>
        <w:tc>
          <w:tcPr>
            <w:tcW w:w="9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100%</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r>
    </w:tbl>
    <w:p>
      <w:pPr>
        <w:spacing w:after="0" w:line="22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Upholstery fabrics sales decreased 8.5% in the second quarter of fiscal 2022 compared to the prior-year period. Upholstery fabric sales increased 13.0% for the first half of fiscal 2022, as compared to the first half of fiscal 2021, which was adversely affected during the early months by disruption from the COVID-19 pandemic.</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decrease in upholstery fabrics net sales for the second quarter was primarily driven by lower sales in our residential business due to COVID-19-related shutdowns of our sourcing partners and customers in Vietnam throughout most of the quarter. Residential sales were also pressured by our customers’ supply chain constraints for non-fabric components and labor shortages at their U.S. facilities, which significantly reduced our ability to ship prepared fabric orders. The decrease in sales was partially offset by a price increase and freight surcharge that were in effect during the quarter, which increased net sales for the division by approximately 2.3%.</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Despite the headwinds in our residential business, we were encouraged by the recovery in our hospitality business during the second quarter, led by our hospitality/contract fabric business. We also saw a measurable improvement in our Read business during the last month of the quarter. We are pleased the shutdowns that affected our Vietnam customers and sourcing partners during the quarter have now been lifted, and we have resumed shipping at normalized capacity. Additionally, we now expect to begin production at our new facility in Haiti during the third quarter, which will expand our capacity for cut and sewn upholstery kits.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increase in upholstery fabrics net sales for the first half of fiscal 2022 reflects a significant increase in demand for our residential upholstery business during the first quarter, as compared to the first quarter of fiscal 2021, partially offset by lower sales for Read in our hospitality business, which remained under significant pressure from the ongoing COVID-19 disruption that continues to affect the travel and leisure industries. The increase in net sales for the first half of fiscal 2022 also reflects a price increase that was effective during the period on products sold in the U.S. to help offset unfavorable foreign currency exchange rate fluctuations associated with our operations in China, as well as a freight surcharge implemented during the second quarter. Together, this price increase and freight surcharge accounted for approximately 1.7% of net sales for the first half of fiscal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6" w:name="page37"/>
    <w:bookmarkEnd w:id="36"/>
    <w:p>
      <w:pPr>
        <w:jc w:val="both"/>
        <w:spacing w:after="0" w:line="276" w:lineRule="auto"/>
        <w:rPr>
          <w:sz w:val="20"/>
          <w:szCs w:val="20"/>
          <w:color w:val="auto"/>
        </w:rPr>
      </w:pPr>
      <w:r>
        <w:rPr>
          <w:rFonts w:ascii="Arial" w:cs="Arial" w:eastAsia="Arial" w:hAnsi="Arial"/>
          <w:sz w:val="18"/>
          <w:szCs w:val="18"/>
          <w:color w:val="auto"/>
        </w:rPr>
        <w:t>Looking ahead, there are lingering near-term challenges related to our customers’ supply chain constraints and existing levels of fabric inventory for our residential business, which may temporarily pressure our business during the remainder of fiscal 2022. Also, while we believe demand trends remain favorable for the home furnishings industry, there is an expected slowdown in new business from the peak experienced during the post-COVID stay-at-home surge. Despite the headwinds, we believe our product-driven strategy and innovative product offerings, including our popular portfolio of LiveSmart® performance products, as well as our flexible Asian platform, our long-term supplier relationships, and our expanded capacity in Haiti, will benefit us as we navigate these challenges.</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Notably, the ongoing economic and health effects of the COVID-19 pandemic, including the new Omicron variant, as well as the duration of such effects, remain unknown and depend on factors beyond our control. At this time, we cannot reasonably estimate the impact of the pandemic on our upholstery fabrics segment, but note that if conditions worsen, the impact on our employees, suppliers, consumers, and the global economy could adversely affect our operations and financial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5220" w:type="dxa"/>
            <w:vAlign w:val="bottom"/>
            <w:gridSpan w:val="2"/>
          </w:tcPr>
          <w:p>
            <w:pPr>
              <w:jc w:val="right"/>
              <w:ind w:right="1379"/>
              <w:spacing w:after="0"/>
              <w:rPr>
                <w:sz w:val="20"/>
                <w:szCs w:val="20"/>
                <w:color w:val="auto"/>
              </w:rPr>
            </w:pPr>
            <w:r>
              <w:rPr>
                <w:rFonts w:ascii="Arial" w:cs="Arial" w:eastAsia="Arial" w:hAnsi="Arial"/>
                <w:sz w:val="16"/>
                <w:szCs w:val="16"/>
                <w:color w:val="auto"/>
              </w:rPr>
              <w:t>Three Months Ended</w:t>
            </w:r>
          </w:p>
        </w:tc>
        <w:tc>
          <w:tcPr>
            <w:tcW w:w="1480" w:type="dxa"/>
            <w:vAlign w:val="bottom"/>
          </w:tcPr>
          <w:p>
            <w:pPr>
              <w:spacing w:after="0"/>
              <w:rPr>
                <w:sz w:val="17"/>
                <w:szCs w:val="17"/>
                <w:color w:val="auto"/>
              </w:rPr>
            </w:pPr>
          </w:p>
        </w:tc>
      </w:tr>
      <w:tr>
        <w:trPr>
          <w:trHeight w:val="219"/>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October 31, 2021</w:t>
            </w: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November 1, 2020</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Change</w:t>
            </w:r>
          </w:p>
        </w:tc>
      </w:tr>
      <w:tr>
        <w:trPr>
          <w:trHeight w:val="213"/>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32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4,581</w:t>
            </w:r>
          </w:p>
        </w:tc>
        <w:tc>
          <w:tcPr>
            <w:tcW w:w="20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6,677</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(31.4)%</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Gross profit margin</w:t>
            </w:r>
          </w:p>
        </w:tc>
        <w:tc>
          <w:tcPr>
            <w:tcW w:w="322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2000" w:type="dxa"/>
            <w:vAlign w:val="bottom"/>
          </w:tcPr>
          <w:p>
            <w:pPr>
              <w:jc w:val="right"/>
              <w:ind w:right="239"/>
              <w:spacing w:after="0"/>
              <w:rPr>
                <w:sz w:val="20"/>
                <w:szCs w:val="20"/>
                <w:color w:val="auto"/>
              </w:rPr>
            </w:pPr>
            <w:r>
              <w:rPr>
                <w:rFonts w:ascii="Arial" w:cs="Arial" w:eastAsia="Arial" w:hAnsi="Arial"/>
                <w:sz w:val="16"/>
                <w:szCs w:val="16"/>
                <w:color w:val="auto"/>
              </w:rPr>
              <w:t>18.1%</w:t>
            </w:r>
          </w:p>
        </w:tc>
        <w:tc>
          <w:tcPr>
            <w:tcW w:w="1480" w:type="dxa"/>
            <w:vAlign w:val="bottom"/>
          </w:tcPr>
          <w:p>
            <w:pPr>
              <w:ind w:left="360"/>
              <w:spacing w:after="0"/>
              <w:rPr>
                <w:sz w:val="20"/>
                <w:szCs w:val="20"/>
                <w:color w:val="auto"/>
              </w:rPr>
            </w:pPr>
            <w:r>
              <w:rPr>
                <w:rFonts w:ascii="Arial" w:cs="Arial" w:eastAsia="Arial" w:hAnsi="Arial"/>
                <w:sz w:val="16"/>
                <w:szCs w:val="16"/>
                <w:color w:val="auto"/>
              </w:rPr>
              <w:t>(450)bp</w:t>
            </w:r>
          </w:p>
        </w:tc>
      </w:tr>
      <w:tr>
        <w:trPr>
          <w:trHeight w:val="219"/>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32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3,553</w:t>
            </w:r>
          </w:p>
        </w:tc>
        <w:tc>
          <w:tcPr>
            <w:tcW w:w="20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3,390</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3"/>
              </w:rPr>
              <w:t>4.8%</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3220" w:type="dxa"/>
            <w:vAlign w:val="bottom"/>
          </w:tcPr>
          <w:p>
            <w:pPr>
              <w:jc w:val="right"/>
              <w:ind w:right="239"/>
              <w:spacing w:after="0"/>
              <w:rPr>
                <w:sz w:val="20"/>
                <w:szCs w:val="20"/>
                <w:color w:val="auto"/>
              </w:rPr>
            </w:pPr>
            <w:r>
              <w:rPr>
                <w:rFonts w:ascii="Arial" w:cs="Arial" w:eastAsia="Arial" w:hAnsi="Arial"/>
                <w:sz w:val="16"/>
                <w:szCs w:val="16"/>
                <w:color w:val="auto"/>
              </w:rPr>
              <w:t>1,028</w:t>
            </w:r>
          </w:p>
        </w:tc>
        <w:tc>
          <w:tcPr>
            <w:tcW w:w="2000" w:type="dxa"/>
            <w:vAlign w:val="bottom"/>
          </w:tcPr>
          <w:p>
            <w:pPr>
              <w:jc w:val="right"/>
              <w:ind w:right="399"/>
              <w:spacing w:after="0"/>
              <w:rPr>
                <w:sz w:val="20"/>
                <w:szCs w:val="20"/>
                <w:color w:val="auto"/>
              </w:rPr>
            </w:pPr>
            <w:r>
              <w:rPr>
                <w:rFonts w:ascii="Arial" w:cs="Arial" w:eastAsia="Arial" w:hAnsi="Arial"/>
                <w:sz w:val="16"/>
                <w:szCs w:val="16"/>
                <w:color w:val="auto"/>
              </w:rPr>
              <w:t>3,287</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(68.7)%</w:t>
            </w: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3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w:t>
            </w:r>
          </w:p>
        </w:tc>
        <w:tc>
          <w:tcPr>
            <w:tcW w:w="200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8.9%</w:t>
            </w:r>
          </w:p>
        </w:tc>
        <w:tc>
          <w:tcPr>
            <w:tcW w:w="14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6"/>
                <w:szCs w:val="16"/>
                <w:color w:val="auto"/>
              </w:rPr>
              <w:t>(580)bp</w:t>
            </w:r>
          </w:p>
        </w:tc>
      </w:tr>
      <w:tr>
        <w:trPr>
          <w:trHeight w:val="469"/>
        </w:trPr>
        <w:tc>
          <w:tcPr>
            <w:tcW w:w="45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1"/>
        </w:trPr>
        <w:tc>
          <w:tcPr>
            <w:tcW w:w="4540" w:type="dxa"/>
            <w:vAlign w:val="bottom"/>
          </w:tcPr>
          <w:p>
            <w:pPr>
              <w:spacing w:after="0"/>
              <w:rPr>
                <w:sz w:val="20"/>
                <w:szCs w:val="20"/>
                <w:color w:val="auto"/>
              </w:rPr>
            </w:pPr>
          </w:p>
        </w:tc>
        <w:tc>
          <w:tcPr>
            <w:tcW w:w="5220" w:type="dxa"/>
            <w:vAlign w:val="bottom"/>
            <w:gridSpan w:val="2"/>
          </w:tcPr>
          <w:p>
            <w:pPr>
              <w:jc w:val="right"/>
              <w:ind w:right="1459"/>
              <w:spacing w:after="0"/>
              <w:rPr>
                <w:sz w:val="20"/>
                <w:szCs w:val="20"/>
                <w:color w:val="auto"/>
              </w:rPr>
            </w:pPr>
            <w:r>
              <w:rPr>
                <w:rFonts w:ascii="Arial" w:cs="Arial" w:eastAsia="Arial" w:hAnsi="Arial"/>
                <w:sz w:val="16"/>
                <w:szCs w:val="16"/>
                <w:color w:val="auto"/>
              </w:rPr>
              <w:t>Six Months Ended</w:t>
            </w:r>
          </w:p>
        </w:tc>
        <w:tc>
          <w:tcPr>
            <w:tcW w:w="1480" w:type="dxa"/>
            <w:vAlign w:val="bottom"/>
          </w:tcPr>
          <w:p>
            <w:pPr>
              <w:spacing w:after="0"/>
              <w:rPr>
                <w:sz w:val="20"/>
                <w:szCs w:val="20"/>
                <w:color w:val="auto"/>
              </w:rPr>
            </w:pPr>
          </w:p>
        </w:tc>
      </w:tr>
      <w:tr>
        <w:trPr>
          <w:trHeight w:val="219"/>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October 31, 2021</w:t>
            </w: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November 1, 2020</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Change</w:t>
            </w:r>
          </w:p>
        </w:tc>
      </w:tr>
      <w:tr>
        <w:trPr>
          <w:trHeight w:val="213"/>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32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10,285</w:t>
            </w:r>
          </w:p>
        </w:tc>
        <w:tc>
          <w:tcPr>
            <w:tcW w:w="20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11,971</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(14.1)%</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Gross profit margin</w:t>
            </w:r>
          </w:p>
        </w:tc>
        <w:tc>
          <w:tcPr>
            <w:tcW w:w="3220" w:type="dxa"/>
            <w:vAlign w:val="bottom"/>
          </w:tcPr>
          <w:p>
            <w:pPr>
              <w:jc w:val="right"/>
              <w:ind w:right="79"/>
              <w:spacing w:after="0"/>
              <w:rPr>
                <w:sz w:val="20"/>
                <w:szCs w:val="20"/>
                <w:color w:val="auto"/>
              </w:rPr>
            </w:pPr>
            <w:r>
              <w:rPr>
                <w:rFonts w:ascii="Arial" w:cs="Arial" w:eastAsia="Arial" w:hAnsi="Arial"/>
                <w:sz w:val="16"/>
                <w:szCs w:val="16"/>
                <w:color w:val="auto"/>
              </w:rPr>
              <w:t>14.0%</w:t>
            </w:r>
          </w:p>
        </w:tc>
        <w:tc>
          <w:tcPr>
            <w:tcW w:w="2000" w:type="dxa"/>
            <w:vAlign w:val="bottom"/>
          </w:tcPr>
          <w:p>
            <w:pPr>
              <w:jc w:val="right"/>
              <w:ind w:right="239"/>
              <w:spacing w:after="0"/>
              <w:rPr>
                <w:sz w:val="20"/>
                <w:szCs w:val="20"/>
                <w:color w:val="auto"/>
              </w:rPr>
            </w:pPr>
            <w:r>
              <w:rPr>
                <w:rFonts w:ascii="Arial" w:cs="Arial" w:eastAsia="Arial" w:hAnsi="Arial"/>
                <w:sz w:val="16"/>
                <w:szCs w:val="16"/>
                <w:color w:val="auto"/>
              </w:rPr>
              <w:t>18.4%</w:t>
            </w:r>
          </w:p>
        </w:tc>
        <w:tc>
          <w:tcPr>
            <w:tcW w:w="1480" w:type="dxa"/>
            <w:vAlign w:val="bottom"/>
          </w:tcPr>
          <w:p>
            <w:pPr>
              <w:ind w:left="360"/>
              <w:spacing w:after="0"/>
              <w:rPr>
                <w:sz w:val="20"/>
                <w:szCs w:val="20"/>
                <w:color w:val="auto"/>
              </w:rPr>
            </w:pPr>
            <w:r>
              <w:rPr>
                <w:rFonts w:ascii="Arial" w:cs="Arial" w:eastAsia="Arial" w:hAnsi="Arial"/>
                <w:sz w:val="16"/>
                <w:szCs w:val="16"/>
                <w:color w:val="auto"/>
              </w:rPr>
              <w:t>(440)bp</w:t>
            </w:r>
          </w:p>
        </w:tc>
      </w:tr>
      <w:tr>
        <w:trPr>
          <w:trHeight w:val="219"/>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32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6,990</w:t>
            </w:r>
          </w:p>
        </w:tc>
        <w:tc>
          <w:tcPr>
            <w:tcW w:w="20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6,570</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3"/>
              </w:rPr>
              <w:t>6.4%</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3220" w:type="dxa"/>
            <w:vAlign w:val="bottom"/>
          </w:tcPr>
          <w:p>
            <w:pPr>
              <w:jc w:val="right"/>
              <w:ind w:right="239"/>
              <w:spacing w:after="0"/>
              <w:rPr>
                <w:sz w:val="20"/>
                <w:szCs w:val="20"/>
                <w:color w:val="auto"/>
              </w:rPr>
            </w:pPr>
            <w:r>
              <w:rPr>
                <w:rFonts w:ascii="Arial" w:cs="Arial" w:eastAsia="Arial" w:hAnsi="Arial"/>
                <w:sz w:val="16"/>
                <w:szCs w:val="16"/>
                <w:color w:val="auto"/>
              </w:rPr>
              <w:t>3,295</w:t>
            </w:r>
          </w:p>
        </w:tc>
        <w:tc>
          <w:tcPr>
            <w:tcW w:w="2000" w:type="dxa"/>
            <w:vAlign w:val="bottom"/>
          </w:tcPr>
          <w:p>
            <w:pPr>
              <w:jc w:val="right"/>
              <w:ind w:right="399"/>
              <w:spacing w:after="0"/>
              <w:rPr>
                <w:sz w:val="20"/>
                <w:szCs w:val="20"/>
                <w:color w:val="auto"/>
              </w:rPr>
            </w:pPr>
            <w:r>
              <w:rPr>
                <w:rFonts w:ascii="Arial" w:cs="Arial" w:eastAsia="Arial" w:hAnsi="Arial"/>
                <w:sz w:val="16"/>
                <w:szCs w:val="16"/>
                <w:color w:val="auto"/>
              </w:rPr>
              <w:t>5,401</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(39.0)%</w:t>
            </w: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3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4.5%</w:t>
            </w:r>
          </w:p>
        </w:tc>
        <w:tc>
          <w:tcPr>
            <w:tcW w:w="200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8.3%</w:t>
            </w:r>
          </w:p>
        </w:tc>
        <w:tc>
          <w:tcPr>
            <w:tcW w:w="14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6"/>
                <w:szCs w:val="16"/>
                <w:color w:val="auto"/>
              </w:rPr>
              <w:t>(380)bp</w:t>
            </w:r>
          </w:p>
        </w:tc>
      </w:tr>
    </w:tbl>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decrease in upholstery fabrics profitability for the second quarter and the first half of fiscal 2022, as compared to the applicable prior-year periods, primarily reflects lower sales in our residential business during the second quarter, as well as higher freight and material costs, start-up costs for our new Haiti cut and sew facility, unfavorable foreign currency fluctuations associated with our operations in China, lower sales from Read, and higher selling, general, and administrative expenses. The increase in selling, general, and administrative expenses during the second quarter and first half of fiscal 2022, as compared to the prior-year periods, is mostly due to higher salary, marketing, and design expenses, partially offset by lower incentive compensation expense reflecting unfavorable financial results in relation to pre-established performance targets and lower sales commissions reflecting the decrease in net sales.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Looking ahead, we expect that further pressures relating to rising freight costs, material prices, and U.S. labor costs, as well as ongoing China foreign exchange rate fluctuations and additional start-up costs for our new facility in Haiti, may temporarily pressure our profitability during the remainder of fiscal 2022. Our previously implemented price increase and freight surcharge have helped offset foreign currency exchange rate fluctuations and rising freight costs to some extent, as intended, but due to the continued rapid rise in operating and material costs, we are instituting an additional price increase during the third quarter to help cover a portion of these inflationary pressures.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Segment assets consist of accounts receivable, inventory, property, plant, and equipment, and right of use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96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October 31, 2021</w:t>
            </w:r>
          </w:p>
        </w:tc>
        <w:tc>
          <w:tcPr>
            <w:tcW w:w="16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November 1, 2020</w:t>
            </w: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3"/>
              </w:rPr>
              <w:t>May 2, 2021</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30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15,677</w:t>
            </w:r>
          </w:p>
        </w:tc>
        <w:tc>
          <w:tcPr>
            <w:tcW w:w="6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17,046</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17,299</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Inventory</w:t>
            </w:r>
          </w:p>
        </w:tc>
        <w:tc>
          <w:tcPr>
            <w:tcW w:w="30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29,283</w:t>
            </w:r>
          </w:p>
        </w:tc>
        <w:tc>
          <w:tcPr>
            <w:tcW w:w="6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23,526</w:t>
            </w: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25,870</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30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2,110</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2,014</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1,925</w:t>
            </w:r>
          </w:p>
        </w:tc>
      </w:tr>
      <w:tr>
        <w:trPr>
          <w:trHeight w:val="213"/>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w:t>
            </w:r>
          </w:p>
        </w:tc>
        <w:tc>
          <w:tcPr>
            <w:tcW w:w="30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5,472</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3,269</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5,945</w:t>
            </w:r>
          </w:p>
        </w:tc>
      </w:tr>
      <w:tr>
        <w:trPr>
          <w:trHeight w:val="210"/>
        </w:trPr>
        <w:tc>
          <w:tcPr>
            <w:tcW w:w="4400" w:type="dxa"/>
            <w:vAlign w:val="bottom"/>
            <w:tcBorders>
              <w:bottom w:val="single" w:sz="8" w:color="auto"/>
            </w:tcBorders>
            <w:shd w:val="clear" w:color="auto" w:fill="CFF0FC"/>
          </w:tcPr>
          <w:p>
            <w:pPr>
              <w:spacing w:after="0"/>
              <w:rPr>
                <w:sz w:val="18"/>
                <w:szCs w:val="18"/>
                <w:color w:val="auto"/>
              </w:rPr>
            </w:pPr>
          </w:p>
        </w:tc>
        <w:tc>
          <w:tcPr>
            <w:tcW w:w="30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52,542</w:t>
            </w:r>
          </w:p>
        </w:tc>
        <w:tc>
          <w:tcPr>
            <w:tcW w:w="6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45,855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51,039</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Refer to Note 12 of the consolidated financial statements for disclosures regarding determination of our segment assets.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i w:val="1"/>
          <w:iCs w:val="1"/>
          <w:color w:val="auto"/>
        </w:rPr>
        <w:t>Accounts Receivable</w:t>
      </w:r>
    </w:p>
    <w:p>
      <w:pPr>
        <w:spacing w:after="0" w:line="18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October 31, 2021, accounts receivable decreased by $1.4 million, or 8.0%, compared with November 1, 2020. This decrease primarily reflects the decrease in net sales during the second quarter of fiscal 2022 compared with the second quarter of fiscal 2021, as noted above.</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October 31, 2021, accounts receivable decreased by $1.6 million, or 9.4%, as compared with May 2, 2021. This decrease reflects the decrease in net sales during the second quarter of fiscal 2022 compared with the fourth quarter of fiscal 2021. Net sales were $33.7 million during the second quarter of fiscal 2022, a decrease of $2.4 million, or 6.8%, compared with net sales of $36.1 million during the fourth quarter of fiscal 2021.</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Days’ sales outstanding was 41 days during the second quarter of fiscal 2022, compared with 41 days during the second quarter of fiscal 2021 and 42 days during the fourth quarter of fiscal 2021.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of October 31, 2021, inventory increased by $5.8 million, or 24.5%, compared with November 1, 2020. As of October 31, 2021, inventory increased by $3.4 million, or 13.2%, compared with May 2, 2021. The increases in inventory reflects (i) support for our customers by accommodating their need to slow order uptake due to their supply chain constraints for non-fabric components, (ii) an increase in inventory purchase to strategically get ahead of anticipated increases in material costs, and (iii) an increase in inventory purchases to strategically improve our inventory position to support expected customer demand ahead of the upcoming Chinese New Year holiday.</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4.3 for the second quarter of fiscal 2022, compared with 5.3 for the second quarter of fiscal 2021 and 4.6 for the fourth quarter of fiscal 2021.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$2.1 million as of October 31, 2021, represents property, plant, and equipment of $1.1 million, $798,000, and $242,000 located in the U.S., China, and Haiti, respectively. The $2.0 million as of November 1, 2020, represents property, plant, and equipment of $1.1 million and $904,000 located in the U.S. and China, respectively. The $1.9 million as of May 2, 2021, represents property, plant, and equipment of $1.1 million and $850,000 located in the U.S. and China, respectively. Property, plant, and equipment amounts are comparable for the periods presented as capital expenditures have been made commensurate with depreciation expense.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$5.5 million as of October 31, 2021, represents right of use assets of $4.3 million and $1.2 million located in China and the U.S., respectively. The $3.3 million as of November 1, 2020, represents right of use assets of $2.7 million and $561,000 located in China and the U.S., respectively. The $5.9 million as of May 2, 2021, represents right of use assets of $5.0 million and $952,000 located in China and the U.S., respectively.</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April 9, 2021, we entered into an agreement to lease a 90,000 square foot facility located in a modern industrial park on the northeastern border of Haiti. The lease term is now expected to commence during the third quarter of fiscal 2022, after construction of the facility has been completed, and at such time, we will have control of the facility based on the terms of the lease. As a result, right of use assets are expected to increase by $2.8 million at the commencement of the lease.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Income Statement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520" w:type="dxa"/>
            <w:vAlign w:val="bottom"/>
            <w:gridSpan w:val="3"/>
          </w:tcPr>
          <w:p>
            <w:pPr>
              <w:jc w:val="right"/>
              <w:ind w:right="1239"/>
              <w:spacing w:after="0"/>
              <w:rPr>
                <w:sz w:val="20"/>
                <w:szCs w:val="20"/>
                <w:color w:val="auto"/>
              </w:rPr>
            </w:pPr>
            <w:r>
              <w:rPr>
                <w:rFonts w:ascii="Arial" w:cs="Arial" w:eastAsia="Arial" w:hAnsi="Arial"/>
                <w:sz w:val="16"/>
                <w:szCs w:val="16"/>
                <w:color w:val="auto"/>
              </w:rPr>
              <w:t>Three Months Ended</w:t>
            </w:r>
          </w:p>
        </w:tc>
        <w:tc>
          <w:tcPr>
            <w:tcW w:w="1660" w:type="dxa"/>
            <w:vAlign w:val="bottom"/>
          </w:tcPr>
          <w:p>
            <w:pPr>
              <w:spacing w:after="0"/>
              <w:rPr>
                <w:sz w:val="17"/>
                <w:szCs w:val="17"/>
                <w:color w:val="auto"/>
              </w:rPr>
            </w:pPr>
          </w:p>
        </w:tc>
      </w:tr>
      <w:tr>
        <w:trPr>
          <w:trHeight w:val="219"/>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October 31, 2021</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2"/>
              </w:rPr>
              <w:t>November 1, 2020</w:t>
            </w: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2"/>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SG&amp;A expenses</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9,087</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9,743</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Interest income</w:t>
            </w:r>
          </w:p>
        </w:tc>
        <w:tc>
          <w:tcPr>
            <w:tcW w:w="238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18"/>
                <w:szCs w:val="18"/>
                <w:color w:val="auto"/>
              </w:rPr>
            </w:pPr>
          </w:p>
        </w:tc>
        <w:tc>
          <w:tcPr>
            <w:tcW w:w="1740" w:type="dxa"/>
            <w:vAlign w:val="bottom"/>
          </w:tcPr>
          <w:p>
            <w:pPr>
              <w:jc w:val="right"/>
              <w:ind w:right="279"/>
              <w:spacing w:after="0"/>
              <w:rPr>
                <w:sz w:val="20"/>
                <w:szCs w:val="20"/>
                <w:color w:val="auto"/>
              </w:rPr>
            </w:pPr>
            <w:r>
              <w:rPr>
                <w:rFonts w:ascii="Arial" w:cs="Arial" w:eastAsia="Arial" w:hAnsi="Arial"/>
                <w:sz w:val="16"/>
                <w:szCs w:val="16"/>
                <w:color w:val="auto"/>
              </w:rPr>
              <w:t>59</w:t>
            </w:r>
          </w:p>
        </w:tc>
        <w:tc>
          <w:tcPr>
            <w:tcW w:w="166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16"/>
        </w:trPr>
        <w:tc>
          <w:tcPr>
            <w:tcW w:w="3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expense</w:t>
            </w:r>
          </w:p>
        </w:tc>
        <w:tc>
          <w:tcPr>
            <w:tcW w:w="23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404</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680</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w:t>
            </w:r>
          </w:p>
        </w:tc>
      </w:tr>
      <w:tr>
        <w:trPr>
          <w:trHeight w:val="226"/>
        </w:trPr>
        <w:tc>
          <w:tcPr>
            <w:tcW w:w="36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3"/>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204"/>
        </w:trPr>
        <w:tc>
          <w:tcPr>
            <w:tcW w:w="3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520" w:type="dxa"/>
            <w:vAlign w:val="bottom"/>
            <w:gridSpan w:val="3"/>
          </w:tcPr>
          <w:p>
            <w:pPr>
              <w:jc w:val="right"/>
              <w:ind w:right="1319"/>
              <w:spacing w:after="0"/>
              <w:rPr>
                <w:sz w:val="20"/>
                <w:szCs w:val="20"/>
                <w:color w:val="auto"/>
              </w:rPr>
            </w:pPr>
            <w:r>
              <w:rPr>
                <w:rFonts w:ascii="Arial" w:cs="Arial" w:eastAsia="Arial" w:hAnsi="Arial"/>
                <w:sz w:val="16"/>
                <w:szCs w:val="16"/>
                <w:color w:val="auto"/>
              </w:rPr>
              <w:t>Six Months Ended</w:t>
            </w:r>
          </w:p>
        </w:tc>
        <w:tc>
          <w:tcPr>
            <w:tcW w:w="1660" w:type="dxa"/>
            <w:vAlign w:val="bottom"/>
          </w:tcPr>
          <w:p>
            <w:pPr>
              <w:spacing w:after="0"/>
              <w:rPr>
                <w:sz w:val="17"/>
                <w:szCs w:val="17"/>
                <w:color w:val="auto"/>
              </w:rPr>
            </w:pPr>
          </w:p>
        </w:tc>
      </w:tr>
      <w:tr>
        <w:trPr>
          <w:trHeight w:val="219"/>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October 31, 2021</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2"/>
              </w:rPr>
              <w:t>November 1, 2020</w:t>
            </w: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SG&amp;A expenses</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18,268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17,761</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Interest expense</w:t>
            </w:r>
          </w:p>
        </w:tc>
        <w:tc>
          <w:tcPr>
            <w:tcW w:w="238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740" w:type="dxa"/>
            <w:vAlign w:val="bottom"/>
          </w:tcPr>
          <w:p>
            <w:pPr>
              <w:jc w:val="right"/>
              <w:ind w:right="279"/>
              <w:spacing w:after="0"/>
              <w:rPr>
                <w:sz w:val="20"/>
                <w:szCs w:val="20"/>
                <w:color w:val="auto"/>
              </w:rPr>
            </w:pPr>
            <w:r>
              <w:rPr>
                <w:rFonts w:ascii="Arial" w:cs="Arial" w:eastAsia="Arial" w:hAnsi="Arial"/>
                <w:sz w:val="16"/>
                <w:szCs w:val="16"/>
                <w:color w:val="auto"/>
              </w:rPr>
              <w:t>51</w:t>
            </w:r>
          </w:p>
        </w:tc>
        <w:tc>
          <w:tcPr>
            <w:tcW w:w="16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117</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expense</w:t>
            </w:r>
          </w:p>
        </w:tc>
        <w:tc>
          <w:tcPr>
            <w:tcW w:w="2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640</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1,046</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selling, general, and administrative expenses during the second quarter of fiscal 2022, as compared with the second quarter of fiscal 2021, is mostly due to (i) lower incentive compensation expense reflecting unfavorable financial results in relation to pre-established performance targets and (ii) lower sales commissions reflecting the decrease in net sales, partially offset by (iii) higher salary, marketing, and design expenses associated with our upholstery fabrics segment.</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increase in selling, general, and administrative expenses during the first half of fiscal 2022, as compared with the first half of fiscal 2021, is due mostly to (i) our significant cost cutting measures during the fourth quarter of fiscal 2020 that continued into the first quarter of fiscal 2021 as part of our comprehensive response to the COVID-19 global pandemic, and which trend did not recur during the first half of fiscal 2022, and (ii) higher salary, marketing, and design expenses associated with our upholstery fabrics segment, partially offset by (iii) lower incentive compensation expense reflecting unfavorable financial results in relation to pre-established performance targets.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half of fiscal 2022, we did not incur any interest expense, as we did not have any borrowings outstanding during such time.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the first half of fiscal 2021, interest expense was attributable to interest paid on amounts borrowed during the fourth quarter of fiscal 2020 in connection with the economic uncertainty and disruption associated with the COVID-19 global pandemic. During the fourth quarter of fiscal 2020, we borrowed $30.8 million under our lines of credit and applied for and received a $7.6 million loan under the SBA’s Paycheck Protection Program. The total amount of these borrowings was repaid during the first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Interest income mostly reflects investment income earned on our current investments of excess cash held in (i) money market funds, (ii) bond, other fixed income, and equity-related mutual funds, and (iii) investment-grade U.S. corporate, foreign, and government bonds, as well as (iv) interest earned on a money market fund and equity-related mutual fund investment associated with our rabbi trust that funds our deferred compensation plan.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accordance with ASC Topic 830 </w:t>
      </w:r>
      <w:r>
        <w:rPr>
          <w:rFonts w:ascii="Arial" w:cs="Arial" w:eastAsia="Arial" w:hAnsi="Arial"/>
          <w:sz w:val="20"/>
          <w:szCs w:val="20"/>
          <w:i w:val="1"/>
          <w:iCs w:val="1"/>
          <w:color w:val="auto"/>
        </w:rPr>
        <w:t>Foreign Currency Matters</w:t>
      </w:r>
      <w:r>
        <w:rPr>
          <w:rFonts w:ascii="Arial" w:cs="Arial" w:eastAsia="Arial" w:hAnsi="Arial"/>
          <w:sz w:val="20"/>
          <w:szCs w:val="20"/>
          <w:color w:val="auto"/>
        </w:rPr>
        <w:t>, management assesses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decreases in other expense during the three-month and six-month periods of fiscal 2022 compared with the three-month and six-month periods of fiscal 2021 were due mostly to more favorable foreign exchange rates applied against our balance sheet accounts denominated in Chinese Renminbi to determine the corresponding U.S. dollar financial reporting amounts. During the three-month and six-month periods of fiscal 2022, we reported foreign exchange rate losses associated with our operations located in China of $151,000 and $160,000, respectively. During the three-month and six-month periods of fiscal 2021, we reported foreign exchange rate losses associated with our operations located in China of $551,000 and $690,000, respectively.</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the $160,000 and $690,000 foreign exchange losses for the six-month periods of fiscal 2022 and 2021, respectively, were partially offset by income tax benefits totaling $72,000 and $650,000 for the six-month periods of fiscal 2022 and 2021, respectively. These income tax benefits were associated with income tax deductible foreign exchange rate losses based on more unfavorable foreign exchange rates applied against balance sheet accounts denominated in U.S. dollars to determine the corresponding Chinese Renminbi local currency amounts. The foreign exchange rate losses incurred on our U.S. dollar denominated balance sheet accounts associated with our operations located in China are income tax deductible as we incur income tax expense and pay income taxes in China’s local currency.</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i w:val="1"/>
          <w:iCs w:val="1"/>
          <w:color w:val="auto"/>
        </w:rPr>
        <w:t>Income Taxes – Effective Income Tax Rate &amp; Income Tax Expense</w:t>
      </w:r>
      <w:r>
        <w:rPr>
          <w:rFonts w:ascii="Arial" w:cs="Arial" w:eastAsia="Arial" w:hAnsi="Arial"/>
          <w:sz w:val="20"/>
          <w:szCs w:val="20"/>
          <w:color w:val="auto"/>
        </w:rPr>
        <w:t xml:space="preserve"> section below for further details on the income tax effects of the foreign exchange rate losses (gains) associated with our China operations on our consolidated effective income tax rate for the six-month periods ended October 31, 2021 and November 1, 2020,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 &amp; Income Tax Expense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recorded income tax expense of $1.3 million, or 30.3% of income before income taxes, for the six-month period ending October 31, 2021, compared with income tax expense of $5.9 million, or 109.5% of income before income taxes, for the six-month period ending November 1,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9" w:name="page40"/>
    <w:bookmarkEnd w:id="39"/>
    <w:p>
      <w:pPr>
        <w:jc w:val="both"/>
        <w:spacing w:after="0" w:line="273" w:lineRule="auto"/>
        <w:rPr>
          <w:sz w:val="20"/>
          <w:szCs w:val="20"/>
          <w:color w:val="auto"/>
        </w:rPr>
      </w:pPr>
      <w:r>
        <w:rPr>
          <w:rFonts w:ascii="Arial" w:cs="Arial" w:eastAsia="Arial" w:hAnsi="Arial"/>
          <w:sz w:val="18"/>
          <w:szCs w:val="18"/>
          <w:color w:val="auto"/>
        </w:rPr>
        <w:t>Our effective income tax rates for the six-month periods ended October 31, 2021, and November 1, 2020, were based upon the estimated effective income tax rate applicable for the full year after giving effect to any significant items related specifically to interim periods. When calculating the annual estimated effective income tax rate for the six-month periods ended October 31, 2021, and November 1, 2020, we were subject to a loss limitation rule in accordance with ASC Topic 740-270-30-36(a). This loss limitation rule requires any taxable loss associated with our U.S. or foreign operations to be excluded from the annual estimated effective income tax rate calculation if it is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ending October 31, 2021, and November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tcPr>
          <w:p>
            <w:pPr>
              <w:spacing w:after="0"/>
              <w:rPr>
                <w:sz w:val="17"/>
                <w:szCs w:val="17"/>
                <w:color w:val="auto"/>
              </w:rPr>
            </w:pPr>
          </w:p>
        </w:tc>
        <w:tc>
          <w:tcPr>
            <w:tcW w:w="5520" w:type="dxa"/>
            <w:vAlign w:val="bottom"/>
            <w:gridSpan w:val="2"/>
          </w:tcPr>
          <w:p>
            <w:pPr>
              <w:jc w:val="right"/>
              <w:ind w:right="1179"/>
              <w:spacing w:after="0"/>
              <w:rPr>
                <w:sz w:val="20"/>
                <w:szCs w:val="20"/>
                <w:color w:val="auto"/>
              </w:rPr>
            </w:pPr>
            <w:r>
              <w:rPr>
                <w:rFonts w:ascii="Arial" w:cs="Arial" w:eastAsia="Arial" w:hAnsi="Arial"/>
                <w:sz w:val="16"/>
                <w:szCs w:val="16"/>
                <w:color w:val="auto"/>
              </w:rPr>
              <w:t>Six Months Ended</w:t>
            </w:r>
          </w:p>
        </w:tc>
      </w:tr>
      <w:tr>
        <w:trPr>
          <w:trHeight w:val="219"/>
        </w:trPr>
        <w:tc>
          <w:tcPr>
            <w:tcW w:w="57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October 31, 2021</w:t>
            </w: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November 1, 2020</w:t>
            </w:r>
          </w:p>
        </w:tc>
      </w:tr>
      <w:tr>
        <w:trPr>
          <w:trHeight w:val="213"/>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U.S. federal income tax rate</w:t>
            </w:r>
          </w:p>
        </w:tc>
        <w:tc>
          <w:tcPr>
            <w:tcW w:w="3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21.0%</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U.S. valuation allowance</w:t>
            </w:r>
          </w:p>
        </w:tc>
        <w:tc>
          <w:tcPr>
            <w:tcW w:w="3800" w:type="dxa"/>
            <w:vAlign w:val="bottom"/>
          </w:tcPr>
          <w:p>
            <w:pPr>
              <w:jc w:val="right"/>
              <w:ind w:right="179"/>
              <w:spacing w:after="0"/>
              <w:rPr>
                <w:sz w:val="20"/>
                <w:szCs w:val="20"/>
                <w:color w:val="auto"/>
              </w:rPr>
            </w:pPr>
            <w:r>
              <w:rPr>
                <w:rFonts w:ascii="Arial" w:cs="Arial" w:eastAsia="Arial" w:hAnsi="Arial"/>
                <w:sz w:val="16"/>
                <w:szCs w:val="16"/>
                <w:color w:val="auto"/>
              </w:rPr>
              <w:t>(4.5)</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141.6</w:t>
            </w: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U.S. income tax law change</w:t>
            </w:r>
          </w:p>
        </w:tc>
        <w:tc>
          <w:tcPr>
            <w:tcW w:w="38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(65.1)</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Withholding taxes associated with foreign jurisdictions</w:t>
            </w:r>
          </w:p>
        </w:tc>
        <w:tc>
          <w:tcPr>
            <w:tcW w:w="3800" w:type="dxa"/>
            <w:vAlign w:val="bottom"/>
          </w:tcPr>
          <w:p>
            <w:pPr>
              <w:jc w:val="right"/>
              <w:ind w:right="239"/>
              <w:spacing w:after="0"/>
              <w:rPr>
                <w:sz w:val="20"/>
                <w:szCs w:val="20"/>
                <w:color w:val="auto"/>
              </w:rPr>
            </w:pPr>
            <w:r>
              <w:rPr>
                <w:rFonts w:ascii="Arial" w:cs="Arial" w:eastAsia="Arial" w:hAnsi="Arial"/>
                <w:sz w:val="16"/>
                <w:szCs w:val="16"/>
                <w:color w:val="auto"/>
              </w:rPr>
              <w:t>6.1</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8.4</w:t>
            </w: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Foreign income tax rate differential</w:t>
            </w:r>
          </w:p>
        </w:tc>
        <w:tc>
          <w:tcPr>
            <w:tcW w:w="38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3.9</w:t>
            </w:r>
          </w:p>
        </w:tc>
        <w:tc>
          <w:tcPr>
            <w:tcW w:w="1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Global Intangible Low Taxed Income Tax ("GILTI")</w:t>
            </w:r>
          </w:p>
        </w:tc>
        <w:tc>
          <w:tcPr>
            <w:tcW w:w="3800" w:type="dxa"/>
            <w:vAlign w:val="bottom"/>
          </w:tcPr>
          <w:p>
            <w:pPr>
              <w:jc w:val="right"/>
              <w:ind w:right="239"/>
              <w:spacing w:after="0"/>
              <w:rPr>
                <w:sz w:val="20"/>
                <w:szCs w:val="20"/>
                <w:color w:val="auto"/>
              </w:rPr>
            </w:pPr>
            <w:r>
              <w:rPr>
                <w:rFonts w:ascii="Arial" w:cs="Arial" w:eastAsia="Arial" w:hAnsi="Arial"/>
                <w:sz w:val="16"/>
                <w:szCs w:val="16"/>
                <w:color w:val="auto"/>
              </w:rPr>
              <w:t>3.3</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Tax effects of deductible foreign exchange rate losses</w:t>
            </w:r>
          </w:p>
        </w:tc>
        <w:tc>
          <w:tcPr>
            <w:tcW w:w="38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(0.4)</w:t>
            </w:r>
          </w:p>
        </w:tc>
        <w:tc>
          <w:tcPr>
            <w:tcW w:w="1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w:t>
            </w:r>
          </w:p>
        </w:tc>
      </w:tr>
      <w:tr>
        <w:trPr>
          <w:trHeight w:val="213"/>
        </w:trPr>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3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0.9</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210"/>
        </w:trPr>
        <w:tc>
          <w:tcPr>
            <w:tcW w:w="57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30.3%</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effective income tax rate during the first half of fiscal 2022 was negatively affected, but not nearly to the extent as in the first half of fiscal 2021, by the mix of taxable income that is mostly earned by our foreign operations located in China and Canada, which have higher income tax rates than the U.S. This is due mostly to higher annual forecasted taxable income from our U.S. operations as of the end of the second quarter of fiscal 2022, compared with lower annual forecasted taxable from our U.S. operations as of the end of the second quarter of fiscal 2021.</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GILTI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2021</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July 20, 2020, the U.S. Treasury Department finalized and enacted previously proposed regulations regarding the GILTI tax provisions of the Tax Cuts and Jobs Act of 2017 (“TCJA”). With the enactment of these final regulations, we became eligible for an exclusion from GILTI if we meet the provisions of the GILTI High-Tax exception included in these final regulations. To meet the provisions of the GILTI high tax exception, the tested foreign entity’s effective income tax rate related to current year’s earnings must be higher than 90% of the U.S. Federal income tax rate of 21% (i.e., 18.9%). In addition, the enactment of the new regulations and the provisions for the GILTI High-Tax exception are retroactive to the original enactment of the GILTI tax provision, which includes our 2019 and 2020 fiscal years.</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Since we met the requirements for the High-Tax exception for our 2019 and 2020 fiscal years,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and the six-month year-to-date period of fiscal 2021.</w:t>
      </w:r>
    </w:p>
    <w:p>
      <w:pPr>
        <w:spacing w:after="0" w:line="164" w:lineRule="exact"/>
        <w:rPr>
          <w:sz w:val="20"/>
          <w:szCs w:val="20"/>
          <w:color w:val="auto"/>
        </w:rPr>
      </w:pPr>
    </w:p>
    <w:p>
      <w:pPr>
        <w:ind w:right="460"/>
        <w:spacing w:after="0" w:line="443" w:lineRule="auto"/>
        <w:rPr>
          <w:sz w:val="20"/>
          <w:szCs w:val="20"/>
          <w:color w:val="auto"/>
        </w:rPr>
      </w:pPr>
      <w:r>
        <w:rPr>
          <w:rFonts w:ascii="Arial" w:cs="Arial" w:eastAsia="Arial" w:hAnsi="Arial"/>
          <w:sz w:val="20"/>
          <w:szCs w:val="20"/>
          <w:color w:val="auto"/>
        </w:rPr>
        <w:t xml:space="preserve">Additionally, we met the requirements for the High-Tax exception for our 2021 fiscal year, and therefore, were not subject to GILTI tax. </w:t>
      </w:r>
      <w:r>
        <w:rPr>
          <w:rFonts w:ascii="Arial" w:cs="Arial" w:eastAsia="Arial" w:hAnsi="Arial"/>
          <w:sz w:val="20"/>
          <w:szCs w:val="20"/>
          <w:u w:val="single" w:color="auto"/>
          <w:color w:val="auto"/>
        </w:rPr>
        <w:t>Fiscal 2022</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the end of the second quarter of fiscal 2022, we believe we will not meet the requirements for the GILTI High-Tax exception regarding our foreign subsidiaries located in Canada and Haiti, and therefore, will be subject to GILTI tax for the 2022 fiscal year.</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Based on our assessment associated with our operation located in Canada, </w:t>
      </w:r>
      <w:r>
        <w:rPr>
          <w:rFonts w:ascii="Arial" w:cs="Arial" w:eastAsia="Arial" w:hAnsi="Arial"/>
          <w:sz w:val="18"/>
          <w:szCs w:val="18"/>
          <w:color w:val="auto"/>
        </w:rPr>
        <w:t>we expect that several significant capital projects will be placed into</w:t>
      </w:r>
      <w:r>
        <w:rPr>
          <w:rFonts w:ascii="Arial" w:cs="Arial" w:eastAsia="Arial" w:hAnsi="Arial"/>
          <w:sz w:val="17"/>
          <w:szCs w:val="17"/>
          <w:color w:val="auto"/>
        </w:rPr>
        <w:t xml:space="preserve"> </w:t>
      </w:r>
      <w:r>
        <w:rPr>
          <w:rFonts w:ascii="Arial" w:cs="Arial" w:eastAsia="Arial" w:hAnsi="Arial"/>
          <w:sz w:val="18"/>
          <w:szCs w:val="18"/>
          <w:color w:val="auto"/>
        </w:rPr>
        <w:t>service during fiscal 2022, and therefore we will be eligible for a significant amount of deductible accelerated depreciation. As a result, our current year’s income tax expense is expected to be much lower than prior fiscal years’, and therefore, our projected current effective income tax rate is expected to be lower than the required 18.9% current effective income tax rate to meet the GILTI High-Tax exception provision.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0" w:name="page41"/>
    <w:bookmarkEnd w:id="40"/>
    <w:p>
      <w:pPr>
        <w:jc w:val="both"/>
        <w:spacing w:after="0" w:line="260" w:lineRule="auto"/>
        <w:rPr>
          <w:sz w:val="20"/>
          <w:szCs w:val="20"/>
          <w:color w:val="auto"/>
        </w:rPr>
      </w:pPr>
      <w:r>
        <w:rPr>
          <w:rFonts w:ascii="Arial" w:cs="Arial" w:eastAsia="Arial" w:hAnsi="Arial"/>
          <w:sz w:val="19"/>
          <w:szCs w:val="19"/>
          <w:color w:val="auto"/>
        </w:rPr>
        <w:t>Based on our assessment associated with our operations located in Haiti, we expect to earn taxable income that is not subject to income tax, as we are located in an economic zone that permits a 0% income tax rate for the first fifteen years of operations, for which we have ten years remaining. Since our operations located in Haiti are not expected to be subject to income tax, our projected current effective income tax rate of 0% will be lower than the required 18.9% current effective income tax rate to meet the GILTI High-Tax exception. Fiscal 2022 is the first fiscal year in which we expect to earn taxable income from our operations located in Haiti.</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Allowance</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we evaluate the realizability of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was reversed as a result of the retroactivity of the new GILTI regulations. Consequently, due to the retroactivity of the new regulations, we experienced a recent history of cumulative U.S. taxable losses during our last two fiscal years, and we expected at the time of this assessment that our history of U.S. pre-tax losses would continue into fiscal 2021. As a result of the significant weight of this negative evidence, we believed it was more-likely-than-not that our U.S. net deferred income tax assets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and the six-month year-to-date period of fiscal 2021.</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As of October 31, 2021, we evaluated the realizability of our U.S. net deferred income tax assets to determine if a full valuation allowance was still required. Based on our assessment, we determined we still have a recent history of cumulative U.S. taxable losses, in that we experienced U.S. taxable losses during each of the fiscal years 2020 and 2021. In addition, as of October 31, 2021, we are currently expecting U.S. taxable income during fiscal 2022 stemming from the source of taxable income provided by GILTI noted above. However, the cumulative losses that we have experienced during fiscal years 2020 and 2021 significantly exceed the U.S. taxable income expected during fiscal 2022.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Based on our assessments as of October 31, 2021, November 1, 2020, and May 2, 2021, valuation allowances against our net deferred income taxes pertain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10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October 31, 2021</w:t>
            </w:r>
          </w:p>
        </w:tc>
        <w:tc>
          <w:tcPr>
            <w:tcW w:w="1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November 1, 2020</w:t>
            </w: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May 2, 2021</w:t>
            </w:r>
          </w:p>
        </w:tc>
      </w:tr>
      <w:tr>
        <w:trPr>
          <w:trHeight w:val="212"/>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U.S. federal and state net deferred income tax assets</w:t>
            </w:r>
          </w:p>
        </w:tc>
        <w:tc>
          <w:tcPr>
            <w:tcW w:w="21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9,155</w:t>
            </w:r>
          </w:p>
        </w:tc>
        <w:tc>
          <w:tcPr>
            <w:tcW w:w="16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8,543</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9,344</w:t>
            </w: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capital loss carryforward</w:t>
            </w:r>
          </w:p>
        </w:tc>
        <w:tc>
          <w:tcPr>
            <w:tcW w:w="2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2,330</w:t>
            </w: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2,281</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2,330</w:t>
            </w:r>
          </w:p>
        </w:tc>
      </w:tr>
      <w:tr>
        <w:trPr>
          <w:trHeight w:val="210"/>
        </w:trPr>
        <w:tc>
          <w:tcPr>
            <w:tcW w:w="508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11,485</w:t>
            </w:r>
          </w:p>
        </w:tc>
        <w:tc>
          <w:tcPr>
            <w:tcW w:w="16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10,824</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11,674</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Undistributed Earnings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 to Note 13 of the consolidated financial statements for disclosures regarding our assessments of our recorded deferred income tax liability balances associated with undistributed earnings from our foreign subsidiaries as of October 31, 2021, November 1, 2020, and May 2, 2021,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13 located of the consolidated financial statements for disclosures regarding our assessments of our uncertain income tax positions as of October 31, 2021, November 1, 2020, and May 2, 2021,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i w:val="1"/>
          <w:iCs w:val="1"/>
          <w:color w:val="auto"/>
        </w:rPr>
        <w:t>Income Taxes Paid (Refunded)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taxes paid (refunded)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gridSpan w:val="3"/>
          </w:tcPr>
          <w:p>
            <w:pPr>
              <w:jc w:val="right"/>
              <w:ind w:right="1419"/>
              <w:spacing w:after="0"/>
              <w:rPr>
                <w:sz w:val="20"/>
                <w:szCs w:val="20"/>
                <w:color w:val="auto"/>
              </w:rPr>
            </w:pPr>
            <w:r>
              <w:rPr>
                <w:rFonts w:ascii="Arial" w:cs="Arial" w:eastAsia="Arial" w:hAnsi="Arial"/>
                <w:sz w:val="16"/>
                <w:szCs w:val="16"/>
                <w:color w:val="auto"/>
              </w:rPr>
              <w:t>Six Months Ended</w:t>
            </w:r>
          </w:p>
        </w:tc>
      </w:tr>
      <w:tr>
        <w:trPr>
          <w:trHeight w:val="219"/>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October 31, 2021</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November 1, 2020</w:t>
            </w:r>
          </w:p>
        </w:tc>
      </w:tr>
      <w:tr>
        <w:trPr>
          <w:trHeight w:val="203"/>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United States Federal - Alternative Minimum Tax</w:t>
            </w: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r>
      <w:tr>
        <w:trPr>
          <w:trHeight w:val="212"/>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(AMT) credit refunds (1)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(1,509)</w:t>
            </w: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United States Transition Tax Payment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266</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227</w:t>
            </w: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China - Income Taxes</w:t>
            </w: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921</w:t>
            </w:r>
          </w:p>
        </w:tc>
        <w:tc>
          <w:tcPr>
            <w:tcW w:w="3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349</w:t>
            </w:r>
          </w:p>
        </w:tc>
      </w:tr>
      <w:tr>
        <w:trPr>
          <w:trHeight w:val="206"/>
        </w:trPr>
        <w:tc>
          <w:tcPr>
            <w:tcW w:w="7160" w:type="dxa"/>
            <w:vAlign w:val="bottom"/>
          </w:tcPr>
          <w:p>
            <w:pPr>
              <w:spacing w:after="0"/>
              <w:rPr>
                <w:sz w:val="20"/>
                <w:szCs w:val="20"/>
                <w:color w:val="auto"/>
              </w:rPr>
            </w:pPr>
            <w:r>
              <w:rPr>
                <w:rFonts w:ascii="Arial" w:cs="Arial" w:eastAsia="Arial" w:hAnsi="Arial"/>
                <w:sz w:val="16"/>
                <w:szCs w:val="16"/>
                <w:color w:val="auto"/>
              </w:rPr>
              <w:t>China - Withholding Taxes Associated with Earnings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9"/>
        </w:trPr>
        <w:tc>
          <w:tcPr>
            <w:tcW w:w="7160" w:type="dxa"/>
            <w:vAlign w:val="bottom"/>
          </w:tcPr>
          <w:p>
            <w:pPr>
              <w:ind w:left="180"/>
              <w:spacing w:after="0"/>
              <w:rPr>
                <w:sz w:val="20"/>
                <w:szCs w:val="20"/>
                <w:color w:val="auto"/>
              </w:rPr>
            </w:pPr>
            <w:r>
              <w:rPr>
                <w:rFonts w:ascii="Arial" w:cs="Arial" w:eastAsia="Arial" w:hAnsi="Arial"/>
                <w:sz w:val="16"/>
                <w:szCs w:val="16"/>
                <w:color w:val="auto"/>
              </w:rPr>
              <w:t>and Profits Distribution to U.S. Parent</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487</w:t>
            </w:r>
          </w:p>
        </w:tc>
        <w:tc>
          <w:tcPr>
            <w:tcW w:w="34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Canada -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427</w:t>
            </w:r>
          </w:p>
        </w:tc>
        <w:tc>
          <w:tcPr>
            <w:tcW w:w="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w:t>
            </w:r>
          </w:p>
        </w:tc>
      </w:tr>
      <w:tr>
        <w:trPr>
          <w:trHeight w:val="210"/>
        </w:trPr>
        <w:tc>
          <w:tcPr>
            <w:tcW w:w="716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2,101</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300" w:hanging="285"/>
        <w:spacing w:after="0" w:line="25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accordance with the provisions of the TCJA, we elected to treat our prior AMT credit carryforward balance of $1.5 million as refundable. We received our $1.5 million refundable balance in two separate installments totaling $746,000 and $764,000 during the first and second quarters of fiscal 2021,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Future Liquidity</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are currently projecting annual cash income tax payments of approximately $3.6 million for fiscal 2022, compared with $3.0 million for fiscal 2021. The increase mostly represents U.S. AMT credit refunds totaling $1.5 million that were received during fiscal 2021 that will not recur during fiscal 2022. This increase is expected to be partially offset by a significant decrease in income tax payments associated with our Canadian operation resulting from several significant capital projects that will be placed into service during fiscal 2022 that will be eligible for a significant amount of deductible accelerated depreciation. Our estimated cash income tax payments for fiscal 2022 are management’s current projections only and can be affected over the year by actual earnings from our foreign subsidiaries located in China and Canada versus annual projections, changes in the foreign exchange rates associated with our China operations in relation to the U.S. dollar, as well as the timing of when significant capital projects will be placed into service, which determines the deductibility of accelerated depreciation.</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Additionally, we currently expect to pay minimal income taxes in the U.S. on a cash basis during fiscal 2022 due to: (i) the immediate expensing of U.S. capital expenditures, and (ii) our existing U.S. federal net operating loss carryforwards totaling $19.4 million.</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Currently, our sources of liquidity include cash and cash equivalents, short-term investments (available for sale), cash flow from operations, and amounts available under our revolving credit lines. These sources have been adequate for day-to-day operations, capital expenditures, debt payments, common stock repurchases, and dividend payments. We believe our cash and cash equivalents of $17.0 million and short-term investments (available for sale) of $9.7 million as of October 31, 2021, cash flow from operations, and the current availability ($38 million) under our revolving credit lines will be sufficient to fund our foreseeable business needs and our contractual obligations.</w:t>
      </w:r>
    </w:p>
    <w:p>
      <w:pPr>
        <w:spacing w:after="0" w:line="12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October 31, 2021, our cash and cash equivalents, short-term investments (available for sale), and short-term and long-term investments (held-to-maturity) (collectively “cash and investments”) totaled $36.6 million compared with $46.9 million as of May 2, 2021.</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our cash and investments from the end of fiscal 2021 was mostly due to (i) $3.9 million of capital expenditures primarily related to our mattress fabrics segment, our innovation campus located in downtown High Point, NC, and equipment associated with information technology, (ii) cash payments totaling $2.7 million for regular quarterly dividend payments to shareholders, (iii) common stock repurchases totaling $1.8 million, and (iv) net cash used in operating activities totaling $1.3 million.</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net cash used in operating activities was $1.3 million during the first half of fiscal 2022, compared with net cash provided by operating activities of $22.7 million during the first half of fiscal 2021. This difference was mostly due to a net increase in cash generated by a significant surge in customer demand as a result of the focus-on-the-home trend that occurred as businesses began to re-open coming out of pandemic-related closures, which surge did not recur during the first half of fiscal 2022; (ii) a decrease in accounts payable related to our return to normal credit terms with our vendors, as opposed to the extended terms previously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9"/>
          <w:szCs w:val="19"/>
          <w:color w:val="auto"/>
        </w:rPr>
        <w:t>granted in response to the COVID-19 pandemic; (iii) an increase in inventory to support our customers by accommodating their need to slow order uptake due to their supply chain constraints for non-fabric components, as well as an increase in inventory purchases to strategically get ahead of anticipated increases in raw material costs and improve our in-stock position in anticipation of customer demand ahead of the upcoming Chinese New Year holiday; (iv) a decrease in accrued expenses primarily due to annual incentive bonus compensation paid during the first quarter of fiscal 2022; (v) $1.4 million in payments for the new building lease and start-up expenses associated our upholstery cut and sew operation located in Haiti; (vi) an increase in income tax payments mostly related to U.S. Alternative Minimum Tax credit refunds totaling $1.5 million received during fiscal 2021 that will not recur during fiscal 2022; partially offset by (vii) a decrease in accounts receivable related to our customers’ return to normal credit terms, rather than the extended terms previously granted in response to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2021, there were no outstanding borrowings under our lines of credit.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income taxes we pay also affects our liquidity. See the section titled “Income Taxes Paid” of this Item 2 - MANAGEMENT’S DISCUSSION AND ANALYSIS OF FINANCIAL CONDITION section for further details.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cash and cash equivalents and short-term investments (available for sale) balance may be adversely affected by factors beyond our control, such as the continuing uncertainty of the COVID-19 global pandemic, lower net sales due to consumer demand, and delays in receipt of payment on accounts receivable. Looking ahead, we expect our cash liquidity to be affected by strategic investments in working capital, planned capital expenditures, and investments in our operations located in Haiti, with a significant portion of this spending occurring during the second half of fiscal 2022.</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By Geographic Area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our cash and investments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3"/>
              </w:rPr>
              <w:t>October 31, 2021</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November 1, 2020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3"/>
              </w:rPr>
              <w:t>May 2, 2021</w:t>
            </w:r>
          </w:p>
        </w:tc>
      </w:tr>
      <w:tr>
        <w:trPr>
          <w:trHeight w:val="212"/>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25,906</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49,288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34,465</w:t>
            </w: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China</w:t>
            </w:r>
          </w:p>
        </w:tc>
        <w:tc>
          <w:tcPr>
            <w:tcW w:w="26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9,101</w:t>
            </w:r>
          </w:p>
        </w:tc>
        <w:tc>
          <w:tcPr>
            <w:tcW w:w="26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5,778</w:t>
            </w:r>
          </w:p>
        </w:tc>
        <w:tc>
          <w:tcPr>
            <w:tcW w:w="2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10,635</w:t>
            </w: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26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967</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1,439</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1,525</w:t>
            </w: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Haiti</w:t>
            </w:r>
          </w:p>
        </w:tc>
        <w:tc>
          <w:tcPr>
            <w:tcW w:w="26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598</w:t>
            </w:r>
          </w:p>
        </w:tc>
        <w:tc>
          <w:tcPr>
            <w:tcW w:w="26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220</w:t>
            </w:r>
          </w:p>
        </w:tc>
      </w:tr>
      <w:tr>
        <w:trPr>
          <w:trHeight w:val="216"/>
        </w:trPr>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Cayman Islands</w:t>
            </w:r>
          </w:p>
        </w:tc>
        <w:tc>
          <w:tcPr>
            <w:tcW w:w="26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w:t>
            </w:r>
          </w:p>
        </w:tc>
      </w:tr>
      <w:tr>
        <w:trPr>
          <w:trHeight w:val="210"/>
        </w:trPr>
        <w:tc>
          <w:tcPr>
            <w:tcW w:w="39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36,582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56,514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46,853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Repurchase Program</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half of fiscal 2022, we repurchased 121,688 shares of our common stock at a cost of $1.8 million. As a result, as of October 31, 2021, we had $3.2 million available for additional repurchases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During the first half of fiscal 2021, we did not repurchase any shares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 Program</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December 1, 2021, our board of directors approved a quarterly cash dividend of $0.115 per share. This payment will be made on January 19, 2022, to shareholders of record as of January 11, 2022.</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first half of fiscal 2022, dividend payments totaled $2.7 million, which represented quarterly dividend payments of $0.11 per share. During the first half of fiscal 2021, dividend payments totaled $2.6 million, which represented quarterly dividend payments of $0.105 per share.</w:t>
      </w:r>
    </w:p>
    <w:p>
      <w:pPr>
        <w:spacing w:after="0" w:line="14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auto"/>
        </w:rPr>
        <w:t>Working Capital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Working Capital</w:t>
      </w:r>
    </w:p>
    <w:p>
      <w:pPr>
        <w:spacing w:after="0" w:line="169"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Operating working capital (accounts receivable and inventories, less accounts payable-trade, accounts payable-capital expenditures, and deferred revenue) was $54.7 million as of October 31, 2021, compared with $42.0 million as of November 1, 2020, and $50.2 million as of May 2, 2021. Operating working capital turnover was 6.5 during the second quarter of fiscal 2022, compared with 5.3 during the second quarter of fiscal 2021 and 6.4 during the fourth quarter of fiscal 2021.</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Receivable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Accounts receivable were $32.3 million as of October 31, 2021, a decrease of $644,000, or 2.0%, compared with $33.0 million as of November 1, 2020. This decrease reflects the 3.0% decrease in net sales during the second quarter of fiscal 2022 compared with the second quarter of fiscal 2021.</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Accounts receivable as of October 31, 2021, decreased $5.4 million, or 14.3%, compared with $37.7 million as of May 2, 2021. This decrease reflects improved cash collections during the second quarter of fiscal 2022 compared with the fourth quarter of fiscal 2021, as customers returned to making payments based on normal credit terms, as opposed to extended terms previously granted in response to the COVID-19 pandemic. In addition, this decrease reflects the decrease in net sales during the second quarter of fiscal 2022 as compared with the fourth quarter of fiscal 2021. Net sales of $74.6 million during the second quarter of fiscal 2022 decreased by $4.5 million, or 5.7%, as compared with net sales of $79.1 million during the fourth quarter of fiscal 2021.</w:t>
      </w:r>
    </w:p>
    <w:p>
      <w:pPr>
        <w:spacing w:after="0" w:line="13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Days’ sales outstanding was 39 days for the second quarter of fiscal 2022, compared with 39 days for the second quarter of fiscal 2021 and 43 days for the fourth quarter of fiscal 2021.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Inventory was $63.8 million as of October 31, 2021 an increase of $16.1 million, or 33.6%, compared $47.7 million as of November 1, 2020. Inventory was $63.8 million as of October 31, 2021 an increase of $7.9 million, or 14.1%, compared $55.9 million as of November 1, 2020. The increases in inventory reflect an increase in inventory purchases to (i) support our customers and accommodate their need to slow order uptake due to their supply chain constraints for non-fabric components, (ii) strategically get ahead of anticipated increases in raw material costs, and (iii) strategically improve our in-stock position in anticipation of customer demand ahead of the upcoming Chinese New Year holiday.</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4.2 for the second quarter of fiscal 2022, compared with 5.6 for the second quarter of fiscal 2021 and 4.8 for the fourth quarter of fiscal 2021.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Accounts payable- trade was $40.5 million as of October 31, 2021, an increase of $2.3 million, or 6.0%, compared with $38.2 million as of November 1, 2020. The increase in accounts payable-trade reflects the increase in inventory purchases noted above that were partially offset by a decrease related to our return to normal credit terms with our vendors as opposed to the extended terms previously granted in response to the COVID-19 pandemic</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Accounts payable- trade was $40.5 million as of October 31, 2021, a decrease of $2.0 million, or 4.7%, compared with $42.5 million as of May 2, 2021. The decrease reflects the return to normal credit terms with our vendors as opposed to the extended terms previously granted in response to the COVID-19 pandemic, as well as the decrease in net sales during the second quarter of fiscal 2022 compared with the fourth quarter of fiscal 2021. Net sales of $74.6 million during the second quarter of fiscal 2022 decreased by $4.5 million, or 5.7%, as compared to net sales of $79.1 million during the fourth quarter of fiscal 2021. These decreases were partially offset by the increased inventory purchases noted above.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Financing Arrangements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2021, we did not have any outstanding borrowings associated with our revolving credit agreements.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4" w:name="page45"/>
    <w:bookmarkEnd w:id="44"/>
    <w:p>
      <w:pPr>
        <w:jc w:val="both"/>
        <w:ind w:right="20"/>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October 31, 2021, we complied with these financial covenants.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color w:val="auto"/>
        </w:rPr>
        <w:t>Refer to Note 9 of the consolidated financial statements for further details of our revolving credit agreements.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Expenditures and Depreciation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Capital expenditures on a cash basis were $3.9 million during the first half of fiscal 2022, compared with $2.0 million for the same period a year ago. Capital expenditures mostly related to our mattress fabrics segment and our innovation campus located in downtown High Point, NC.</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Depreciation expense was $3.5 million during both the first half of fiscal 2022 and the first half of fiscal 2021. Depreciation expense mostly related to our mattress fabrics segment for both periods.</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fiscal 2022, we are projecting cash capital expenditures to be in the range of $10.3 million to $10.7 million. The estimated capital expenditures primarily relate to the mattress fabrics segment. For fiscal 2022, we are projecting depreciation expense to be approximately $7.0 million, also primarily related to the mattress fabrics segment. These are management’s current expectations only, and changes in our business and the unknown duration and financial impact of the COVID-19 global pandemic could cause changes in plans for capital expenditures and expectations related to depreciation expense. Funding for capital expenditures is expected to be from cash provided by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October 31, 2021, we had total amounts due regarding capital expenditures totaling $176,000 that pertained to outstanding vendor invoices, none of which were financed. The total amount outstanding of $176,000 is required to be paid based on normal credit terms.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8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October 31, 2021, we had open purchase commitments for the acquisition of equipment for our mattress fabrics segment totaling $810,000.</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Recent Accounting Developments</w:t>
      </w:r>
    </w:p>
    <w:p>
      <w:pPr>
        <w:spacing w:after="0" w:line="18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October 31, 2021, there were no changes in our significant accounting policies or the application of those policies from those reported in our annual report on Form 10-K for the year ended May 2, 2021.</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2 of the consolidated financial statements for recently adopted and issued accounting pronouncements since the filing of our Form 10-K for the year ended May 2, 2021.</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18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were no significant or new contractual obligations from those reported in our annual report on Form 10-K for the year ended May 2, 2021.</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8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5" w:name="page46"/>
    <w:bookmarkEnd w:id="45"/>
    <w:p>
      <w:pPr>
        <w:spacing w:after="0"/>
        <w:tabs>
          <w:tab w:leader="none" w:pos="1320" w:val="left"/>
        </w:tabs>
        <w:rPr>
          <w:sz w:val="20"/>
          <w:szCs w:val="20"/>
          <w:color w:val="auto"/>
        </w:rPr>
      </w:pPr>
      <w:r>
        <w:rPr>
          <w:rFonts w:ascii="Arial" w:cs="Arial" w:eastAsia="Arial" w:hAnsi="Arial"/>
          <w:sz w:val="20"/>
          <w:szCs w:val="20"/>
          <w:u w:val="single" w:color="auto"/>
          <w:color w:val="auto"/>
        </w:rPr>
        <w:t>ITEM 3.</w:t>
      </w:r>
      <w:r>
        <w:rPr>
          <w:sz w:val="20"/>
          <w:szCs w:val="20"/>
          <w:color w:val="auto"/>
        </w:rPr>
        <w:tab/>
      </w:r>
      <w:r>
        <w:rPr>
          <w:rFonts w:ascii="Arial" w:cs="Arial" w:eastAsia="Arial" w:hAnsi="Arial"/>
          <w:sz w:val="19"/>
          <w:szCs w:val="19"/>
          <w:u w:val="single" w:color="auto"/>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U.S. revolving credit agreement requires interest to be charged at a rate (applicable interest rate of 1.74% as of October 31, 2021) calculated using a variable spread over LIBOR based on the company’s ratio of debt to EBITDA as defined in the U.S. revolving credit agreement. As of October 31, 2021, there were no outstanding borrowings under our U.S. revolving credit agreement. Our revolving credit lines associated with our operations located in China bear interest at a rate determined by the Chinese government at the time of borrowing. As of October 31, 2021, there were no outstanding borrowings under our revolving credit agreements associated with our operations located in China.</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exposed to market risk from changes in the value of foreign currencies for our subsidiaries domiciled in Canada and China. We try to maintain a natural hedge by keeping a balance of our assets and liabilities denominated in the local currencies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October 31, 2021, would not have materially affected our results of operations or financial position.</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u w:val="single" w:color="auto"/>
          <w:color w:val="auto"/>
        </w:rPr>
        <w:t>ITEM 4.</w:t>
      </w:r>
      <w:r>
        <w:rPr>
          <w:sz w:val="20"/>
          <w:szCs w:val="20"/>
          <w:color w:val="auto"/>
        </w:rPr>
        <w:tab/>
      </w:r>
      <w:r>
        <w:rPr>
          <w:rFonts w:ascii="Arial" w:cs="Arial" w:eastAsia="Arial" w:hAnsi="Arial"/>
          <w:sz w:val="18"/>
          <w:szCs w:val="18"/>
          <w:u w:val="single" w:color="auto"/>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of October 31, 2021,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quarter ended October 31, 2021,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u w:val="single" w:color="auto"/>
          <w:color w:val="auto"/>
        </w:rPr>
        <w:t>Part II – Other Information</w:t>
      </w:r>
    </w:p>
    <w:p>
      <w:pPr>
        <w:spacing w:after="0" w:line="181"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legal proceedings during the three months ended October 31, 2021. Our legal proceedings are disclosed in the company’s annual report on Form 10-K filed with the Securities and Exchange Commission on July 16, 2021, for the fiscal year ended May 2, 2021.</w:t>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risk factors during the three months ended October 31, 2021. Our risk factors are disclosed in Item 1A “Risk Factors” of the company’s annual report on Form 10-K filed with the Securities and Exchange Commission on July 16, 2021, for the fiscal year ended May 2, 2021.</w:t>
      </w:r>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6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5640" w:type="dxa"/>
            <w:vAlign w:val="bottom"/>
            <w:tcBorders>
              <w:top w:val="single" w:sz="8" w:color="auto"/>
              <w:left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w:t>
            </w: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right="159"/>
              <w:spacing w:after="0"/>
              <w:rPr>
                <w:sz w:val="20"/>
                <w:szCs w:val="20"/>
                <w:color w:val="auto"/>
              </w:rPr>
            </w:pPr>
            <w:r>
              <w:rPr>
                <w:rFonts w:ascii="Arial" w:cs="Arial" w:eastAsia="Arial" w:hAnsi="Arial"/>
                <w:sz w:val="16"/>
                <w:szCs w:val="16"/>
                <w:color w:val="auto"/>
              </w:rPr>
              <w:t>(d)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Total Number of</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color w:val="auto"/>
                <w:w w:val="95"/>
              </w:rPr>
              <w:t>Approximate</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(a)</w:t>
            </w:r>
          </w:p>
        </w:tc>
        <w:tc>
          <w:tcPr>
            <w:tcW w:w="2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Shares Purchased</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color w:val="auto"/>
                <w:w w:val="95"/>
              </w:rPr>
              <w:t>Dollar Value of</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Total</w:t>
            </w: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19"/>
              <w:spacing w:after="0"/>
              <w:rPr>
                <w:sz w:val="20"/>
                <w:szCs w:val="20"/>
                <w:color w:val="auto"/>
              </w:rPr>
            </w:pPr>
            <w:r>
              <w:rPr>
                <w:rFonts w:ascii="Arial" w:cs="Arial" w:eastAsia="Arial" w:hAnsi="Arial"/>
                <w:sz w:val="16"/>
                <w:szCs w:val="16"/>
                <w:color w:val="auto"/>
              </w:rPr>
              <w:t>(b)</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as Part of</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0"/>
              </w:rPr>
              <w:t>Shares that May</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Number</w:t>
            </w: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39"/>
              <w:spacing w:after="0"/>
              <w:rPr>
                <w:sz w:val="20"/>
                <w:szCs w:val="20"/>
                <w:color w:val="auto"/>
              </w:rPr>
            </w:pPr>
            <w:r>
              <w:rPr>
                <w:rFonts w:ascii="Arial" w:cs="Arial" w:eastAsia="Arial" w:hAnsi="Arial"/>
                <w:sz w:val="16"/>
                <w:szCs w:val="16"/>
                <w:color w:val="auto"/>
                <w:w w:val="90"/>
              </w:rPr>
              <w:t>Average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Publicly</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8"/>
              </w:rPr>
              <w:t>Yet Be Purchased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of Shares</w:t>
            </w: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39"/>
              <w:spacing w:after="0"/>
              <w:rPr>
                <w:sz w:val="20"/>
                <w:szCs w:val="20"/>
                <w:color w:val="auto"/>
              </w:rPr>
            </w:pPr>
            <w:r>
              <w:rPr>
                <w:rFonts w:ascii="Arial" w:cs="Arial" w:eastAsia="Arial" w:hAnsi="Arial"/>
                <w:sz w:val="16"/>
                <w:szCs w:val="16"/>
                <w:color w:val="auto"/>
                <w:w w:val="90"/>
              </w:rPr>
              <w:t>Price Paid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Announced Plans</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1"/>
              </w:rPr>
              <w:t>Under the Plans or</w:t>
            </w:r>
          </w:p>
        </w:tc>
      </w:tr>
      <w:tr>
        <w:trPr>
          <w:trHeight w:val="219"/>
        </w:trPr>
        <w:tc>
          <w:tcPr>
            <w:tcW w:w="5640" w:type="dxa"/>
            <w:vAlign w:val="bottom"/>
            <w:tcBorders>
              <w:left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6"/>
                <w:szCs w:val="16"/>
                <w:color w:val="auto"/>
              </w:rPr>
              <w:t>Period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Purchased</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ind w:right="239"/>
              <w:spacing w:after="0"/>
              <w:rPr>
                <w:sz w:val="20"/>
                <w:szCs w:val="20"/>
                <w:color w:val="auto"/>
              </w:rPr>
            </w:pPr>
            <w:r>
              <w:rPr>
                <w:rFonts w:ascii="Arial" w:cs="Arial" w:eastAsia="Arial" w:hAnsi="Arial"/>
                <w:sz w:val="16"/>
                <w:szCs w:val="16"/>
                <w:color w:val="auto"/>
                <w:w w:val="88"/>
              </w:rPr>
              <w:t>per 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or Programs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6"/>
                <w:szCs w:val="16"/>
                <w:color w:val="auto"/>
                <w:w w:val="89"/>
              </w:rPr>
              <w:t>Programs (1)</w:t>
            </w:r>
          </w:p>
        </w:tc>
      </w:tr>
      <w:tr>
        <w:trPr>
          <w:trHeight w:val="209"/>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August 2, 2021 to September 5, 2021</w:t>
            </w:r>
          </w:p>
        </w:tc>
        <w:tc>
          <w:tcPr>
            <w:tcW w:w="13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62,908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14.15</w:t>
            </w:r>
          </w:p>
        </w:tc>
        <w:tc>
          <w:tcPr>
            <w:tcW w:w="13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62,908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3,386,299</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September 6, 2021 to October 3, 2021</w:t>
            </w: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10,094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13.69</w:t>
            </w: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10,094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3,248,094</w:t>
            </w:r>
          </w:p>
        </w:tc>
      </w:tr>
      <w:tr>
        <w:trPr>
          <w:trHeight w:val="210"/>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October 4, 2021 to October 31, 2021</w:t>
            </w:r>
          </w:p>
        </w:tc>
        <w:tc>
          <w:tcPr>
            <w:tcW w:w="13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3,248,094</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73,002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14.09</w:t>
            </w: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73,002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3,248,094</w:t>
            </w:r>
          </w:p>
        </w:tc>
      </w:tr>
    </w:tbl>
    <w:p>
      <w:pPr>
        <w:spacing w:after="0" w:line="20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March 2020, our board of directors approved an authorization for us to acquire up to $5.0 million of our common stock.</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tabs>
          <w:tab w:leader="none" w:pos="1200" w:val="left"/>
        </w:tabs>
        <w:rPr>
          <w:sz w:val="20"/>
          <w:szCs w:val="20"/>
          <w:color w:val="auto"/>
        </w:rPr>
      </w:pPr>
      <w:r>
        <w:rPr>
          <w:rFonts w:ascii="Arial" w:cs="Arial" w:eastAsia="Arial" w:hAnsi="Arial"/>
          <w:sz w:val="20"/>
          <w:szCs w:val="20"/>
          <w:u w:val="single" w:color="auto"/>
          <w:color w:val="auto"/>
        </w:rPr>
        <w:t>Item 6.</w:t>
      </w:r>
      <w:r>
        <w:rPr>
          <w:sz w:val="20"/>
          <w:szCs w:val="20"/>
          <w:color w:val="auto"/>
        </w:rPr>
        <w:tab/>
      </w:r>
      <w:r>
        <w:rPr>
          <w:rFonts w:ascii="Arial" w:cs="Arial" w:eastAsia="Arial" w:hAnsi="Arial"/>
          <w:sz w:val="18"/>
          <w:szCs w:val="18"/>
          <w:u w:val="single" w:color="auto"/>
          <w:color w:val="auto"/>
        </w:rPr>
        <w:t>Exhibits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exhibits are submitted as part of this report.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ind w:left="80"/>
              <w:spacing w:after="0"/>
              <w:rPr>
                <w:sz w:val="20"/>
                <w:szCs w:val="20"/>
                <w:color w:val="auto"/>
              </w:rPr>
            </w:pPr>
            <w:r>
              <w:rPr>
                <w:rFonts w:ascii="Arial" w:cs="Arial" w:eastAsia="Arial" w:hAnsi="Arial"/>
                <w:sz w:val="16"/>
                <w:szCs w:val="16"/>
                <w:color w:val="auto"/>
              </w:rPr>
              <w:t>31.1</w:t>
            </w:r>
          </w:p>
        </w:tc>
        <w:tc>
          <w:tcPr>
            <w:tcW w:w="5100" w:type="dxa"/>
            <w:vAlign w:val="bottom"/>
            <w:tcBorders>
              <w:bottom w:val="single" w:sz="8" w:color="0000EE"/>
            </w:tcBorders>
            <w:gridSpan w:val="4"/>
          </w:tcPr>
          <w:p>
            <w:pPr>
              <w:spacing w:after="0"/>
              <w:rPr>
                <w:rFonts w:ascii="Arial" w:cs="Arial" w:eastAsia="Arial" w:hAnsi="Arial"/>
                <w:sz w:val="16"/>
                <w:szCs w:val="16"/>
                <w:color w:val="0000EE"/>
                <w:w w:val="93"/>
              </w:rPr>
            </w:pPr>
            <w:hyperlink w:anchor="page50">
              <w:r>
                <w:rPr>
                  <w:rFonts w:ascii="Arial" w:cs="Arial" w:eastAsia="Arial" w:hAnsi="Arial"/>
                  <w:sz w:val="16"/>
                  <w:szCs w:val="16"/>
                  <w:color w:val="0000EE"/>
                  <w:w w:val="93"/>
                </w:rPr>
                <w:t>Certification of Chief Executive Officer Pursuant to Rule 13a-14(a)/15d-14(a).</w:t>
              </w:r>
            </w:hyperlink>
          </w:p>
        </w:tc>
        <w:tc>
          <w:tcPr>
            <w:tcW w:w="3800" w:type="dxa"/>
            <w:vAlign w:val="bottom"/>
          </w:tcPr>
          <w:p>
            <w:pPr>
              <w:spacing w:after="0"/>
              <w:rPr>
                <w:sz w:val="16"/>
                <w:szCs w:val="16"/>
                <w:color w:val="auto"/>
              </w:rPr>
            </w:pPr>
          </w:p>
        </w:tc>
      </w:tr>
      <w:tr>
        <w:trPr>
          <w:trHeight w:val="263"/>
        </w:trPr>
        <w:tc>
          <w:tcPr>
            <w:tcW w:w="800" w:type="dxa"/>
            <w:vAlign w:val="bottom"/>
          </w:tcPr>
          <w:p>
            <w:pPr>
              <w:ind w:left="80"/>
              <w:spacing w:after="0"/>
              <w:rPr>
                <w:sz w:val="20"/>
                <w:szCs w:val="20"/>
                <w:color w:val="auto"/>
              </w:rPr>
            </w:pPr>
            <w:r>
              <w:rPr>
                <w:rFonts w:ascii="Arial" w:cs="Arial" w:eastAsia="Arial" w:hAnsi="Arial"/>
                <w:sz w:val="16"/>
                <w:szCs w:val="16"/>
                <w:color w:val="auto"/>
              </w:rPr>
              <w:t>31.2</w:t>
            </w:r>
          </w:p>
        </w:tc>
        <w:tc>
          <w:tcPr>
            <w:tcW w:w="8900" w:type="dxa"/>
            <w:vAlign w:val="bottom"/>
            <w:gridSpan w:val="5"/>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Certification of Chief Financial Officer Pursuant to Rule 13a-14(a)/15d-14(a).</w:t>
              </w:r>
            </w:hyperlink>
          </w:p>
        </w:tc>
      </w:tr>
      <w:tr>
        <w:trPr>
          <w:trHeight w:val="264"/>
        </w:trPr>
        <w:tc>
          <w:tcPr>
            <w:tcW w:w="800" w:type="dxa"/>
            <w:vAlign w:val="bottom"/>
          </w:tcPr>
          <w:p>
            <w:pPr>
              <w:ind w:left="80"/>
              <w:spacing w:after="0"/>
              <w:rPr>
                <w:sz w:val="20"/>
                <w:szCs w:val="20"/>
                <w:color w:val="auto"/>
              </w:rPr>
            </w:pPr>
            <w:r>
              <w:rPr>
                <w:rFonts w:ascii="Arial" w:cs="Arial" w:eastAsia="Arial" w:hAnsi="Arial"/>
                <w:sz w:val="16"/>
                <w:szCs w:val="16"/>
                <w:color w:val="auto"/>
              </w:rPr>
              <w:t>32.1</w:t>
            </w:r>
          </w:p>
        </w:tc>
        <w:tc>
          <w:tcPr>
            <w:tcW w:w="5040" w:type="dxa"/>
            <w:vAlign w:val="bottom"/>
            <w:tcBorders>
              <w:top w:val="single" w:sz="8" w:color="0000EE"/>
            </w:tcBorders>
            <w:gridSpan w:val="3"/>
          </w:tcPr>
          <w:p>
            <w:pPr>
              <w:spacing w:after="0"/>
              <w:rPr>
                <w:rFonts w:ascii="Arial" w:cs="Arial" w:eastAsia="Arial" w:hAnsi="Arial"/>
                <w:sz w:val="16"/>
                <w:szCs w:val="16"/>
                <w:color w:val="0000EE"/>
                <w:w w:val="94"/>
              </w:rPr>
            </w:pPr>
            <w:hyperlink w:anchor="page52">
              <w:r>
                <w:rPr>
                  <w:rFonts w:ascii="Arial" w:cs="Arial" w:eastAsia="Arial" w:hAnsi="Arial"/>
                  <w:sz w:val="16"/>
                  <w:szCs w:val="16"/>
                  <w:color w:val="0000EE"/>
                  <w:w w:val="94"/>
                </w:rPr>
                <w:t>Certification of Chief Executive Officer Pursuant to 18 U.S.C. Section 1350.</w:t>
              </w:r>
            </w:hyperlink>
          </w:p>
        </w:tc>
        <w:tc>
          <w:tcPr>
            <w:tcW w:w="3860" w:type="dxa"/>
            <w:vAlign w:val="bottom"/>
            <w:gridSpan w:val="2"/>
          </w:tcPr>
          <w:p>
            <w:pPr>
              <w:spacing w:after="0"/>
              <w:rPr>
                <w:sz w:val="22"/>
                <w:szCs w:val="22"/>
                <w:color w:val="auto"/>
              </w:rPr>
            </w:pPr>
          </w:p>
        </w:tc>
      </w:tr>
      <w:tr>
        <w:trPr>
          <w:trHeight w:val="263"/>
        </w:trPr>
        <w:tc>
          <w:tcPr>
            <w:tcW w:w="800" w:type="dxa"/>
            <w:vAlign w:val="bottom"/>
          </w:tcPr>
          <w:p>
            <w:pPr>
              <w:ind w:left="80"/>
              <w:spacing w:after="0"/>
              <w:rPr>
                <w:sz w:val="20"/>
                <w:szCs w:val="20"/>
                <w:color w:val="auto"/>
              </w:rPr>
            </w:pPr>
            <w:r>
              <w:rPr>
                <w:rFonts w:ascii="Arial" w:cs="Arial" w:eastAsia="Arial" w:hAnsi="Arial"/>
                <w:sz w:val="16"/>
                <w:szCs w:val="16"/>
                <w:color w:val="auto"/>
              </w:rPr>
              <w:t>32.2</w:t>
            </w:r>
          </w:p>
        </w:tc>
        <w:tc>
          <w:tcPr>
            <w:tcW w:w="4920" w:type="dxa"/>
            <w:vAlign w:val="bottom"/>
            <w:tcBorders>
              <w:top w:val="single" w:sz="8" w:color="0000EE"/>
              <w:bottom w:val="single" w:sz="8" w:color="0000EE"/>
            </w:tcBorders>
          </w:tcPr>
          <w:p>
            <w:pPr>
              <w:spacing w:after="0"/>
              <w:rPr>
                <w:rFonts w:ascii="Arial" w:cs="Arial" w:eastAsia="Arial" w:hAnsi="Arial"/>
                <w:sz w:val="16"/>
                <w:szCs w:val="16"/>
                <w:color w:val="0000EE"/>
                <w:w w:val="93"/>
              </w:rPr>
            </w:pPr>
            <w:hyperlink w:anchor="page53">
              <w:r>
                <w:rPr>
                  <w:rFonts w:ascii="Arial" w:cs="Arial" w:eastAsia="Arial" w:hAnsi="Arial"/>
                  <w:sz w:val="16"/>
                  <w:szCs w:val="16"/>
                  <w:color w:val="0000EE"/>
                  <w:w w:val="93"/>
                </w:rPr>
                <w:t>Certification of Chief Financial Officer Pursuant to 18 U.S.C. Section 1350.</w:t>
              </w:r>
            </w:hyperlink>
          </w:p>
        </w:tc>
        <w:tc>
          <w:tcPr>
            <w:tcW w:w="40" w:type="dxa"/>
            <w:vAlign w:val="bottom"/>
            <w:tcBorders>
              <w:top w:val="single" w:sz="8" w:color="0000EE"/>
            </w:tcBorders>
          </w:tcPr>
          <w:p>
            <w:pPr>
              <w:spacing w:after="0"/>
              <w:rPr>
                <w:sz w:val="22"/>
                <w:szCs w:val="22"/>
                <w:color w:val="auto"/>
              </w:rPr>
            </w:pPr>
          </w:p>
        </w:tc>
        <w:tc>
          <w:tcPr>
            <w:tcW w:w="3940" w:type="dxa"/>
            <w:vAlign w:val="bottom"/>
            <w:gridSpan w:val="3"/>
          </w:tcPr>
          <w:p>
            <w:pPr>
              <w:spacing w:after="0"/>
              <w:rPr>
                <w:sz w:val="22"/>
                <w:szCs w:val="22"/>
                <w:color w:val="auto"/>
              </w:rPr>
            </w:pPr>
          </w:p>
        </w:tc>
      </w:tr>
      <w:tr>
        <w:trPr>
          <w:trHeight w:val="298"/>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Instance Document</w:t>
            </w:r>
          </w:p>
        </w:tc>
      </w:tr>
      <w:tr>
        <w:trPr>
          <w:trHeight w:val="284"/>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8900" w:type="dxa"/>
            <w:vAlign w:val="bottom"/>
            <w:gridSpan w:val="5"/>
          </w:tcPr>
          <w:p>
            <w:pPr>
              <w:spacing w:after="0"/>
              <w:rPr>
                <w:sz w:val="20"/>
                <w:szCs w:val="20"/>
                <w:color w:val="auto"/>
              </w:rPr>
            </w:pPr>
            <w:r>
              <w:rPr>
                <w:rFonts w:ascii="Arial" w:cs="Arial" w:eastAsia="Arial" w:hAnsi="Arial"/>
                <w:sz w:val="16"/>
                <w:szCs w:val="16"/>
                <w:color w:val="auto"/>
                <w:w w:val="93"/>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2"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SIGNATURES</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CULP, INC.</w:t>
            </w:r>
          </w:p>
        </w:tc>
      </w:tr>
      <w:tr>
        <w:trPr>
          <w:trHeight w:val="210"/>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(Registrant)</w:t>
            </w:r>
          </w:p>
        </w:tc>
      </w:tr>
      <w:tr>
        <w:trPr>
          <w:trHeight w:val="408"/>
        </w:trPr>
        <w:tc>
          <w:tcPr>
            <w:tcW w:w="3660" w:type="dxa"/>
            <w:vAlign w:val="bottom"/>
          </w:tcPr>
          <w:p>
            <w:pPr>
              <w:spacing w:after="0"/>
              <w:rPr>
                <w:sz w:val="20"/>
                <w:szCs w:val="20"/>
                <w:color w:val="auto"/>
              </w:rPr>
            </w:pPr>
            <w:r>
              <w:rPr>
                <w:rFonts w:ascii="Arial" w:cs="Arial" w:eastAsia="Arial" w:hAnsi="Arial"/>
                <w:sz w:val="16"/>
                <w:szCs w:val="16"/>
                <w:color w:val="auto"/>
              </w:rPr>
              <w:t>Date: December 10, 2021</w:t>
            </w:r>
          </w:p>
        </w:tc>
        <w:tc>
          <w:tcPr>
            <w:tcW w:w="2540" w:type="dxa"/>
            <w:vAlign w:val="bottom"/>
          </w:tcPr>
          <w:p>
            <w:pPr>
              <w:ind w:left="198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Kenneth R. Bowling</w:t>
            </w:r>
          </w:p>
        </w:tc>
      </w:tr>
      <w:tr>
        <w:trPr>
          <w:trHeight w:val="189"/>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Kenneth R. Bowling</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Executive Vice President and Chief Financial Officer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5"/>
              </w:rPr>
              <w:t>(Authorized to sign on behalf of the registrant and also signing as principal</w:t>
            </w:r>
          </w:p>
        </w:tc>
      </w:tr>
      <w:tr>
        <w:trPr>
          <w:trHeight w:val="206"/>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financial officer)</w:t>
            </w:r>
          </w:p>
        </w:tc>
      </w:tr>
      <w:tr>
        <w:trPr>
          <w:trHeight w:val="610"/>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Thomas B. Gallagher, Jr.</w:t>
            </w:r>
          </w:p>
        </w:tc>
      </w:tr>
      <w:tr>
        <w:trPr>
          <w:trHeight w:val="189"/>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Thomas B. Gallagher, Jr.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Vice President of Finance</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5"/>
              </w:rPr>
              <w:t>(Authorized to sign on behalf of the registrant and also signing as principal</w:t>
            </w:r>
          </w:p>
        </w:tc>
      </w:tr>
      <w:tr>
        <w:trPr>
          <w:trHeight w:val="206"/>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accounting officer)</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II-3</w:t>
      </w:r>
    </w:p>
    <w:p>
      <w:pPr>
        <w:sectPr>
          <w:pgSz w:w="11900" w:h="16838" w:orient="portrait"/>
          <w:cols w:equalWidth="0" w:num="1">
            <w:col w:w="11240"/>
          </w:cols>
          <w:pgMar w:left="320" w:top="57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Robert G. Culp, IV, certify that:</w:t>
      </w:r>
    </w:p>
    <w:p>
      <w:pPr>
        <w:spacing w:after="0" w:line="189"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Kenneth R. Bowling, certify that:</w:t>
      </w:r>
    </w:p>
    <w:p>
      <w:pPr>
        <w:spacing w:after="0" w:line="189"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40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October 31, 2021, as filed with the Securities and Exchange Commission on the date hereof (the “Report”), I, Robert G. Culp, IV,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3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October 31, 2021, as filed with the Securities and Exchange Commission on the date hereof (the “Report”), I, Kenneth R. Bowling,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2021-12-10T08:26:09Z</dcterms:created>
  <dcterms:modified xsi:type="dcterms:W3CDTF">2021-12-10T08:26:09Z</dcterms:modified>
</cp:coreProperties>
</file>