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167005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Culp, Inc.</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North Carolina</w:t>
            </w:r>
          </w:p>
        </w:tc>
        <w:tc>
          <w:tcPr>
            <w:tcW w:w="304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1-12597</w:t>
            </w:r>
          </w:p>
        </w:tc>
        <w:tc>
          <w:tcPr>
            <w:tcW w:w="2700" w:type="dxa"/>
            <w:vAlign w:val="bottom"/>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56-1001967</w:t>
            </w:r>
          </w:p>
        </w:tc>
      </w:tr>
      <w:tr>
        <w:trPr>
          <w:trHeight w:val="14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040" w:type="dxa"/>
            <w:vAlign w:val="bottom"/>
          </w:tcPr>
          <w:p>
            <w:pPr>
              <w:jc w:val="center"/>
              <w:ind w:right="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700" w:type="dxa"/>
            <w:vAlign w:val="bottom"/>
          </w:tcPr>
          <w:p>
            <w:pPr>
              <w:jc w:val="center"/>
              <w:ind w:left="701"/>
              <w:spacing w:after="0"/>
              <w:rPr>
                <w:sz w:val="20"/>
                <w:szCs w:val="20"/>
                <w:color w:val="auto"/>
              </w:rPr>
            </w:pPr>
            <w:r>
              <w:rPr>
                <w:rFonts w:ascii="Times New Roman" w:cs="Times New Roman" w:eastAsia="Times New Roman" w:hAnsi="Times New Roman"/>
                <w:sz w:val="13"/>
                <w:szCs w:val="13"/>
                <w:b w:val="1"/>
                <w:bCs w:val="1"/>
                <w:color w:val="auto"/>
              </w:rPr>
              <w:t>(IRS EmployerIdentification No.)</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040" w:type="dxa"/>
            <w:vAlign w:val="bottom"/>
          </w:tcPr>
          <w:p>
            <w:pPr>
              <w:spacing w:after="0"/>
              <w:rPr>
                <w:sz w:val="15"/>
                <w:szCs w:val="15"/>
                <w:color w:val="auto"/>
              </w:rPr>
            </w:pPr>
          </w:p>
        </w:tc>
        <w:tc>
          <w:tcPr>
            <w:tcW w:w="2700" w:type="dxa"/>
            <w:vAlign w:val="bottom"/>
          </w:tcPr>
          <w:p>
            <w:pPr>
              <w:spacing w:after="0"/>
              <w:rPr>
                <w:sz w:val="15"/>
                <w:szCs w:val="15"/>
                <w:color w:val="auto"/>
              </w:rPr>
            </w:pP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410 W. English Rd 5th Floor</w:t>
            </w:r>
          </w:p>
        </w:tc>
        <w:tc>
          <w:tcPr>
            <w:tcW w:w="304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High Point, North Carolina</w:t>
            </w:r>
          </w:p>
        </w:tc>
        <w:tc>
          <w:tcPr>
            <w:tcW w:w="3040" w:type="dxa"/>
            <w:vAlign w:val="bottom"/>
          </w:tcPr>
          <w:p>
            <w:pPr>
              <w:spacing w:after="0"/>
              <w:rPr>
                <w:sz w:val="19"/>
                <w:szCs w:val="19"/>
                <w:color w:val="auto"/>
              </w:rPr>
            </w:pPr>
          </w:p>
        </w:tc>
        <w:tc>
          <w:tcPr>
            <w:tcW w:w="2700" w:type="dxa"/>
            <w:vAlign w:val="bottom"/>
          </w:tcPr>
          <w:p>
            <w:pPr>
              <w:jc w:val="right"/>
              <w:ind w:right="661"/>
              <w:spacing w:after="0"/>
              <w:rPr>
                <w:sz w:val="20"/>
                <w:szCs w:val="20"/>
                <w:color w:val="auto"/>
              </w:rPr>
            </w:pPr>
            <w:r>
              <w:rPr>
                <w:rFonts w:ascii="Times New Roman" w:cs="Times New Roman" w:eastAsia="Times New Roman" w:hAnsi="Times New Roman"/>
                <w:sz w:val="18"/>
                <w:szCs w:val="18"/>
                <w:b w:val="1"/>
                <w:bCs w:val="1"/>
                <w:color w:val="auto"/>
              </w:rPr>
              <w:t>27262</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040" w:type="dxa"/>
            <w:vAlign w:val="bottom"/>
          </w:tcPr>
          <w:p>
            <w:pPr>
              <w:spacing w:after="0"/>
              <w:rPr>
                <w:sz w:val="15"/>
                <w:szCs w:val="15"/>
                <w:color w:val="auto"/>
              </w:rPr>
            </w:pPr>
          </w:p>
        </w:tc>
        <w:tc>
          <w:tcPr>
            <w:tcW w:w="2700" w:type="dxa"/>
            <w:vAlign w:val="bottom"/>
          </w:tcPr>
          <w:p>
            <w:pPr>
              <w:jc w:val="center"/>
              <w:ind w:left="701"/>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336 889-5161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$0.05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CULP</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1174" w:right="479" w:bottom="1440" w:gutter="0" w:footer="0" w:header="0"/>
        </w:sectPr>
      </w:pPr>
    </w:p>
    <w:bookmarkStart w:id="2" w:name="page3"/>
    <w:bookmarkEnd w:id="2"/>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This report and the exhibits attached hereto contain “forward-looking statements” within the meaning of the federal securities laws, including the Private Securities Litigation Reform Act of 1995 (Section 27A of the Securities Act of 1933 and Section 21E of the Securities Exchange Act of 1934). Such statements are inherently subject to risks and uncertainties that may cause actual events and results to differ materially from such statements. Forward-looking statements are statements that include projections, expectations, or beliefs about future events or results or otherwise are not statements of historical fact. Such statements are often but not always characterized by qualifying words such as “expect,” “believe,” “will,” “may,” “should,” “could,” “potential,” “continue,” “target,” “predict”, “seek,” “anticipate,” “estimate,” “intend,” “plan,” “project,” and their derivatives, and include but are not limited to statements about expectations, projections, or trends for our future operations, strategic initiatives and plans, restructuring and integration actions, production levels, new product launches, sales, profit margins, profitability, operating (loss) income, capital expenditures, working capital levels, cost savings (including, without limitation, anticipated cost savings from restructuring and integration actions), income taxes, SG&amp;A or other expenses, pre-tax (loss) income, earnings, cash flow, and other performance or liquidity measures, as well as any statements regarding dividends, share repurchases, liquidity, use of cash and cash requirements, ending cash balances and cash positions, borrowing capacity, investments, potential acquisitions, cash and non-cash restructuring and restructuring-related charges, expenses, and/or credits, net proceeds from restructuring related asset dispositions, future economic or industry trends, public health epidemics, or other future developments. There can be no assurance that we will realize these expectations or meet our guidance, or that these beliefs will prove correct.</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Factors that could influence the matters discussed in such statements include the level of housing starts and sales of existing homes, demand for home furnishings products, consumer confidence, trends in disposable income, and general economic conditions. Decreases in these economic indicators could have a negative effect on our business and prospects. Likewise, increases in interest rates, particularly home mortgage rates, and increases in consumer debt or the general rate of inflation, could affect us adversely. Changes in consumer tastes or preferences toward products not produced by us could erode demand for our products. Changes in tariffs or trade policy, including changes in U.S. trade enforcement priorities, or changes in the value of the U.S. dollar versus other currencies, could affect our financial results because a significant portion of our operations are located outside the United States. Relatedly, litigation is ongoing as to whether businesses that paid tariffs that were invalidated by the U.S. Supreme Court in February 2026 may receive or retain refunds for those tariffs, and it may be uncertain as to whether the Company may retain any such refunds, which could be significant. Also, economic or political instability in international areas could affect our operations or sources of goods in those areas, as well as demand for our products in international markets. The future performance of our business depends in part on our success in conducting and finalizing acquisition negotiations and integrating acquired businesses into our existing operations. The impact of public health emergencies or epidemics on employees, customers, suppliers, and the global economy could also adversely affect our operations and financial performance. In addition, the impact of potential asset impairments, including impairments of property, plant, and equipment, inventory, or intangible assets, as well as the impact of valuation allowances applied against our net deferred income tax assets, could affect our financial results. Increases in freight costs, labor costs, and raw material prices, including increases in market prices for petrochemical products, can also significantly affect the prices we pay for shipping, labor, and raw materials, respectively, and in turn, increase our operating costs and decrease our profitability. Also, our success in diversifying our supply chain with reliable partners to effectively service our global platform could affect our operations and adversely affect our financial results. Finally, the future performance of our business also depends on our ability to successfully restructure our bedding operations, integrate our bedding and upholstery segments and realize the expected benefits of that integration effort, which may not meet our expectations. Further information about these factors, as well as other factors that could affect our future operations or financial results and the matters discussed in forward-looking statements, is included in Item 1A “Risk Factors” in our most recent Form 10-K and Form 10-Q reports filed with the Securities and Exchange Commission.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Many of these factors are macroeconomic in nature and are, therefore, beyond our control. Should one or more of these risks or uncertainties materialize, or should underlying assumptions prove incorrect, our actual results, performance or achievements may vary materially from those described in this release as anticipated, believed, estimated, expected, intended, planned or projected. The forward-looking statements included in this report are made only as of the date of this report. Unless required by United States federal securities laws, we neither intend nor assume any obligation to update these forward-looking statements for any reason after the date of this report to conform these statements to actual results or to changes in our expectations. A forward-looking statement is neither a prediction nor a guarantee of future events or circumstances, and those future events or circumstances may not occur. Additional risks and uncertainties that we do not presently know about or that we currently consider to be immaterial may also affect our business operations or financial results.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July 1, 2026, Culp, Inc. issued a news release to announce financial results for its fourth quarter and fiscal year ended May 3, 2026. A copy of the news release is attached hereto as Exhibit 99.1.</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set forth in this Item 2.02 of this Current Report, and in Exhibit 99.1, is intended to be “furnished” under Item 2.02 of Form 8-K. Such information shall not be deemed “filed” for the purposes of Section 18 of the Securities Exchange Act of 1934, as amended (the "Exchange Act"), nor shall it be deemed incorporated by reference in any filing under the Securities Act of 1933, as amended, except as shall be expressly set forth by specific reference in such filing.</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news release attached hereto as Exhibit 99.1 contains adjusted income statement information for the three- and 12-month periods ended May 3, 2026, and April 27, 2025, which discloses adjusted loss from operations, a non-U.S. GAAP performance measure that eliminates items which are not expected to occur on a recurring or regular basis. For the three- and 12-month periods ended May 3, 2026 and April 27, 2025, these items include, as applicable for the period presented, restructuring credits, restructuring-related charges, and restructuring expenses associated with the sale of our former mattress fabrics manufacturing facility in Quebec, Canada, segment integration initiatives including the transition of operations within our upholstery segment from leased locations to our owned facility in Stokesdale, North Carolina, and similar items. The company has included this adjusted information to show operational performance excluding the effects of items not expected to occur on a recurring or regular basis. Details of these calculations and a reconciliation to information from our U.S. GAAP financial statements are set forth in the news release. Management believes this presentation aids in the comparison of financial results among comparable financial periods. Management uses adjusted income statement information in evaluating the financial performance of our overall operations and business segments. Also, adjusted income statement information is used as a performance measure in our incentive-based executive compensation program. We note, however, that this adjusted income statement information should not be viewed in isolation or as a substitute for income (loss) from operations calculated in accordance with U.S. GAAP.</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news release contains disclosures about our net debt, which is a non-U.S. GAAP liquidity measure that we define as cash and cash equivalents (which we sometimes refer to as “cash”) plus investments that are available to fund operations minus the total amount of outstanding borrowings under our lines of credit or other debt instruments. Details of these calculations and a reconciliation to information from our U.S. GAAP financial statements are set forth in the news release. We believe this non-GAAP measure is useful to investors as it provides a way to compare our cash or debt position across periods on a consistent basis, regardless of the impact of financing activities. Also, net debt is used as a performance measure in our incentive-based executive compensation program. Net debt should not be viewed in isolation by investors and should not be used as a substitute for GAAP measures of liquidity.</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news release contains disclosures about adjusted free cash flow, a non-U.S. GAAP liquidity measure that we define as net cash (used in) provided by operating activities, less cash capital expenditures and any payments on vendor-financed capital expenditures, plus any proceeds from the sale of property, plant, and equipment, plus proceeds from note receivable, plus proceeds from the sale of investments associated with our rabbi trust, less the purchase of investments associated with our rabbi trust, and plus or minus the effects of foreign currency exchange rate changes on cash and cash equivalents, in each case to the extent any such amount is incurred during the period presented. Details of these calculations and a reconciliation to information from our U.S. GAAP financial statements are set forth in the news release. Management believes the disclosure of adjusted free cash flow provides useful information to investors because it measures our available cash flow for potential debt repayment, stock repurchases, dividends, additions to cash and investments, or other corporate purposes. We note, however, that not all of our adjusted free cash flow is available for discretionary spending, as we may have mandatory debt payments and other cash requirements that must be deducted from our cash available for future use. In operating our business, management uses adjusted free cash flow to make decisions about what commitments of cash to make for operations, such as capital expenditures (and possible financing arrangements for these expenditures), purchases of inventory or supplies, SG&amp;A expenditure levels, compensation, and other commitments of cash, while still allowing for adequate cash to meet known future commitments for cash, such as debt repayment, and also for making decisions about dividend payments and share repurchases.</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news release contains disclosures about our adjusted EBITDA, which is a non-U.S. GAAP performance measure that reflects net (loss) income excluding income tax expense (benefit), net interest income, and restructuring expense or credit and restructuring related charges or credits, as well as depreciation and amortization expense, and stock-based compensation expense. Beginning in the quarter ended November 2, 2025, we modified our presentation of adjusted EBITDA to also exclude non-cash foreign exchange impacts. We believe this change enhances investor insight into our operational performance by removing the non-cash impact of changes in foreign currency exchange rates. In order to facilitate comparisons among periods, we have applied this modified definition of adjusted EBITDA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4" w:name="page5"/>
    <w:bookmarkEnd w:id="4"/>
    <w:p>
      <w:pPr>
        <w:jc w:val="both"/>
        <w:spacing w:after="0" w:line="253" w:lineRule="auto"/>
        <w:rPr>
          <w:sz w:val="20"/>
          <w:szCs w:val="20"/>
          <w:color w:val="auto"/>
        </w:rPr>
      </w:pPr>
      <w:r>
        <w:rPr>
          <w:rFonts w:ascii="Times New Roman" w:cs="Times New Roman" w:eastAsia="Times New Roman" w:hAnsi="Times New Roman"/>
          <w:sz w:val="18"/>
          <w:szCs w:val="18"/>
          <w:color w:val="auto"/>
        </w:rPr>
        <w:t>to all periods presented in the news release. This measure also excludes other non-recurring charges and credits associated with our business, if and to the extent any such amount is incurred during the period presented. Details of these calculations and a reconciliation to information from our U.S. GAAP financial statements are set forth in the news release. We believe presentation of adjusted EBITDA is useful to investors because earnings before interest income and expense, income taxes, depreciation and amortization, and similar performance measures that exclude certain charges from earnings are often used by investors and financial analysts in evaluating and comparing companies in our industry. Also, adjusted EBITDA is used as a performance measure in our incentive-based executive compensation program. We note, however, that such measures are not defined uniformly by various companies, with differing expenses being excluded from net income to calculate these performance measures. For this reason, adjusted EBITDA should not be viewed in isolation by investors and should not be used as a substitute for net income (loss) calculated in accordance with GAAP, nor should it be used for direct comparisons with similarly titled performance measures reported by other companies. Use of adjusted EBITDA as an analytical tool has limitations in that this measure does not reflect all expenses that are necessary to fund and operate our business, including funds required to pay taxes, service our debt, and fund capital expenditures, among others. Management uses adjusted EBITDA to help it analyze earnings and operating performance by excluding the effects of expenses that depend upon capital structure and debt levels, tax provisions, and non-cash items such as depreciation, amortization and stock-based compensation expense that do not require immediate uses of cash.</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738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581"/>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40" w:type="dxa"/>
            <w:vAlign w:val="bottom"/>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ind w:left="2260"/>
              <w:spacing w:after="0"/>
              <w:rPr>
                <w:sz w:val="20"/>
                <w:szCs w:val="20"/>
                <w:color w:val="auto"/>
              </w:rPr>
            </w:pPr>
            <w:r>
              <w:rPr>
                <w:rFonts w:ascii="Times New Roman" w:cs="Times New Roman" w:eastAsia="Times New Roman" w:hAnsi="Times New Roman"/>
                <w:sz w:val="14"/>
                <w:szCs w:val="14"/>
                <w:b w:val="1"/>
                <w:bCs w:val="1"/>
                <w:color w:val="auto"/>
              </w:rPr>
              <w:t>Exhibit</w:t>
            </w:r>
          </w:p>
        </w:tc>
      </w:tr>
      <w:tr>
        <w:trPr>
          <w:trHeight w:val="29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News Release dated July 1, 2026</w:t>
            </w:r>
          </w:p>
        </w:tc>
      </w:tr>
      <w:tr>
        <w:trPr>
          <w:trHeight w:val="20"/>
        </w:trPr>
        <w:tc>
          <w:tcPr>
            <w:tcW w:w="13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580" w:right="3980" w:hanging="5572"/>
        <w:spacing w:after="0" w:line="783" w:lineRule="auto"/>
        <w:tabs>
          <w:tab w:leader="none" w:pos="1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Pursuant to the requirements of the Securities Exchange Act of 1934, the Registrant has duly caused this report to be signed on its behalf by the undersigned, hereunto duly authorized.</w:t>
      </w:r>
    </w:p>
    <w:p>
      <w:pPr>
        <w:spacing w:after="0" w:line="15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CULP, INC.</w:t>
      </w:r>
    </w:p>
    <w:p>
      <w:pPr>
        <w:spacing w:after="0" w:line="3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(Registrant)</w:t>
      </w:r>
    </w:p>
    <w:p>
      <w:pPr>
        <w:spacing w:after="0" w:line="203" w:lineRule="exact"/>
        <w:rPr>
          <w:sz w:val="20"/>
          <w:szCs w:val="20"/>
          <w:color w:val="auto"/>
        </w:rPr>
      </w:pPr>
    </w:p>
    <w:tbl>
      <w:tblPr>
        <w:tblLayout w:type="fixed"/>
        <w:tblInd w:w="566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By:</w:t>
            </w:r>
          </w:p>
        </w:tc>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 Kenneth R. Bowling</w:t>
            </w:r>
          </w:p>
        </w:tc>
      </w:tr>
      <w:tr>
        <w:trPr>
          <w:trHeight w:val="187"/>
        </w:trPr>
        <w:tc>
          <w:tcPr>
            <w:tcW w:w="380" w:type="dxa"/>
            <w:vAlign w:val="bottom"/>
          </w:tcPr>
          <w:p>
            <w:pPr>
              <w:spacing w:after="0"/>
              <w:rPr>
                <w:sz w:val="16"/>
                <w:szCs w:val="16"/>
                <w:color w:val="auto"/>
              </w:rPr>
            </w:pPr>
          </w:p>
        </w:tc>
        <w:tc>
          <w:tcPr>
            <w:tcW w:w="52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8"/>
        </w:trPr>
        <w:tc>
          <w:tcPr>
            <w:tcW w:w="38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financial officer)</w:t>
            </w: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Dated July 1, 2026</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3035935</wp:posOffset>
            </wp:positionH>
            <wp:positionV relativeFrom="paragraph">
              <wp:posOffset>412115</wp:posOffset>
            </wp:positionV>
            <wp:extent cx="942975" cy="916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42975" cy="91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CULP ANNOUNCES FOURTH QUARTER AND FULL YEAR FISCAL 2026 RESULTS</w:t>
      </w:r>
    </w:p>
    <w:p>
      <w:pPr>
        <w:spacing w:after="0" w:line="212" w:lineRule="exact"/>
        <w:rPr>
          <w:sz w:val="20"/>
          <w:szCs w:val="20"/>
          <w:color w:val="auto"/>
        </w:rPr>
      </w:pPr>
    </w:p>
    <w:p>
      <w:pPr>
        <w:jc w:val="center"/>
        <w:ind w:right="140"/>
        <w:spacing w:after="0" w:line="281" w:lineRule="auto"/>
        <w:rPr>
          <w:sz w:val="20"/>
          <w:szCs w:val="20"/>
          <w:color w:val="auto"/>
        </w:rPr>
      </w:pPr>
      <w:r>
        <w:rPr>
          <w:rFonts w:ascii="Arial" w:cs="Arial" w:eastAsia="Arial" w:hAnsi="Arial"/>
          <w:sz w:val="18"/>
          <w:szCs w:val="18"/>
          <w:b w:val="1"/>
          <w:bCs w:val="1"/>
          <w:color w:val="auto"/>
        </w:rPr>
        <w:t>Fourth Quarter Revenue and Margin Growth, Including Double-Digit Expansion in Bedding, Reflect Platform Optimization and Enhanced Market Position, Driving Momentum Entering Fiscal 2027</w:t>
      </w:r>
    </w:p>
    <w:p>
      <w:pPr>
        <w:spacing w:after="0" w:line="136" w:lineRule="exact"/>
        <w:rPr>
          <w:sz w:val="20"/>
          <w:szCs w:val="20"/>
          <w:color w:val="auto"/>
        </w:rPr>
      </w:pPr>
    </w:p>
    <w:p>
      <w:pPr>
        <w:jc w:val="both"/>
        <w:ind w:left="20" w:right="120"/>
        <w:spacing w:after="0" w:line="253" w:lineRule="auto"/>
        <w:rPr>
          <w:sz w:val="20"/>
          <w:szCs w:val="20"/>
          <w:color w:val="auto"/>
        </w:rPr>
      </w:pPr>
      <w:r>
        <w:rPr>
          <w:rFonts w:ascii="Arial" w:cs="Arial" w:eastAsia="Arial" w:hAnsi="Arial"/>
          <w:sz w:val="18"/>
          <w:szCs w:val="18"/>
          <w:color w:val="auto"/>
        </w:rPr>
        <w:t>HIGH POINT, N.C. (July 1, 2026) – Culp, Inc. (NASDAQ: CULP), a leading provider of fabrics for bedding and upholstery fabrics for residential, commercial, and hospitality furniture and other applications, today reported financial and operating results for its fourth quarter and fiscal year ended May 3, 2026.</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Fiscal 2026 Fourth Quarter Financial Highlights</w:t>
      </w:r>
    </w:p>
    <w:p>
      <w:pPr>
        <w:spacing w:after="0" w:line="198" w:lineRule="exact"/>
        <w:rPr>
          <w:sz w:val="20"/>
          <w:szCs w:val="20"/>
          <w:color w:val="auto"/>
        </w:rPr>
      </w:pPr>
    </w:p>
    <w:p>
      <w:pPr>
        <w:jc w:val="both"/>
        <w:ind w:left="180" w:right="120" w:hanging="152"/>
        <w:spacing w:after="0" w:line="253" w:lineRule="auto"/>
        <w:tabs>
          <w:tab w:leader="none" w:pos="133" w:val="left"/>
        </w:tabs>
        <w:numPr>
          <w:ilvl w:val="1"/>
          <w:numId w:val="3"/>
        </w:numPr>
        <w:rPr>
          <w:rFonts w:ascii="Arial" w:cs="Arial" w:eastAsia="Arial" w:hAnsi="Arial"/>
          <w:sz w:val="18"/>
          <w:szCs w:val="18"/>
          <w:color w:val="auto"/>
        </w:rPr>
      </w:pPr>
      <w:r>
        <w:rPr>
          <w:rFonts w:ascii="Arial" w:cs="Arial" w:eastAsia="Arial" w:hAnsi="Arial"/>
          <w:sz w:val="18"/>
          <w:szCs w:val="18"/>
          <w:color w:val="auto"/>
        </w:rPr>
        <w:t>Consolidated net sales of $51.6 million, up 7.6% from third quarter sales of $48.0 million and up approximately 6% from prior-year period sales of $48.8 million, with bedding segment sales up approximately 12% sequentially and 12.5% year-over-year and upholstery segment sales up 2.1% sequentially and down 2.5% year-over-year.</w:t>
      </w:r>
    </w:p>
    <w:p>
      <w:pPr>
        <w:spacing w:after="0" w:line="155" w:lineRule="exact"/>
        <w:rPr>
          <w:rFonts w:ascii="Arial" w:cs="Arial" w:eastAsia="Arial" w:hAnsi="Arial"/>
          <w:sz w:val="18"/>
          <w:szCs w:val="18"/>
          <w:color w:val="auto"/>
        </w:rPr>
      </w:pPr>
    </w:p>
    <w:p>
      <w:pPr>
        <w:jc w:val="both"/>
        <w:ind w:left="180" w:right="120" w:hanging="178"/>
        <w:spacing w:after="0" w:line="244" w:lineRule="auto"/>
        <w:tabs>
          <w:tab w:leader="none" w:pos="18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Consolidated gross profit of $6.8 million, or 13.2% of sales, up 210 basis points and almost 30% from third quarter gross profit of $5.3 million, or 11.1% of sales, and down from prior-year period gross profit of $7.7 million, or 15.7% of sales. The sequential improvement was primarily driven by higher sales and the enhanced efficiencies and cost actions associated with restructuring and integration initiatives, and the year-over-year decline was driven primarily by a $1.7 million benefit in the prior-year period stemming from a policy change in how aged inventory is valued and reserved (the “Policy Change”).</w:t>
      </w:r>
    </w:p>
    <w:p>
      <w:pPr>
        <w:spacing w:after="0" w:line="162" w:lineRule="exact"/>
        <w:rPr>
          <w:rFonts w:ascii="Arial" w:cs="Arial" w:eastAsia="Arial" w:hAnsi="Arial"/>
          <w:sz w:val="18"/>
          <w:szCs w:val="18"/>
          <w:color w:val="auto"/>
        </w:rPr>
      </w:pPr>
    </w:p>
    <w:p>
      <w:pPr>
        <w:ind w:left="280" w:right="140" w:hanging="276"/>
        <w:spacing w:after="0" w:line="271" w:lineRule="auto"/>
        <w:tabs>
          <w:tab w:leader="none" w:pos="196"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inventory of $47.5 million as of May 3, 2026, a favorable reduction of approximately $5 million, or almost 10%, from inventory at third-quarter end.</w:t>
      </w:r>
    </w:p>
    <w:p>
      <w:pPr>
        <w:spacing w:after="0" w:line="140" w:lineRule="exact"/>
        <w:rPr>
          <w:rFonts w:ascii="Arial" w:cs="Arial" w:eastAsia="Arial" w:hAnsi="Arial"/>
          <w:sz w:val="18"/>
          <w:szCs w:val="18"/>
          <w:color w:val="auto"/>
        </w:rPr>
      </w:pPr>
    </w:p>
    <w:p>
      <w:pPr>
        <w:ind w:left="180" w:right="140" w:hanging="178"/>
        <w:spacing w:after="0" w:line="245" w:lineRule="auto"/>
        <w:tabs>
          <w:tab w:leader="none" w:pos="167" w:val="left"/>
        </w:tabs>
        <w:numPr>
          <w:ilvl w:val="0"/>
          <w:numId w:val="3"/>
        </w:numPr>
        <w:rPr>
          <w:rFonts w:ascii="Arial" w:cs="Arial" w:eastAsia="Arial" w:hAnsi="Arial"/>
          <w:sz w:val="18"/>
          <w:szCs w:val="18"/>
          <w:color w:val="auto"/>
        </w:rPr>
      </w:pPr>
      <w:r>
        <w:rPr>
          <w:rFonts w:ascii="Arial" w:cs="Arial" w:eastAsia="Arial" w:hAnsi="Arial"/>
          <w:sz w:val="18"/>
          <w:szCs w:val="18"/>
          <w:color w:val="auto"/>
        </w:rPr>
        <w:t>GAAP consolidated loss from operations of $(1.6) million, compared with $(3.7) million in the third quarter and $(2.2) million in the prior-year period.</w:t>
      </w:r>
    </w:p>
    <w:p>
      <w:pPr>
        <w:ind w:left="560" w:right="120" w:hanging="371"/>
        <w:spacing w:after="0" w:line="249" w:lineRule="auto"/>
        <w:tabs>
          <w:tab w:leader="none" w:pos="560" w:val="left"/>
        </w:tabs>
        <w:numPr>
          <w:ilvl w:val="2"/>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Non-GAAP operating loss of $(1.5) million, a 52% improvement from $(3.1) million in the third quarter and a decline from $(704) thousand in the prior-year period (see reconciliation table on page 11), driven primarily by the Policy Change.</w:t>
      </w:r>
    </w:p>
    <w:p>
      <w:pPr>
        <w:spacing w:after="0" w:line="159" w:lineRule="exact"/>
        <w:rPr>
          <w:rFonts w:ascii="Times New Roman" w:cs="Times New Roman" w:eastAsia="Times New Roman" w:hAnsi="Times New Roman"/>
          <w:sz w:val="18"/>
          <w:szCs w:val="18"/>
          <w:color w:val="auto"/>
        </w:rPr>
      </w:pPr>
    </w:p>
    <w:p>
      <w:pPr>
        <w:ind w:left="180" w:right="120" w:hanging="178"/>
        <w:spacing w:after="0" w:line="245" w:lineRule="auto"/>
        <w:tabs>
          <w:tab w:leader="none" w:pos="179"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loss of $(2.2) million, or $(0.18) per diluted share, a 35% improvement from $(3.4) million, or $(0.27) per diluted share, in the third quarter and a marginal increase from $(2.1) million, or $(.17) per diluted share, in the prior-year period.</w:t>
      </w:r>
    </w:p>
    <w:p>
      <w:pPr>
        <w:ind w:left="560" w:right="120" w:hanging="371"/>
        <w:spacing w:after="0" w:line="249" w:lineRule="auto"/>
        <w:tabs>
          <w:tab w:leader="none" w:pos="560" w:val="left"/>
        </w:tabs>
        <w:numPr>
          <w:ilvl w:val="2"/>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Adjusted EBITDA for the quarter was $(560) thousand, a 74% improvement from $(2.2) million in the third quarter and a decline from $511 thousand in the prior-year period (see reconciliation table on page 13), driven primarily by the Policy Change.</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Management Commentary</w:t>
      </w:r>
    </w:p>
    <w:p>
      <w:pPr>
        <w:spacing w:after="0" w:line="198" w:lineRule="exact"/>
        <w:rPr>
          <w:sz w:val="20"/>
          <w:szCs w:val="20"/>
          <w:color w:val="auto"/>
        </w:rPr>
      </w:pPr>
    </w:p>
    <w:p>
      <w:pPr>
        <w:jc w:val="both"/>
        <w:ind w:left="100" w:right="120"/>
        <w:spacing w:after="0" w:line="244" w:lineRule="auto"/>
        <w:rPr>
          <w:sz w:val="20"/>
          <w:szCs w:val="20"/>
          <w:color w:val="auto"/>
        </w:rPr>
      </w:pPr>
      <w:r>
        <w:rPr>
          <w:rFonts w:ascii="Arial" w:cs="Arial" w:eastAsia="Arial" w:hAnsi="Arial"/>
          <w:sz w:val="18"/>
          <w:szCs w:val="18"/>
          <w:color w:val="auto"/>
        </w:rPr>
        <w:t>Iv Culp, President and Chief Executive Officer, commented, “We were encouraged to see overall sales growth during the quarter along with some nice sequential improvement at the gross profit, operating and bottom lines. There is ground yet to cover to get where we ultimately want to be, but CULP is on the right path and our actions to optimize our platform are driving results. We enter the new fiscal year with some exciting momentum and over $20 million in annualized savings, efficiencies and pricing action that should substantially improve our operating leverage going forward.</w:t>
      </w:r>
    </w:p>
    <w:p>
      <w:pPr>
        <w:spacing w:after="0" w:line="21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596265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769"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CULP Announces Results for Fourth Quarter Fiscal 2026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rPr>
          <w:sz w:val="20"/>
          <w:szCs w:val="20"/>
          <w:color w:val="auto"/>
        </w:rPr>
      </w:pPr>
      <w:r>
        <w:rPr>
          <w:rFonts w:ascii="Arial" w:cs="Arial" w:eastAsia="Arial" w:hAnsi="Arial"/>
          <w:sz w:val="18"/>
          <w:szCs w:val="18"/>
          <w:color w:val="auto"/>
        </w:rPr>
        <w:t>July 1, 2026</w:t>
      </w:r>
    </w:p>
    <w:p>
      <w:pPr>
        <w:spacing w:after="0" w:line="383" w:lineRule="exact"/>
        <w:rPr>
          <w:sz w:val="20"/>
          <w:szCs w:val="20"/>
          <w:color w:val="auto"/>
        </w:rPr>
      </w:pPr>
    </w:p>
    <w:p>
      <w:pPr>
        <w:jc w:val="both"/>
        <w:ind w:left="200"/>
        <w:spacing w:after="0" w:line="253" w:lineRule="auto"/>
        <w:rPr>
          <w:sz w:val="20"/>
          <w:szCs w:val="20"/>
          <w:color w:val="auto"/>
        </w:rPr>
      </w:pPr>
      <w:r>
        <w:rPr>
          <w:rFonts w:ascii="Arial" w:cs="Arial" w:eastAsia="Arial" w:hAnsi="Arial"/>
          <w:sz w:val="18"/>
          <w:szCs w:val="18"/>
          <w:color w:val="auto"/>
        </w:rPr>
        <w:t>“Our bedding business closed the year on a strong note, delivering double-digit sales growth and nearly 40% gross profit improvement from the third quarter. In a challenging market, we successfully expanded our top line through share gains and new product innovation across all categories, most notably in sewn mattress covers.</w:t>
      </w:r>
    </w:p>
    <w:p>
      <w:pPr>
        <w:spacing w:after="0" w:line="155" w:lineRule="exact"/>
        <w:rPr>
          <w:sz w:val="20"/>
          <w:szCs w:val="20"/>
          <w:color w:val="auto"/>
        </w:rPr>
      </w:pPr>
    </w:p>
    <w:p>
      <w:pPr>
        <w:jc w:val="both"/>
        <w:ind w:left="200"/>
        <w:spacing w:after="0" w:line="247" w:lineRule="auto"/>
        <w:rPr>
          <w:sz w:val="20"/>
          <w:szCs w:val="20"/>
          <w:color w:val="auto"/>
        </w:rPr>
      </w:pPr>
      <w:r>
        <w:rPr>
          <w:rFonts w:ascii="Arial" w:cs="Arial" w:eastAsia="Arial" w:hAnsi="Arial"/>
          <w:sz w:val="18"/>
          <w:szCs w:val="18"/>
          <w:color w:val="auto"/>
        </w:rPr>
        <w:t>"Our upholstery business experienced continued headwinds due to furniture’s greater dependence on home buying activity and travel/leisure spending, both of which have been challenged. Despite the pressured environment in upholstery, we grew sales sequentially and increased margins from the prior quarter while continuing progress on integrating domestic operations within our bedding segment.</w:t>
      </w:r>
    </w:p>
    <w:p>
      <w:pPr>
        <w:spacing w:after="0" w:line="160"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“I commend the CULP team for its dedication and execution in fiscal 2026 as we completed our platform restructuring activities. Thanks to our people, we move into the new year with strong conviction that we have added to our competitive advantages in bedding and upholstery and are well-positioned to drive any increases in consumer demand to the bottom line. We have our operating structure streamlined; our product categories are on-trend from style, color and performance innovation standpoints; our pricing is calibrated to the current tariff and petrochemical landscapes; and, most importantly, we offer customers what we believe are preferred supply chain options, including the most cost-effective production scale and flexibility with a global footprint including dynamic U.S. and nearshore capabilities to navigate tariffs and speed-to-market needs.</w:t>
      </w:r>
    </w:p>
    <w:p>
      <w:pPr>
        <w:spacing w:after="0" w:line="171" w:lineRule="exact"/>
        <w:rPr>
          <w:sz w:val="20"/>
          <w:szCs w:val="20"/>
          <w:color w:val="auto"/>
        </w:rPr>
      </w:pPr>
    </w:p>
    <w:p>
      <w:pPr>
        <w:jc w:val="both"/>
        <w:ind w:left="200"/>
        <w:spacing w:after="0" w:line="244" w:lineRule="auto"/>
        <w:rPr>
          <w:sz w:val="20"/>
          <w:szCs w:val="20"/>
          <w:color w:val="auto"/>
        </w:rPr>
      </w:pPr>
      <w:r>
        <w:rPr>
          <w:rFonts w:ascii="Arial" w:cs="Arial" w:eastAsia="Arial" w:hAnsi="Arial"/>
          <w:sz w:val="18"/>
          <w:szCs w:val="18"/>
          <w:color w:val="auto"/>
        </w:rPr>
        <w:t>“We recently recovered approximately $7 million in IEEPA tariff refunds in the first quarter of fiscal 2027, which provides a meaningful improvement to our financial position, particularly in helping to offset some outstanding debt as well as a portion of the elevated tariff-related costs incurred during fiscal 2026. Importantly, our focus in this macro-environment remains on disciplined cost management, cash flow performance and reducing debt levels. We are committed to returning to profitability, and expect our actions to enhance long-term shareholder value,” added Culp.</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Fiscal 2026 Full Year Financial Highlights</w:t>
      </w:r>
    </w:p>
    <w:p>
      <w:pPr>
        <w:spacing w:after="0" w:line="198" w:lineRule="exact"/>
        <w:rPr>
          <w:sz w:val="20"/>
          <w:szCs w:val="20"/>
          <w:color w:val="auto"/>
        </w:rPr>
      </w:pPr>
    </w:p>
    <w:p>
      <w:pPr>
        <w:ind w:left="380" w:right="20" w:hanging="252"/>
        <w:spacing w:after="0" w:line="271" w:lineRule="auto"/>
        <w:tabs>
          <w:tab w:leader="none" w:pos="296"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Consolidated net sales of $203.5 million, down 4.6% from net sales of $213.2 million in the prior fiscal year, with bedding sales up 2.4% and upholstery sales down 12.5%.</w:t>
      </w:r>
    </w:p>
    <w:p>
      <w:pPr>
        <w:spacing w:after="0" w:line="140" w:lineRule="exact"/>
        <w:rPr>
          <w:rFonts w:ascii="Arial" w:cs="Arial" w:eastAsia="Arial" w:hAnsi="Arial"/>
          <w:sz w:val="18"/>
          <w:szCs w:val="18"/>
          <w:color w:val="auto"/>
        </w:rPr>
      </w:pPr>
    </w:p>
    <w:p>
      <w:pPr>
        <w:ind w:left="380" w:hanging="182"/>
        <w:spacing w:after="0" w:line="271" w:lineRule="auto"/>
        <w:tabs>
          <w:tab w:leader="none" w:pos="322" w:val="left"/>
        </w:tabs>
        <w:numPr>
          <w:ilvl w:val="1"/>
          <w:numId w:val="4"/>
        </w:numPr>
        <w:rPr>
          <w:rFonts w:ascii="Arial" w:cs="Arial" w:eastAsia="Arial" w:hAnsi="Arial"/>
          <w:sz w:val="18"/>
          <w:szCs w:val="18"/>
          <w:color w:val="auto"/>
        </w:rPr>
      </w:pPr>
      <w:r>
        <w:rPr>
          <w:rFonts w:ascii="Arial" w:cs="Arial" w:eastAsia="Arial" w:hAnsi="Arial"/>
          <w:sz w:val="18"/>
          <w:szCs w:val="18"/>
          <w:color w:val="auto"/>
        </w:rPr>
        <w:t>Consolidated gross profit of $25.2 million, or 12.4% of sales, compared with gross profit of $25.1 million, or 11.8% of sales, in the prior fiscal year.</w:t>
      </w:r>
    </w:p>
    <w:p>
      <w:pPr>
        <w:spacing w:after="0" w:line="140" w:lineRule="exact"/>
        <w:rPr>
          <w:rFonts w:ascii="Arial" w:cs="Arial" w:eastAsia="Arial" w:hAnsi="Arial"/>
          <w:sz w:val="18"/>
          <w:szCs w:val="18"/>
          <w:color w:val="auto"/>
        </w:rPr>
      </w:pPr>
    </w:p>
    <w:p>
      <w:pPr>
        <w:ind w:left="320" w:hanging="122"/>
        <w:spacing w:after="0"/>
        <w:tabs>
          <w:tab w:leader="none" w:pos="320" w:val="left"/>
        </w:tabs>
        <w:numPr>
          <w:ilvl w:val="1"/>
          <w:numId w:val="4"/>
        </w:numPr>
        <w:rPr>
          <w:rFonts w:ascii="Arial" w:cs="Arial" w:eastAsia="Arial" w:hAnsi="Arial"/>
          <w:sz w:val="18"/>
          <w:szCs w:val="18"/>
          <w:color w:val="auto"/>
        </w:rPr>
      </w:pPr>
      <w:r>
        <w:rPr>
          <w:rFonts w:ascii="Arial" w:cs="Arial" w:eastAsia="Arial" w:hAnsi="Arial"/>
          <w:sz w:val="18"/>
          <w:szCs w:val="18"/>
          <w:color w:val="auto"/>
        </w:rPr>
        <w:t>GAAP consolidated loss from operations of $(7.2) million, compared with $(18.4) million in the prior fiscal year.</w:t>
      </w:r>
    </w:p>
    <w:p>
      <w:pPr>
        <w:spacing w:after="0" w:line="13" w:lineRule="exact"/>
        <w:rPr>
          <w:rFonts w:ascii="Arial" w:cs="Arial" w:eastAsia="Arial" w:hAnsi="Arial"/>
          <w:sz w:val="18"/>
          <w:szCs w:val="18"/>
          <w:color w:val="auto"/>
        </w:rPr>
      </w:pPr>
    </w:p>
    <w:p>
      <w:pPr>
        <w:ind w:left="560" w:hanging="178"/>
        <w:spacing w:after="0" w:line="249" w:lineRule="auto"/>
        <w:tabs>
          <w:tab w:leader="none" w:pos="560" w:val="left"/>
        </w:tabs>
        <w:numPr>
          <w:ilvl w:val="2"/>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Non-GAAP operating loss of $(8.6) million, an almost 5% improvement, on lower sales, from $(9.0) million in the prior fiscal year (see reconciliation table on page 12).</w:t>
      </w:r>
    </w:p>
    <w:p>
      <w:pPr>
        <w:spacing w:after="0" w:line="159" w:lineRule="exact"/>
        <w:rPr>
          <w:rFonts w:ascii="Times New Roman" w:cs="Times New Roman" w:eastAsia="Times New Roman" w:hAnsi="Times New Roman"/>
          <w:sz w:val="18"/>
          <w:szCs w:val="18"/>
          <w:color w:val="auto"/>
        </w:rPr>
      </w:pPr>
    </w:p>
    <w:p>
      <w:pPr>
        <w:ind w:left="380" w:hanging="182"/>
        <w:spacing w:after="0" w:line="245" w:lineRule="auto"/>
        <w:tabs>
          <w:tab w:leader="none" w:pos="310" w:val="left"/>
        </w:tabs>
        <w:numPr>
          <w:ilvl w:val="1"/>
          <w:numId w:val="4"/>
        </w:numPr>
        <w:rPr>
          <w:rFonts w:ascii="Arial" w:cs="Arial" w:eastAsia="Arial" w:hAnsi="Arial"/>
          <w:sz w:val="18"/>
          <w:szCs w:val="18"/>
          <w:color w:val="auto"/>
        </w:rPr>
      </w:pPr>
      <w:r>
        <w:rPr>
          <w:rFonts w:ascii="Arial" w:cs="Arial" w:eastAsia="Arial" w:hAnsi="Arial"/>
          <w:sz w:val="18"/>
          <w:szCs w:val="18"/>
          <w:color w:val="auto"/>
        </w:rPr>
        <w:t>Net loss of $(10.2) million, or $(0.81) per diluted share, a 47% improvement over $(19.1) million, or $(1.53) per diluted share, in the prior fiscal year.</w:t>
      </w:r>
    </w:p>
    <w:p>
      <w:pPr>
        <w:ind w:left="560" w:hanging="178"/>
        <w:spacing w:after="0"/>
        <w:tabs>
          <w:tab w:leader="none" w:pos="560" w:val="left"/>
        </w:tabs>
        <w:numPr>
          <w:ilvl w:val="2"/>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Adjusted EBITDA was $(4.7) million, a decline from $(3.7) million in the prior fiscal year (see reconciliation table on page 13).</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Outlook</w:t>
      </w:r>
    </w:p>
    <w:p>
      <w:pPr>
        <w:spacing w:after="0" w:line="198" w:lineRule="exact"/>
        <w:rPr>
          <w:sz w:val="20"/>
          <w:szCs w:val="20"/>
          <w:color w:val="auto"/>
        </w:rPr>
      </w:pPr>
    </w:p>
    <w:p>
      <w:pPr>
        <w:jc w:val="both"/>
        <w:ind w:left="380" w:hanging="182"/>
        <w:spacing w:after="0" w:line="253" w:lineRule="auto"/>
        <w:tabs>
          <w:tab w:leader="none" w:pos="3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Due to macroeconomic uncertainty, the fluid global trade and tariff environment, and related matters, only the following limited forward guidance is being provided, with expectations based on information available at the time of this press release and reflecting certain assumptions by management regarding business and industry trends.</w:t>
      </w:r>
    </w:p>
    <w:p>
      <w:pPr>
        <w:spacing w:after="0" w:line="357" w:lineRule="exact"/>
        <w:rPr>
          <w:rFonts w:ascii="Arial" w:cs="Arial" w:eastAsia="Arial" w:hAnsi="Arial"/>
          <w:sz w:val="18"/>
          <w:szCs w:val="18"/>
          <w:color w:val="auto"/>
        </w:rPr>
      </w:pPr>
    </w:p>
    <w:p>
      <w:pPr>
        <w:jc w:val="both"/>
        <w:ind w:left="560" w:hanging="365"/>
        <w:spacing w:after="0" w:line="246" w:lineRule="auto"/>
        <w:tabs>
          <w:tab w:leader="none" w:pos="5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Outstanding debt under domestic and foreign credit facilities is expected to significantly decline with the recovery of approximately $7.0 million in previously paid IEEPA tariffs in the first quarter of fiscal year 2027. This receipt represents a meaningful source of cash and, subject to working capital needs to support growth, is expected to reduce net debt to approximately $5.0 million at first quarter-end and improve liquidity and balance sheet flexibility.</w:t>
      </w:r>
    </w:p>
    <w:p>
      <w:pPr>
        <w:spacing w:after="0" w:line="1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9"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CULP Announces Results for Fourth Quarter Fiscal 2026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rPr>
          <w:sz w:val="20"/>
          <w:szCs w:val="20"/>
          <w:color w:val="auto"/>
        </w:rPr>
      </w:pPr>
      <w:r>
        <w:rPr>
          <w:rFonts w:ascii="Arial" w:cs="Arial" w:eastAsia="Arial" w:hAnsi="Arial"/>
          <w:sz w:val="18"/>
          <w:szCs w:val="18"/>
          <w:color w:val="auto"/>
        </w:rPr>
        <w:t>July 1, 2026</w:t>
      </w:r>
    </w:p>
    <w:p>
      <w:pPr>
        <w:spacing w:after="0" w:line="383" w:lineRule="exact"/>
        <w:rPr>
          <w:sz w:val="20"/>
          <w:szCs w:val="20"/>
          <w:color w:val="auto"/>
        </w:rPr>
      </w:pPr>
    </w:p>
    <w:p>
      <w:pPr>
        <w:ind w:left="560" w:hanging="365"/>
        <w:spacing w:after="0" w:line="270" w:lineRule="auto"/>
        <w:tabs>
          <w:tab w:leader="none" w:pos="5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Consolidated sales for the first quarter of fiscal year 2027 are expected to moderately improve sequentially and compared to the prior-year period in what is likely to remain a challenged demand environment for home furnishings.</w:t>
      </w:r>
    </w:p>
    <w:p>
      <w:pPr>
        <w:spacing w:after="0" w:line="140" w:lineRule="exact"/>
        <w:rPr>
          <w:rFonts w:ascii="Times New Roman" w:cs="Times New Roman" w:eastAsia="Times New Roman" w:hAnsi="Times New Roman"/>
          <w:sz w:val="18"/>
          <w:szCs w:val="18"/>
          <w:color w:val="auto"/>
        </w:rPr>
      </w:pPr>
    </w:p>
    <w:p>
      <w:pPr>
        <w:jc w:val="both"/>
        <w:ind w:left="560" w:hanging="365"/>
        <w:spacing w:after="0" w:line="246" w:lineRule="auto"/>
        <w:tabs>
          <w:tab w:leader="none" w:pos="5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cost and efficiency benefits of restructuring and integration initiatives should drive improving gross profit and lower SG&amp;A expenses, resulting in breakeven to positive adjusted EBITDA for the first quarter of fiscal year 2027 without the benefit of IEEPA tariff refunds. Receipt of the above-referenced $7.0 million in tariff refunds should significantly enhance profitability in the first quarter.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Highlights</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Bedding</w:t>
      </w:r>
    </w:p>
    <w:p>
      <w:pPr>
        <w:spacing w:after="0" w:line="198" w:lineRule="exact"/>
        <w:rPr>
          <w:sz w:val="20"/>
          <w:szCs w:val="20"/>
          <w:color w:val="auto"/>
        </w:rPr>
      </w:pPr>
    </w:p>
    <w:p>
      <w:pPr>
        <w:jc w:val="both"/>
        <w:ind w:left="280" w:hanging="152"/>
        <w:spacing w:after="0" w:line="253" w:lineRule="auto"/>
        <w:tabs>
          <w:tab w:leader="none" w:pos="259"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fourth quarter, bedding sales were $30.5 million, up approximately 12% from sales of $27.3 million in the third quarter and up 12.5% from sales of $27.1 million in the prior-year period. Bedding gross profit was $2.7 million, or 8.9% of sales, up 38% from $2.0 million, or 7.2% of sales, in the third quarter and down from $3.1 million, or 11.3% of sales, in the prior-year period.</w:t>
      </w:r>
    </w:p>
    <w:p>
      <w:pPr>
        <w:spacing w:after="0" w:line="155" w:lineRule="exact"/>
        <w:rPr>
          <w:rFonts w:ascii="Arial" w:cs="Arial" w:eastAsia="Arial" w:hAnsi="Arial"/>
          <w:sz w:val="18"/>
          <w:szCs w:val="18"/>
          <w:color w:val="auto"/>
        </w:rPr>
      </w:pPr>
    </w:p>
    <w:p>
      <w:pPr>
        <w:ind w:left="280" w:hanging="152"/>
        <w:spacing w:after="0" w:line="271" w:lineRule="auto"/>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full year, bedding sales were $116.6 million, up 2.4% from sales of $113.9 million in the prior fiscal year. Bedding gross profit was $10.7 million, or 9.2% of sales, up almost 35% from $7.9 million, or 7.0% of sales, in the prior fiscal year.</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Upholstery</w:t>
      </w:r>
    </w:p>
    <w:p>
      <w:pPr>
        <w:spacing w:after="0" w:line="198" w:lineRule="exact"/>
        <w:rPr>
          <w:sz w:val="20"/>
          <w:szCs w:val="20"/>
          <w:color w:val="auto"/>
        </w:rPr>
      </w:pPr>
    </w:p>
    <w:p>
      <w:pPr>
        <w:jc w:val="both"/>
        <w:ind w:left="280" w:hanging="211"/>
        <w:spacing w:after="0" w:line="253" w:lineRule="auto"/>
        <w:tabs>
          <w:tab w:leader="none" w:pos="254"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fourth quarter, upholstery sales were $21.1 million, up 2.1% from sales of $20.7 million in third quarter and down from sales of $21.7 million in the prior-year period. Upholstery gross profit was $4.1 million, or 19.5% of sales, an approximately 23% increase from $3.4 million, or 16.3% of sales, in the third quarter and down from $4.7 million, or 21.7% of sales, in the prior-year period.</w:t>
      </w:r>
    </w:p>
    <w:p>
      <w:pPr>
        <w:spacing w:after="0" w:line="155" w:lineRule="exact"/>
        <w:rPr>
          <w:rFonts w:ascii="Arial" w:cs="Arial" w:eastAsia="Arial" w:hAnsi="Arial"/>
          <w:sz w:val="18"/>
          <w:szCs w:val="18"/>
          <w:color w:val="auto"/>
        </w:rPr>
      </w:pPr>
    </w:p>
    <w:p>
      <w:pPr>
        <w:ind w:left="280" w:hanging="178"/>
        <w:spacing w:after="0" w:line="271" w:lineRule="auto"/>
        <w:tabs>
          <w:tab w:leader="none" w:pos="211" w:val="left"/>
        </w:tabs>
        <w:numPr>
          <w:ilvl w:val="1"/>
          <w:numId w:val="8"/>
        </w:numPr>
        <w:rPr>
          <w:rFonts w:ascii="Arial" w:cs="Arial" w:eastAsia="Arial" w:hAnsi="Arial"/>
          <w:sz w:val="18"/>
          <w:szCs w:val="18"/>
          <w:color w:val="auto"/>
        </w:rPr>
      </w:pPr>
      <w:r>
        <w:rPr>
          <w:rFonts w:ascii="Arial" w:cs="Arial" w:eastAsia="Arial" w:hAnsi="Arial"/>
          <w:sz w:val="18"/>
          <w:szCs w:val="18"/>
          <w:color w:val="auto"/>
        </w:rPr>
        <w:t>For the full year, upholstery sales were $86.9 million, down from sales of $99.3 million in the prior fiscal year. Upholstery gross profit was $15.4 million, or 17.7% of sales, compared with $18.8 million, or 18.9% of sales, in the prior fiscal year.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Cash Flow, and Liquidity</w:t>
      </w:r>
    </w:p>
    <w:p>
      <w:pPr>
        <w:spacing w:after="0" w:line="198" w:lineRule="exact"/>
        <w:rPr>
          <w:sz w:val="20"/>
          <w:szCs w:val="20"/>
          <w:color w:val="auto"/>
        </w:rPr>
      </w:pPr>
    </w:p>
    <w:p>
      <w:pPr>
        <w:ind w:left="240" w:hanging="112"/>
        <w:spacing w:after="0"/>
        <w:tabs>
          <w:tab w:leader="none" w:pos="240" w:val="left"/>
        </w:tabs>
        <w:numPr>
          <w:ilvl w:val="1"/>
          <w:numId w:val="9"/>
        </w:numPr>
        <w:rPr>
          <w:rFonts w:ascii="Arial" w:cs="Arial" w:eastAsia="Arial" w:hAnsi="Arial"/>
          <w:sz w:val="18"/>
          <w:szCs w:val="18"/>
          <w:color w:val="auto"/>
        </w:rPr>
      </w:pPr>
      <w:r>
        <w:rPr>
          <w:rFonts w:ascii="Arial" w:cs="Arial" w:eastAsia="Arial" w:hAnsi="Arial"/>
          <w:sz w:val="18"/>
          <w:szCs w:val="18"/>
          <w:color w:val="auto"/>
        </w:rPr>
        <w:t>$8.3 million in total cash and $19.1 million in outstanding debt under credit facilities as of May 3, 2026.</w:t>
      </w:r>
    </w:p>
    <w:p>
      <w:pPr>
        <w:spacing w:after="0" w:line="198" w:lineRule="exact"/>
        <w:rPr>
          <w:rFonts w:ascii="Arial" w:cs="Arial" w:eastAsia="Arial" w:hAnsi="Arial"/>
          <w:sz w:val="18"/>
          <w:szCs w:val="18"/>
          <w:color w:val="auto"/>
        </w:rPr>
      </w:pPr>
    </w:p>
    <w:p>
      <w:pPr>
        <w:ind w:left="280" w:hanging="152"/>
        <w:spacing w:after="0" w:line="271" w:lineRule="auto"/>
        <w:tabs>
          <w:tab w:leader="none" w:pos="277" w:val="left"/>
        </w:tabs>
        <w:numPr>
          <w:ilvl w:val="1"/>
          <w:numId w:val="9"/>
        </w:numPr>
        <w:rPr>
          <w:rFonts w:ascii="Arial" w:cs="Arial" w:eastAsia="Arial" w:hAnsi="Arial"/>
          <w:sz w:val="18"/>
          <w:szCs w:val="18"/>
          <w:color w:val="auto"/>
        </w:rPr>
      </w:pPr>
      <w:r>
        <w:rPr>
          <w:rFonts w:ascii="Arial" w:cs="Arial" w:eastAsia="Arial" w:hAnsi="Arial"/>
          <w:sz w:val="18"/>
          <w:szCs w:val="18"/>
          <w:color w:val="auto"/>
        </w:rPr>
        <w:t>$24.2 million in liquidity as of May 3, 2026, consisting of $8.3 million in cash and $15.9 million in borrowing availability under credit facilities.</w:t>
      </w:r>
    </w:p>
    <w:p>
      <w:pPr>
        <w:spacing w:after="0" w:line="140" w:lineRule="exact"/>
        <w:rPr>
          <w:rFonts w:ascii="Arial" w:cs="Arial" w:eastAsia="Arial" w:hAnsi="Arial"/>
          <w:sz w:val="18"/>
          <w:szCs w:val="18"/>
          <w:color w:val="auto"/>
        </w:rPr>
      </w:pPr>
    </w:p>
    <w:p>
      <w:pPr>
        <w:ind w:left="280" w:right="20" w:hanging="152"/>
        <w:spacing w:after="0" w:line="271" w:lineRule="auto"/>
        <w:tabs>
          <w:tab w:leader="none" w:pos="288" w:val="left"/>
        </w:tabs>
        <w:numPr>
          <w:ilvl w:val="1"/>
          <w:numId w:val="9"/>
        </w:numPr>
        <w:rPr>
          <w:rFonts w:ascii="Arial" w:cs="Arial" w:eastAsia="Arial" w:hAnsi="Arial"/>
          <w:sz w:val="18"/>
          <w:szCs w:val="18"/>
          <w:color w:val="auto"/>
        </w:rPr>
      </w:pPr>
      <w:r>
        <w:rPr>
          <w:rFonts w:ascii="Arial" w:cs="Arial" w:eastAsia="Arial" w:hAnsi="Arial"/>
          <w:sz w:val="18"/>
          <w:szCs w:val="18"/>
          <w:color w:val="auto"/>
        </w:rPr>
        <w:t>Total inventory of $47.5 million as of May 3, 2026, which compares favorably to inventory of $52.2 million and $49.3 million as of February 1, 2026, and April 27, 2025, respectively.</w:t>
      </w:r>
    </w:p>
    <w:p>
      <w:pPr>
        <w:spacing w:after="0" w:line="140" w:lineRule="exact"/>
        <w:rPr>
          <w:rFonts w:ascii="Arial" w:cs="Arial" w:eastAsia="Arial" w:hAnsi="Arial"/>
          <w:sz w:val="18"/>
          <w:szCs w:val="18"/>
          <w:color w:val="auto"/>
        </w:rPr>
      </w:pPr>
    </w:p>
    <w:p>
      <w:pPr>
        <w:ind w:left="280" w:hanging="178"/>
        <w:spacing w:after="0" w:line="242" w:lineRule="auto"/>
        <w:tabs>
          <w:tab w:leader="none" w:pos="215" w:val="left"/>
        </w:tabs>
        <w:numPr>
          <w:ilvl w:val="0"/>
          <w:numId w:val="9"/>
        </w:numPr>
        <w:rPr>
          <w:rFonts w:ascii="Arial" w:cs="Arial" w:eastAsia="Arial" w:hAnsi="Arial"/>
          <w:sz w:val="18"/>
          <w:szCs w:val="18"/>
          <w:color w:val="auto"/>
        </w:rPr>
      </w:pPr>
      <w:r>
        <w:rPr>
          <w:rFonts w:ascii="Arial" w:cs="Arial" w:eastAsia="Arial" w:hAnsi="Arial"/>
          <w:sz w:val="18"/>
          <w:szCs w:val="18"/>
          <w:color w:val="auto"/>
        </w:rPr>
        <w:t>Cash used in operations and negative free cash flow were $(9.4) million and $(10.0) million, respectively, for the 12-month period ended May 3, 2026, and primarily driven by operating losses, which compare favorably to cash used of $(17.7) million and $(20.6) million, respectively, in the prior-year period. The final payment to Culp of $4.8 million for the sale of a former facility in Canada was received during the quarter as scheduled. Adjusted for capital expenditures, proceeds from the sale of property, plant and equipment, notes receivable and other items, negative free cash flow was $(2.8) million, which compares favorably to $(17.1) million in the prior-year period (see reconciliation table on page 10).</w:t>
      </w:r>
    </w:p>
    <w:p>
      <w:pPr>
        <w:spacing w:after="0" w:line="165" w:lineRule="exact"/>
        <w:rPr>
          <w:rFonts w:ascii="Arial" w:cs="Arial" w:eastAsia="Arial" w:hAnsi="Arial"/>
          <w:sz w:val="18"/>
          <w:szCs w:val="18"/>
          <w:color w:val="auto"/>
        </w:rPr>
      </w:pPr>
    </w:p>
    <w:p>
      <w:pPr>
        <w:ind w:left="280" w:hanging="152"/>
        <w:spacing w:after="0" w:line="271" w:lineRule="auto"/>
        <w:tabs>
          <w:tab w:leader="none" w:pos="253" w:val="left"/>
        </w:tabs>
        <w:numPr>
          <w:ilvl w:val="1"/>
          <w:numId w:val="9"/>
        </w:numPr>
        <w:rPr>
          <w:rFonts w:ascii="Arial" w:cs="Arial" w:eastAsia="Arial" w:hAnsi="Arial"/>
          <w:sz w:val="18"/>
          <w:szCs w:val="18"/>
          <w:color w:val="auto"/>
        </w:rPr>
      </w:pPr>
      <w:r>
        <w:rPr>
          <w:rFonts w:ascii="Arial" w:cs="Arial" w:eastAsia="Arial" w:hAnsi="Arial"/>
          <w:sz w:val="18"/>
          <w:szCs w:val="18"/>
          <w:color w:val="auto"/>
        </w:rPr>
        <w:t>Capital expenditures for the 12-month period ended May 3, 2026, were $596 thousand, down from $2.9 million in the prior-year period as the focus on maintenance projects and strategic initiatives with quick payback continued.</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Conference Call</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Culp, Inc. will hold a conference call to discuss financial results for the fourth quarter and full fiscal year</w:t>
      </w:r>
    </w:p>
    <w:p>
      <w:pPr>
        <w:spacing w:after="0" w:line="18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9"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CULP Announces Results for Fourth Quarter Fiscal 2026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rPr>
          <w:sz w:val="20"/>
          <w:szCs w:val="20"/>
          <w:color w:val="auto"/>
        </w:rPr>
      </w:pPr>
      <w:r>
        <w:rPr>
          <w:rFonts w:ascii="Arial" w:cs="Arial" w:eastAsia="Arial" w:hAnsi="Arial"/>
          <w:sz w:val="18"/>
          <w:szCs w:val="18"/>
          <w:color w:val="auto"/>
        </w:rPr>
        <w:t>July 1, 2026</w:t>
      </w:r>
    </w:p>
    <w:p>
      <w:pPr>
        <w:spacing w:after="0" w:line="180"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2026 on Thursday, July 2, 2026, at 9:00 a.m. Eastern Time. A live webcast of this call can be accessed on the “Upcoming Events” section on the “Investor Relations” page of the Company’s website, www.culp.com. A replay of the webcast will be available for 30 days under the “Past Events” section on the “Investor Relations” page of the Company’s website.</w:t>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About the Company</w:t>
      </w:r>
    </w:p>
    <w:p>
      <w:pPr>
        <w:spacing w:after="0" w:line="14"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Culp, Inc. is one of the largest marketers of mattress fabrics for bedding and upholstery fabrics for residential, commercial, and hospitality furniture and other applications in North America. The Company markets a variety of fabrics to its global customer base of leading bedding and furniture companies, including fabrics produced at Culp’s manufacturing facilities and fabrics sourced through other suppliers. Culp has manufacturing and sourcing capabilities located in the United States, China, Haiti, Turkey, and Vietnam.</w:t>
      </w:r>
    </w:p>
    <w:p>
      <w:pPr>
        <w:spacing w:after="0" w:line="16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Investor Relations Contact</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Ken Bowling, Executive Vice President, Chief Financial Officer, and Treasurer:</w:t>
      </w:r>
    </w:p>
    <w:p>
      <w:pPr>
        <w:jc w:val="center"/>
        <w:ind w:left="100" w:right="9360" w:firstLine="2"/>
        <w:spacing w:after="0" w:line="279" w:lineRule="auto"/>
        <w:tabs>
          <w:tab w:leader="none" w:pos="570" w:val="left"/>
        </w:tabs>
        <w:numPr>
          <w:ilvl w:val="0"/>
          <w:numId w:val="10"/>
        </w:numPr>
        <w:rPr>
          <w:rFonts w:ascii="Arial" w:cs="Arial" w:eastAsia="Arial" w:hAnsi="Arial"/>
          <w:sz w:val="17"/>
          <w:szCs w:val="17"/>
          <w:color w:val="auto"/>
        </w:rPr>
      </w:pPr>
      <w:r>
        <w:rPr>
          <w:rFonts w:ascii="Arial" w:cs="Arial" w:eastAsia="Arial" w:hAnsi="Arial"/>
          <w:sz w:val="17"/>
          <w:szCs w:val="17"/>
          <w:color w:val="auto"/>
        </w:rPr>
        <w:t>881-5630 krbowling@culp.com</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Forward Looking Statements</w:t>
      </w:r>
    </w:p>
    <w:p>
      <w:pPr>
        <w:spacing w:after="0" w:line="14"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This release contains “forward-looking statements” within the meaning of the federal securities laws, including the Private Securities Litigation Reform Act of 1995 (Section 27A of the Securities Act of 1933 and Section 21E of the Securities Exchange Act of 1934). Such statements are inherently subject to risks and uncertainties that may cause actual events and results to differ materially from such statements. Forward-looking statements are statements that include projections, expectations, or beliefs about future events or results or otherwise are not statements of historical fact. Such statements are often but not always characterized by qualifying words such as “expect,” “believe,” “will,” “may,” “should,” “could,” “potential,” “continue,” “target,” “predict,” “seek,” “anticipate,” “estimate,” “intend,” “plan,” “project,” and their derivatives, and include but are not limited to statements about expectations, projections, or trends for our future operations, expectations with respect to tariff refunds, strategic initiatives and plans, restructuring and integration actions, production levels, new product launches, sales, profit margins, profitability, operating (loss) income, capital expenditures, working capital levels, cost savings (including, without limitation, anticipated cost savings from restructuring and integration actions), income taxes, SG&amp;A or other expenses, pre-tax (loss) income, earnings, cash flow, and other performance or liquidity measures, as well as any statements regarding dividends, share repurchases, liquidity, use of cash and cash requirements, ending cash balances and cash positions, borrowing capacity, investments, potential acquisitions, cash and non-cash restructuring and restructuring-related charges, expenses, and/or credits, net proceeds from restructuring related asset dispositions, future economic or industry trends, public health epidemics, or other future developments. There can be no assurance that we will realize these expectations or meet our guidance, or that these beliefs will prove correct.</w:t>
      </w:r>
    </w:p>
    <w:p>
      <w:pPr>
        <w:spacing w:after="0" w:line="168"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Factors that could influence the matters discussed in such statements include the level of housing starts and sales of existing homes, demand for home furnishings products, consumer confidence, trends in disposable income, and general economic conditions. Decreases in these economic indicators could have a negative effect on our business and prospects. Likewise, increases in interest rates, particularly home mortgage rates, and increases in consumer debt or the general rate of inflation, could affect us adversely. Changes in consumer tastes or preferences toward products not produced by us could erode demand for our products. Changes in tariffs or trade policy, including changes in U.S. trade enforcement priorities, or changes in the value of the U.S. dollar versus other currencies, could affect our financial results because a significant portion of our operations are located outside the United States. Relatedly, litigation is ongoing as to whether businesses that paid tariffs that were invalidated by the U.S. Supreme Court in February 2026 may receive or retain refunds for those tariffs, and it may be uncertain as to whether the Company may retain any such refunds, which could be significant. Also, economic or political instability in international areas could affect our operations or sources of goods in those areas, as well as demand for our products in international markets. The future performance of our business depends in part on our success in conducting and finalizing acquisition negotiations and integrating acquired businesses into our existing operations. The impact of public health emergencies or epidemics on employees, customers, suppliers, and the global economy could also adversely affect our operations and financial performance. In addition, the impact of potential asset impairments, including impairments</w:t>
      </w:r>
    </w:p>
    <w:p>
      <w:pPr>
        <w:spacing w:after="0" w:line="17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9" w:right="45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CULP Announces Results for Fourth Quarter Fiscal 2026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rPr>
          <w:sz w:val="20"/>
          <w:szCs w:val="20"/>
          <w:color w:val="auto"/>
        </w:rPr>
      </w:pPr>
      <w:r>
        <w:rPr>
          <w:rFonts w:ascii="Arial" w:cs="Arial" w:eastAsia="Arial" w:hAnsi="Arial"/>
          <w:sz w:val="18"/>
          <w:szCs w:val="18"/>
          <w:color w:val="auto"/>
        </w:rPr>
        <w:t>July 1, 2026</w:t>
      </w:r>
    </w:p>
    <w:p>
      <w:pPr>
        <w:spacing w:after="0" w:line="180"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of property, plant, and equipment, inventory, or intangible assets, as well as the impact of valuation allowances applied against our net deferred income tax assets, could affect our financial results. Increases in freight costs, labor costs, and raw material prices, including increases in market prices for petrochemical products, can also significantly affect the prices we pay for shipping, labor, and raw materials, respectively, and in turn, increase our operating costs and decrease our profitability. Also, our success in diversifying our supply chain with reliable partners to effectively service our global platform could affect our operations and adversely affect our financial results. Finally, the future performance of our business also depends on our ability to successfully restructure our bedding operations, integrate our bedding and upholstery segments and realize the expected benefits of that integration effort, which may not meet our expectations. Further information about these factors, as well as other factors that could affect our future operations or financial results and the matters discussed in forward-looking statements, is included in Item 1A “Risk Factors” in our most recent Form 10-K and Form 10-Q reports filed with the Securities and Exchange Commission.</w:t>
      </w:r>
    </w:p>
    <w:p>
      <w:pPr>
        <w:spacing w:after="0" w:line="166"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Many of these factors are macroeconomic in nature and are, therefore, beyond our control. Should one or more of these risks or uncertainties materialize, or should underlying assumptions prove incorrect, our actual results, performance or achievements may vary materially from those described in this release as anticipated, believed, estimated, expected, intended, planned or projected. The forward-looking statements included in this release are made only as of the date of this release. Unless required by United States federal securities laws, we neither intend nor assume any obligation to update these forward-looking statements for any reason after the date of this release to conform these statements to actual results or to changes in our expectations. A forward-looking statement is neither a prediction nor a guarantee of future events or circumstances, and those future events or circumstances may not occur. Additional risks and uncertainties that we do not presently know about or that we currently consider to be immaterial may also affect our business operations or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9" w:right="4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CULP Announces Results for Fourth Quarter Fiscal 2026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rPr>
          <w:sz w:val="20"/>
          <w:szCs w:val="20"/>
          <w:color w:val="auto"/>
        </w:rPr>
      </w:pPr>
      <w:r>
        <w:rPr>
          <w:rFonts w:ascii="Arial" w:cs="Arial" w:eastAsia="Arial" w:hAnsi="Arial"/>
          <w:sz w:val="18"/>
          <w:szCs w:val="18"/>
          <w:color w:val="auto"/>
        </w:rPr>
        <w:t>July 1, 2026</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CULP,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NET LOSS</w:t>
      </w:r>
    </w:p>
    <w:p>
      <w:pPr>
        <w:jc w:val="center"/>
        <w:spacing w:after="0" w:line="237" w:lineRule="auto"/>
        <w:rPr>
          <w:sz w:val="20"/>
          <w:szCs w:val="20"/>
          <w:color w:val="auto"/>
        </w:rPr>
      </w:pPr>
      <w:r>
        <w:rPr>
          <w:rFonts w:ascii="Arial" w:cs="Arial" w:eastAsia="Arial" w:hAnsi="Arial"/>
          <w:sz w:val="18"/>
          <w:szCs w:val="18"/>
          <w:b w:val="1"/>
          <w:bCs w:val="1"/>
          <w:color w:val="auto"/>
        </w:rPr>
        <w:t>FOR THE THREE AND TWELVE MONTHS ENDED MAY 3, 2026 AND APRIL 27, 2025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 Except for Per Share Data)</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36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ind w:right="28"/>
              <w:spacing w:after="0" w:line="155" w:lineRule="exact"/>
              <w:rPr>
                <w:sz w:val="20"/>
                <w:szCs w:val="20"/>
                <w:color w:val="auto"/>
              </w:rPr>
            </w:pPr>
            <w:r>
              <w:rPr>
                <w:rFonts w:ascii="Arial" w:cs="Arial" w:eastAsia="Arial" w:hAnsi="Arial"/>
                <w:sz w:val="14"/>
                <w:szCs w:val="14"/>
                <w:color w:val="auto"/>
              </w:rPr>
              <w:t>Amount</w:t>
            </w:r>
          </w:p>
        </w:tc>
        <w:tc>
          <w:tcPr>
            <w:tcW w:w="9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3"/>
          </w:tcPr>
          <w:p>
            <w:pPr>
              <w:ind w:left="880"/>
              <w:spacing w:after="0" w:line="155" w:lineRule="exact"/>
              <w:rPr>
                <w:sz w:val="20"/>
                <w:szCs w:val="20"/>
                <w:color w:val="auto"/>
              </w:rPr>
            </w:pPr>
            <w:r>
              <w:rPr>
                <w:rFonts w:ascii="Arial" w:cs="Arial" w:eastAsia="Arial" w:hAnsi="Arial"/>
                <w:sz w:val="14"/>
                <w:szCs w:val="14"/>
                <w:color w:val="auto"/>
              </w:rPr>
              <w:t>Percent of Sales</w:t>
            </w:r>
          </w:p>
        </w:tc>
        <w:tc>
          <w:tcPr>
            <w:tcW w:w="9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308"/>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May 3,</w:t>
            </w:r>
          </w:p>
        </w:tc>
        <w:tc>
          <w:tcPr>
            <w:tcW w:w="220" w:type="dxa"/>
            <w:vAlign w:val="bottom"/>
          </w:tcPr>
          <w:p>
            <w:pPr>
              <w:spacing w:after="0"/>
              <w:rPr>
                <w:sz w:val="24"/>
                <w:szCs w:val="24"/>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4"/>
                <w:szCs w:val="14"/>
                <w:color w:val="auto"/>
              </w:rPr>
              <w:t>April 27,</w:t>
            </w:r>
          </w:p>
        </w:tc>
        <w:tc>
          <w:tcPr>
            <w:tcW w:w="1820" w:type="dxa"/>
            <w:vAlign w:val="bottom"/>
            <w:gridSpan w:val="3"/>
          </w:tcPr>
          <w:p>
            <w:pPr>
              <w:ind w:left="520"/>
              <w:spacing w:after="0"/>
              <w:rPr>
                <w:sz w:val="20"/>
                <w:szCs w:val="20"/>
                <w:color w:val="auto"/>
              </w:rPr>
            </w:pPr>
            <w:r>
              <w:rPr>
                <w:rFonts w:ascii="Arial" w:cs="Arial" w:eastAsia="Arial" w:hAnsi="Arial"/>
                <w:sz w:val="14"/>
                <w:szCs w:val="14"/>
                <w:color w:val="auto"/>
              </w:rPr>
              <w:t>% Over</w:t>
            </w:r>
          </w:p>
        </w:tc>
        <w:tc>
          <w:tcPr>
            <w:tcW w:w="19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rPr>
              <w:t>May 3,</w:t>
            </w:r>
          </w:p>
        </w:tc>
        <w:tc>
          <w:tcPr>
            <w:tcW w:w="1080" w:type="dxa"/>
            <w:vAlign w:val="bottom"/>
            <w:gridSpan w:val="2"/>
          </w:tcPr>
          <w:p>
            <w:pPr>
              <w:jc w:val="center"/>
              <w:ind w:right="560"/>
              <w:spacing w:after="0"/>
              <w:rPr>
                <w:sz w:val="20"/>
                <w:szCs w:val="20"/>
                <w:color w:val="auto"/>
              </w:rPr>
            </w:pPr>
            <w:r>
              <w:rPr>
                <w:rFonts w:ascii="Arial" w:cs="Arial" w:eastAsia="Arial" w:hAnsi="Arial"/>
                <w:sz w:val="14"/>
                <w:szCs w:val="14"/>
                <w:color w:val="auto"/>
              </w:rPr>
              <w:t>April 27,</w:t>
            </w:r>
          </w:p>
        </w:tc>
      </w:tr>
      <w:tr>
        <w:trPr>
          <w:trHeight w:val="171"/>
        </w:trPr>
        <w:tc>
          <w:tcPr>
            <w:tcW w:w="3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2026</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2025</w:t>
            </w:r>
          </w:p>
        </w:tc>
        <w:tc>
          <w:tcPr>
            <w:tcW w:w="220" w:type="dxa"/>
            <w:vAlign w:val="bottom"/>
          </w:tcPr>
          <w:p>
            <w:pPr>
              <w:spacing w:after="0"/>
              <w:rPr>
                <w:sz w:val="14"/>
                <w:szCs w:val="14"/>
                <w:color w:val="auto"/>
              </w:rPr>
            </w:pPr>
          </w:p>
        </w:tc>
        <w:tc>
          <w:tcPr>
            <w:tcW w:w="152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(Under)</w:t>
            </w:r>
          </w:p>
        </w:tc>
        <w:tc>
          <w:tcPr>
            <w:tcW w:w="300" w:type="dxa"/>
            <w:vAlign w:val="bottom"/>
            <w:gridSpan w:val="2"/>
          </w:tcPr>
          <w:p>
            <w:pPr>
              <w:spacing w:after="0"/>
              <w:rPr>
                <w:sz w:val="14"/>
                <w:szCs w:val="14"/>
                <w:color w:val="auto"/>
              </w:rPr>
            </w:pPr>
          </w:p>
        </w:tc>
        <w:tc>
          <w:tcPr>
            <w:tcW w:w="13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2026</w:t>
            </w: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2025</w:t>
            </w:r>
          </w:p>
        </w:tc>
        <w:tc>
          <w:tcPr>
            <w:tcW w:w="180" w:type="dxa"/>
            <w:vAlign w:val="bottom"/>
          </w:tcPr>
          <w:p>
            <w:pPr>
              <w:spacing w:after="0"/>
              <w:rPr>
                <w:sz w:val="14"/>
                <w:szCs w:val="14"/>
                <w:color w:val="auto"/>
              </w:rPr>
            </w:pPr>
          </w:p>
        </w:tc>
      </w:tr>
      <w:tr>
        <w:trPr>
          <w:trHeight w:val="155"/>
        </w:trPr>
        <w:tc>
          <w:tcPr>
            <w:tcW w:w="36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sales</w:t>
            </w:r>
          </w:p>
        </w:tc>
        <w:tc>
          <w:tcPr>
            <w:tcW w:w="22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51,624</w:t>
            </w: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48,773</w:t>
            </w:r>
          </w:p>
        </w:tc>
        <w:tc>
          <w:tcPr>
            <w:tcW w:w="220" w:type="dxa"/>
            <w:vAlign w:val="bottom"/>
            <w:shd w:val="clear" w:color="auto" w:fill="CFF0FC"/>
          </w:tcPr>
          <w:p>
            <w:pPr>
              <w:spacing w:after="0"/>
              <w:rPr>
                <w:sz w:val="13"/>
                <w:szCs w:val="13"/>
                <w:color w:val="auto"/>
              </w:rPr>
            </w:pPr>
          </w:p>
        </w:tc>
        <w:tc>
          <w:tcPr>
            <w:tcW w:w="170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5.8%</w:t>
            </w:r>
          </w:p>
        </w:tc>
        <w:tc>
          <w:tcPr>
            <w:tcW w:w="120" w:type="dxa"/>
            <w:vAlign w:val="bottom"/>
            <w:shd w:val="clear" w:color="auto" w:fill="CFF0FC"/>
          </w:tcPr>
          <w:p>
            <w:pPr>
              <w:spacing w:after="0"/>
              <w:rPr>
                <w:sz w:val="13"/>
                <w:szCs w:val="13"/>
                <w:color w:val="auto"/>
              </w:rPr>
            </w:pPr>
          </w:p>
        </w:tc>
        <w:tc>
          <w:tcPr>
            <w:tcW w:w="158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b w:val="1"/>
                <w:bCs w:val="1"/>
                <w:color w:val="auto"/>
              </w:rPr>
              <w:t>100.0%</w:t>
            </w:r>
          </w:p>
        </w:tc>
        <w:tc>
          <w:tcPr>
            <w:tcW w:w="36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100.0%</w:t>
            </w:r>
          </w:p>
        </w:tc>
      </w:tr>
      <w:tr>
        <w:trPr>
          <w:trHeight w:val="162"/>
        </w:trPr>
        <w:tc>
          <w:tcPr>
            <w:tcW w:w="3620" w:type="dxa"/>
            <w:vAlign w:val="bottom"/>
          </w:tcPr>
          <w:p>
            <w:pPr>
              <w:spacing w:after="0"/>
              <w:rPr>
                <w:sz w:val="20"/>
                <w:szCs w:val="20"/>
                <w:color w:val="auto"/>
              </w:rPr>
            </w:pPr>
            <w:r>
              <w:rPr>
                <w:rFonts w:ascii="Arial" w:cs="Arial" w:eastAsia="Arial" w:hAnsi="Arial"/>
                <w:sz w:val="14"/>
                <w:szCs w:val="14"/>
                <w:color w:val="auto"/>
              </w:rPr>
              <w:t>Cost of sales</w:t>
            </w:r>
          </w:p>
        </w:tc>
        <w:tc>
          <w:tcPr>
            <w:tcW w:w="22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(44,797)</w:t>
            </w:r>
          </w:p>
        </w:tc>
        <w:tc>
          <w:tcPr>
            <w:tcW w:w="22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(41,120)</w:t>
            </w:r>
          </w:p>
        </w:tc>
        <w:tc>
          <w:tcPr>
            <w:tcW w:w="1700" w:type="dxa"/>
            <w:vAlign w:val="bottom"/>
            <w:gridSpan w:val="2"/>
          </w:tcPr>
          <w:p>
            <w:pPr>
              <w:jc w:val="right"/>
              <w:ind w:right="60"/>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14"/>
                <w:szCs w:val="14"/>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86.8%</w:t>
            </w:r>
          </w:p>
        </w:tc>
        <w:tc>
          <w:tcPr>
            <w:tcW w:w="36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84.3%</w:t>
            </w:r>
          </w:p>
        </w:tc>
      </w:tr>
      <w:tr>
        <w:trPr>
          <w:trHeight w:val="20"/>
        </w:trPr>
        <w:tc>
          <w:tcPr>
            <w:tcW w:w="3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5"/>
        </w:trPr>
        <w:tc>
          <w:tcPr>
            <w:tcW w:w="36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Gross profit</w:t>
            </w:r>
          </w:p>
        </w:tc>
        <w:tc>
          <w:tcPr>
            <w:tcW w:w="22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6,827</w:t>
            </w: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7,653</w:t>
            </w:r>
          </w:p>
        </w:tc>
        <w:tc>
          <w:tcPr>
            <w:tcW w:w="220" w:type="dxa"/>
            <w:vAlign w:val="bottom"/>
            <w:shd w:val="clear" w:color="auto" w:fill="CFF0FC"/>
          </w:tcPr>
          <w:p>
            <w:pPr>
              <w:spacing w:after="0"/>
              <w:rPr>
                <w:sz w:val="13"/>
                <w:szCs w:val="13"/>
                <w:color w:val="auto"/>
              </w:rPr>
            </w:pPr>
          </w:p>
        </w:tc>
        <w:tc>
          <w:tcPr>
            <w:tcW w:w="170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(10.8)%</w:t>
            </w:r>
          </w:p>
        </w:tc>
        <w:tc>
          <w:tcPr>
            <w:tcW w:w="120" w:type="dxa"/>
            <w:vAlign w:val="bottom"/>
            <w:shd w:val="clear" w:color="auto" w:fill="CFF0FC"/>
          </w:tcPr>
          <w:p>
            <w:pPr>
              <w:spacing w:after="0"/>
              <w:rPr>
                <w:sz w:val="13"/>
                <w:szCs w:val="13"/>
                <w:color w:val="auto"/>
              </w:rPr>
            </w:pPr>
          </w:p>
        </w:tc>
        <w:tc>
          <w:tcPr>
            <w:tcW w:w="158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b w:val="1"/>
                <w:bCs w:val="1"/>
                <w:color w:val="auto"/>
              </w:rPr>
              <w:t>13.2%</w:t>
            </w:r>
          </w:p>
        </w:tc>
        <w:tc>
          <w:tcPr>
            <w:tcW w:w="36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15.7%</w:t>
            </w:r>
          </w:p>
        </w:tc>
      </w:tr>
      <w:tr>
        <w:trPr>
          <w:trHeight w:val="153"/>
        </w:trPr>
        <w:tc>
          <w:tcPr>
            <w:tcW w:w="3620" w:type="dxa"/>
            <w:vAlign w:val="bottom"/>
          </w:tcPr>
          <w:p>
            <w:pPr>
              <w:spacing w:after="0" w:line="153" w:lineRule="exact"/>
              <w:rPr>
                <w:sz w:val="20"/>
                <w:szCs w:val="20"/>
                <w:color w:val="auto"/>
              </w:rPr>
            </w:pPr>
            <w:r>
              <w:rPr>
                <w:rFonts w:ascii="Arial" w:cs="Arial" w:eastAsia="Arial" w:hAnsi="Arial"/>
                <w:sz w:val="14"/>
                <w:szCs w:val="14"/>
                <w:color w:val="auto"/>
              </w:rPr>
              <w:t>Selling, general and administrative</w:t>
            </w: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1"/>
        </w:trPr>
        <w:tc>
          <w:tcPr>
            <w:tcW w:w="3620" w:type="dxa"/>
            <w:vAlign w:val="bottom"/>
          </w:tcPr>
          <w:p>
            <w:pPr>
              <w:ind w:left="120"/>
              <w:spacing w:after="0"/>
              <w:rPr>
                <w:sz w:val="20"/>
                <w:szCs w:val="20"/>
                <w:color w:val="auto"/>
              </w:rPr>
            </w:pPr>
            <w:r>
              <w:rPr>
                <w:rFonts w:ascii="Arial" w:cs="Arial" w:eastAsia="Arial" w:hAnsi="Arial"/>
                <w:sz w:val="14"/>
                <w:szCs w:val="14"/>
                <w:color w:val="auto"/>
              </w:rPr>
              <w:t>expenses</w:t>
            </w:r>
          </w:p>
        </w:tc>
        <w:tc>
          <w:tcPr>
            <w:tcW w:w="22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(8,347)</w:t>
            </w:r>
          </w:p>
        </w:tc>
        <w:tc>
          <w:tcPr>
            <w:tcW w:w="22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(8,470)</w:t>
            </w: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4"/>
                <w:szCs w:val="14"/>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16.2%</w:t>
            </w:r>
          </w:p>
        </w:tc>
        <w:tc>
          <w:tcPr>
            <w:tcW w:w="36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17.4%</w:t>
            </w:r>
          </w:p>
        </w:tc>
      </w:tr>
      <w:tr>
        <w:trPr>
          <w:trHeight w:val="162"/>
        </w:trPr>
        <w:tc>
          <w:tcPr>
            <w:tcW w:w="3620" w:type="dxa"/>
            <w:vAlign w:val="bottom"/>
            <w:shd w:val="clear" w:color="auto" w:fill="CFF0FC"/>
          </w:tcPr>
          <w:p>
            <w:pPr>
              <w:spacing w:after="0"/>
              <w:rPr>
                <w:sz w:val="20"/>
                <w:szCs w:val="20"/>
                <w:color w:val="auto"/>
              </w:rPr>
            </w:pPr>
            <w:r>
              <w:rPr>
                <w:rFonts w:ascii="Arial" w:cs="Arial" w:eastAsia="Arial" w:hAnsi="Arial"/>
                <w:sz w:val="14"/>
                <w:szCs w:val="14"/>
                <w:color w:val="auto"/>
              </w:rPr>
              <w:t>Restructuring expense</w:t>
            </w:r>
          </w:p>
        </w:tc>
        <w:tc>
          <w:tcPr>
            <w:tcW w:w="2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b w:val="1"/>
                <w:bCs w:val="1"/>
                <w:color w:val="auto"/>
              </w:rPr>
              <w:t>(102)</w:t>
            </w:r>
          </w:p>
        </w:tc>
        <w:tc>
          <w:tcPr>
            <w:tcW w:w="2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(1,422)</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(92.8)%</w:t>
            </w:r>
          </w:p>
        </w:tc>
        <w:tc>
          <w:tcPr>
            <w:tcW w:w="12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b w:val="1"/>
                <w:bCs w:val="1"/>
                <w:color w:val="auto"/>
              </w:rPr>
              <w:t>0.2%</w:t>
            </w:r>
          </w:p>
        </w:tc>
        <w:tc>
          <w:tcPr>
            <w:tcW w:w="3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2.9%</w:t>
            </w:r>
          </w:p>
        </w:tc>
      </w:tr>
      <w:tr>
        <w:trPr>
          <w:trHeight w:val="20"/>
        </w:trPr>
        <w:tc>
          <w:tcPr>
            <w:tcW w:w="36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156"/>
        </w:trPr>
        <w:tc>
          <w:tcPr>
            <w:tcW w:w="3620" w:type="dxa"/>
            <w:vAlign w:val="bottom"/>
          </w:tcPr>
          <w:p>
            <w:pPr>
              <w:spacing w:after="0" w:line="155" w:lineRule="exact"/>
              <w:rPr>
                <w:sz w:val="20"/>
                <w:szCs w:val="20"/>
                <w:color w:val="auto"/>
              </w:rPr>
            </w:pPr>
            <w:r>
              <w:rPr>
                <w:rFonts w:ascii="Arial" w:cs="Arial" w:eastAsia="Arial" w:hAnsi="Arial"/>
                <w:sz w:val="14"/>
                <w:szCs w:val="14"/>
                <w:color w:val="auto"/>
              </w:rPr>
              <w:t>Loss from operations</w:t>
            </w:r>
          </w:p>
        </w:tc>
        <w:tc>
          <w:tcPr>
            <w:tcW w:w="220" w:type="dxa"/>
            <w:vAlign w:val="bottom"/>
          </w:tcPr>
          <w:p>
            <w:pPr>
              <w:spacing w:after="0"/>
              <w:rPr>
                <w:sz w:val="13"/>
                <w:szCs w:val="13"/>
                <w:color w:val="auto"/>
              </w:rPr>
            </w:pPr>
          </w:p>
        </w:tc>
        <w:tc>
          <w:tcPr>
            <w:tcW w:w="118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(1,622)</w:t>
            </w:r>
          </w:p>
        </w:tc>
        <w:tc>
          <w:tcPr>
            <w:tcW w:w="220" w:type="dxa"/>
            <w:vAlign w:val="bottom"/>
          </w:tcPr>
          <w:p>
            <w:pPr>
              <w:spacing w:after="0"/>
              <w:rPr>
                <w:sz w:val="13"/>
                <w:szCs w:val="13"/>
                <w:color w:val="auto"/>
              </w:rPr>
            </w:pPr>
          </w:p>
        </w:tc>
        <w:tc>
          <w:tcPr>
            <w:tcW w:w="116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(2,239)</w:t>
            </w:r>
          </w:p>
        </w:tc>
        <w:tc>
          <w:tcPr>
            <w:tcW w:w="17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(27.6)%</w:t>
            </w:r>
          </w:p>
        </w:tc>
        <w:tc>
          <w:tcPr>
            <w:tcW w:w="120" w:type="dxa"/>
            <w:vAlign w:val="bottom"/>
          </w:tcPr>
          <w:p>
            <w:pPr>
              <w:spacing w:after="0"/>
              <w:rPr>
                <w:sz w:val="13"/>
                <w:szCs w:val="13"/>
                <w:color w:val="auto"/>
              </w:rPr>
            </w:pPr>
          </w:p>
        </w:tc>
        <w:tc>
          <w:tcPr>
            <w:tcW w:w="158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(3.1)%</w:t>
            </w:r>
          </w:p>
        </w:tc>
        <w:tc>
          <w:tcPr>
            <w:tcW w:w="360" w:type="dxa"/>
            <w:vAlign w:val="bottom"/>
          </w:tcPr>
          <w:p>
            <w:pPr>
              <w:spacing w:after="0"/>
              <w:rPr>
                <w:sz w:val="13"/>
                <w:szCs w:val="13"/>
                <w:color w:val="auto"/>
              </w:rPr>
            </w:pPr>
          </w:p>
        </w:tc>
        <w:tc>
          <w:tcPr>
            <w:tcW w:w="10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(4.6)%</w:t>
            </w:r>
          </w:p>
        </w:tc>
      </w:tr>
      <w:tr>
        <w:trPr>
          <w:trHeight w:val="162"/>
        </w:trPr>
        <w:tc>
          <w:tcPr>
            <w:tcW w:w="3620" w:type="dxa"/>
            <w:vAlign w:val="bottom"/>
            <w:shd w:val="clear" w:color="auto" w:fill="CFF0FC"/>
          </w:tcPr>
          <w:p>
            <w:pPr>
              <w:spacing w:after="0"/>
              <w:rPr>
                <w:sz w:val="20"/>
                <w:szCs w:val="20"/>
                <w:color w:val="auto"/>
              </w:rPr>
            </w:pPr>
            <w:r>
              <w:rPr>
                <w:rFonts w:ascii="Arial" w:cs="Arial" w:eastAsia="Arial" w:hAnsi="Arial"/>
                <w:sz w:val="14"/>
                <w:szCs w:val="14"/>
                <w:color w:val="auto"/>
              </w:rPr>
              <w:t>Interest expense</w:t>
            </w:r>
          </w:p>
        </w:tc>
        <w:tc>
          <w:tcPr>
            <w:tcW w:w="2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b w:val="1"/>
                <w:bCs w:val="1"/>
                <w:color w:val="auto"/>
              </w:rPr>
              <w:t>(195)</w:t>
            </w:r>
          </w:p>
        </w:tc>
        <w:tc>
          <w:tcPr>
            <w:tcW w:w="2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(110)</w:t>
            </w:r>
          </w:p>
        </w:tc>
        <w:tc>
          <w:tcPr>
            <w:tcW w:w="17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77.3%</w:t>
            </w:r>
          </w:p>
        </w:tc>
        <w:tc>
          <w:tcPr>
            <w:tcW w:w="12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b w:val="1"/>
                <w:bCs w:val="1"/>
                <w:color w:val="auto"/>
              </w:rPr>
              <w:t>0.4%</w:t>
            </w:r>
          </w:p>
        </w:tc>
        <w:tc>
          <w:tcPr>
            <w:tcW w:w="3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0.2%</w:t>
            </w:r>
          </w:p>
        </w:tc>
      </w:tr>
      <w:tr>
        <w:trPr>
          <w:trHeight w:val="162"/>
        </w:trPr>
        <w:tc>
          <w:tcPr>
            <w:tcW w:w="3620" w:type="dxa"/>
            <w:vAlign w:val="bottom"/>
          </w:tcPr>
          <w:p>
            <w:pPr>
              <w:spacing w:after="0"/>
              <w:rPr>
                <w:sz w:val="20"/>
                <w:szCs w:val="20"/>
                <w:color w:val="auto"/>
              </w:rPr>
            </w:pPr>
            <w:r>
              <w:rPr>
                <w:rFonts w:ascii="Arial" w:cs="Arial" w:eastAsia="Arial" w:hAnsi="Arial"/>
                <w:sz w:val="14"/>
                <w:szCs w:val="14"/>
                <w:color w:val="auto"/>
              </w:rPr>
              <w:t>Interest income</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214</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154</w:t>
            </w:r>
          </w:p>
        </w:tc>
        <w:tc>
          <w:tcPr>
            <w:tcW w:w="220" w:type="dxa"/>
            <w:vAlign w:val="bottom"/>
          </w:tcPr>
          <w:p>
            <w:pPr>
              <w:spacing w:after="0"/>
              <w:rPr>
                <w:sz w:val="14"/>
                <w:szCs w:val="14"/>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4"/>
                <w:szCs w:val="14"/>
                <w:color w:val="auto"/>
              </w:rPr>
              <w:t>39.0%</w:t>
            </w:r>
          </w:p>
        </w:tc>
        <w:tc>
          <w:tcPr>
            <w:tcW w:w="120" w:type="dxa"/>
            <w:vAlign w:val="bottom"/>
          </w:tcPr>
          <w:p>
            <w:pPr>
              <w:spacing w:after="0"/>
              <w:rPr>
                <w:sz w:val="14"/>
                <w:szCs w:val="14"/>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0.4%</w:t>
            </w:r>
          </w:p>
        </w:tc>
        <w:tc>
          <w:tcPr>
            <w:tcW w:w="36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0.3%</w:t>
            </w:r>
          </w:p>
        </w:tc>
      </w:tr>
      <w:tr>
        <w:trPr>
          <w:trHeight w:val="162"/>
        </w:trPr>
        <w:tc>
          <w:tcPr>
            <w:tcW w:w="3620" w:type="dxa"/>
            <w:vAlign w:val="bottom"/>
            <w:shd w:val="clear" w:color="auto" w:fill="CFF0FC"/>
          </w:tcPr>
          <w:p>
            <w:pPr>
              <w:spacing w:after="0"/>
              <w:rPr>
                <w:sz w:val="20"/>
                <w:szCs w:val="20"/>
                <w:color w:val="auto"/>
              </w:rPr>
            </w:pPr>
            <w:r>
              <w:rPr>
                <w:rFonts w:ascii="Arial" w:cs="Arial" w:eastAsia="Arial" w:hAnsi="Arial"/>
                <w:sz w:val="14"/>
                <w:szCs w:val="14"/>
                <w:color w:val="auto"/>
              </w:rPr>
              <w:t>Other expense</w:t>
            </w:r>
          </w:p>
        </w:tc>
        <w:tc>
          <w:tcPr>
            <w:tcW w:w="2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b w:val="1"/>
                <w:bCs w:val="1"/>
                <w:color w:val="auto"/>
              </w:rPr>
              <w:t>(581)</w:t>
            </w:r>
          </w:p>
        </w:tc>
        <w:tc>
          <w:tcPr>
            <w:tcW w:w="2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(121)</w:t>
            </w:r>
          </w:p>
        </w:tc>
        <w:tc>
          <w:tcPr>
            <w:tcW w:w="17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380.2%</w:t>
            </w:r>
          </w:p>
        </w:tc>
        <w:tc>
          <w:tcPr>
            <w:tcW w:w="12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b w:val="1"/>
                <w:bCs w:val="1"/>
                <w:color w:val="auto"/>
              </w:rPr>
              <w:t>(1.1)%</w:t>
            </w:r>
          </w:p>
        </w:tc>
        <w:tc>
          <w:tcPr>
            <w:tcW w:w="3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(0.2)%</w:t>
            </w:r>
          </w:p>
        </w:tc>
      </w:tr>
      <w:tr>
        <w:trPr>
          <w:trHeight w:val="20"/>
        </w:trPr>
        <w:tc>
          <w:tcPr>
            <w:tcW w:w="36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156"/>
        </w:trPr>
        <w:tc>
          <w:tcPr>
            <w:tcW w:w="3620" w:type="dxa"/>
            <w:vAlign w:val="bottom"/>
          </w:tcPr>
          <w:p>
            <w:pPr>
              <w:spacing w:after="0" w:line="155" w:lineRule="exact"/>
              <w:rPr>
                <w:sz w:val="20"/>
                <w:szCs w:val="20"/>
                <w:color w:val="auto"/>
              </w:rPr>
            </w:pPr>
            <w:r>
              <w:rPr>
                <w:rFonts w:ascii="Arial" w:cs="Arial" w:eastAsia="Arial" w:hAnsi="Arial"/>
                <w:sz w:val="14"/>
                <w:szCs w:val="14"/>
                <w:color w:val="auto"/>
              </w:rPr>
              <w:t>Loss before income taxes</w:t>
            </w:r>
          </w:p>
        </w:tc>
        <w:tc>
          <w:tcPr>
            <w:tcW w:w="220" w:type="dxa"/>
            <w:vAlign w:val="bottom"/>
          </w:tcPr>
          <w:p>
            <w:pPr>
              <w:spacing w:after="0"/>
              <w:rPr>
                <w:sz w:val="13"/>
                <w:szCs w:val="13"/>
                <w:color w:val="auto"/>
              </w:rPr>
            </w:pPr>
          </w:p>
        </w:tc>
        <w:tc>
          <w:tcPr>
            <w:tcW w:w="118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(2,184)</w:t>
            </w:r>
          </w:p>
        </w:tc>
        <w:tc>
          <w:tcPr>
            <w:tcW w:w="220" w:type="dxa"/>
            <w:vAlign w:val="bottom"/>
          </w:tcPr>
          <w:p>
            <w:pPr>
              <w:spacing w:after="0"/>
              <w:rPr>
                <w:sz w:val="13"/>
                <w:szCs w:val="13"/>
                <w:color w:val="auto"/>
              </w:rPr>
            </w:pPr>
          </w:p>
        </w:tc>
        <w:tc>
          <w:tcPr>
            <w:tcW w:w="116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(2,316)</w:t>
            </w:r>
          </w:p>
        </w:tc>
        <w:tc>
          <w:tcPr>
            <w:tcW w:w="17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(5.7)%</w:t>
            </w:r>
          </w:p>
        </w:tc>
        <w:tc>
          <w:tcPr>
            <w:tcW w:w="120" w:type="dxa"/>
            <w:vAlign w:val="bottom"/>
          </w:tcPr>
          <w:p>
            <w:pPr>
              <w:spacing w:after="0"/>
              <w:rPr>
                <w:sz w:val="13"/>
                <w:szCs w:val="13"/>
                <w:color w:val="auto"/>
              </w:rPr>
            </w:pPr>
          </w:p>
        </w:tc>
        <w:tc>
          <w:tcPr>
            <w:tcW w:w="158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(4.2)%</w:t>
            </w:r>
          </w:p>
        </w:tc>
        <w:tc>
          <w:tcPr>
            <w:tcW w:w="360" w:type="dxa"/>
            <w:vAlign w:val="bottom"/>
          </w:tcPr>
          <w:p>
            <w:pPr>
              <w:spacing w:after="0"/>
              <w:rPr>
                <w:sz w:val="13"/>
                <w:szCs w:val="13"/>
                <w:color w:val="auto"/>
              </w:rPr>
            </w:pPr>
          </w:p>
        </w:tc>
        <w:tc>
          <w:tcPr>
            <w:tcW w:w="10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(4.7)%</w:t>
            </w:r>
          </w:p>
        </w:tc>
      </w:tr>
      <w:tr>
        <w:trPr>
          <w:trHeight w:val="162"/>
        </w:trPr>
        <w:tc>
          <w:tcPr>
            <w:tcW w:w="3620" w:type="dxa"/>
            <w:vAlign w:val="bottom"/>
            <w:shd w:val="clear" w:color="auto" w:fill="CFF0FC"/>
          </w:tcPr>
          <w:p>
            <w:pPr>
              <w:spacing w:after="0"/>
              <w:rPr>
                <w:sz w:val="20"/>
                <w:szCs w:val="20"/>
                <w:color w:val="auto"/>
              </w:rPr>
            </w:pPr>
            <w:r>
              <w:rPr>
                <w:rFonts w:ascii="Arial" w:cs="Arial" w:eastAsia="Arial" w:hAnsi="Arial"/>
                <w:sz w:val="14"/>
                <w:szCs w:val="14"/>
                <w:color w:val="auto"/>
              </w:rPr>
              <w:t>Income tax (expense) benefit (1)</w:t>
            </w:r>
          </w:p>
        </w:tc>
        <w:tc>
          <w:tcPr>
            <w:tcW w:w="2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b w:val="1"/>
                <w:bCs w:val="1"/>
                <w:color w:val="auto"/>
              </w:rPr>
              <w:t>(58)</w:t>
            </w: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243</w:t>
            </w:r>
          </w:p>
        </w:tc>
        <w:tc>
          <w:tcPr>
            <w:tcW w:w="220" w:type="dxa"/>
            <w:vAlign w:val="bottom"/>
            <w:shd w:val="clear" w:color="auto" w:fill="CFF0FC"/>
          </w:tcPr>
          <w:p>
            <w:pPr>
              <w:spacing w:after="0"/>
              <w:rPr>
                <w:sz w:val="14"/>
                <w:szCs w:val="14"/>
                <w:color w:val="auto"/>
              </w:rPr>
            </w:pP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(123.9)%</w:t>
            </w:r>
          </w:p>
        </w:tc>
        <w:tc>
          <w:tcPr>
            <w:tcW w:w="12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b w:val="1"/>
                <w:bCs w:val="1"/>
                <w:color w:val="auto"/>
              </w:rPr>
              <w:t>(2.7)%</w:t>
            </w:r>
          </w:p>
        </w:tc>
        <w:tc>
          <w:tcPr>
            <w:tcW w:w="3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10.5%</w:t>
            </w:r>
          </w:p>
        </w:tc>
      </w:tr>
      <w:tr>
        <w:trPr>
          <w:trHeight w:val="20"/>
        </w:trPr>
        <w:tc>
          <w:tcPr>
            <w:tcW w:w="36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156"/>
        </w:trPr>
        <w:tc>
          <w:tcPr>
            <w:tcW w:w="3620" w:type="dxa"/>
            <w:vAlign w:val="bottom"/>
          </w:tcPr>
          <w:p>
            <w:pPr>
              <w:spacing w:after="0" w:line="155" w:lineRule="exact"/>
              <w:rPr>
                <w:sz w:val="20"/>
                <w:szCs w:val="20"/>
                <w:color w:val="auto"/>
              </w:rPr>
            </w:pPr>
            <w:r>
              <w:rPr>
                <w:rFonts w:ascii="Arial" w:cs="Arial" w:eastAsia="Arial" w:hAnsi="Arial"/>
                <w:sz w:val="14"/>
                <w:szCs w:val="14"/>
                <w:color w:val="auto"/>
              </w:rPr>
              <w:t>Net loss</w:t>
            </w:r>
          </w:p>
        </w:tc>
        <w:tc>
          <w:tcPr>
            <w:tcW w:w="220" w:type="dxa"/>
            <w:vAlign w:val="bottom"/>
          </w:tcPr>
          <w:p>
            <w:pPr>
              <w:jc w:val="right"/>
              <w:ind w:right="68"/>
              <w:spacing w:after="0" w:line="142" w:lineRule="exact"/>
              <w:rPr>
                <w:sz w:val="20"/>
                <w:szCs w:val="20"/>
                <w:color w:val="auto"/>
              </w:rPr>
            </w:pPr>
            <w:r>
              <w:rPr>
                <w:rFonts w:ascii="Arial" w:cs="Arial" w:eastAsia="Arial" w:hAnsi="Arial"/>
                <w:sz w:val="14"/>
                <w:szCs w:val="14"/>
                <w:b w:val="1"/>
                <w:bCs w:val="1"/>
                <w:color w:val="auto"/>
                <w:w w:val="76"/>
              </w:rPr>
              <w:t>$</w:t>
            </w:r>
          </w:p>
        </w:tc>
        <w:tc>
          <w:tcPr>
            <w:tcW w:w="9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(2,242)</w:t>
            </w:r>
          </w:p>
        </w:tc>
        <w:tc>
          <w:tcPr>
            <w:tcW w:w="200" w:type="dxa"/>
            <w:vAlign w:val="bottom"/>
          </w:tcPr>
          <w:p>
            <w:pPr>
              <w:spacing w:after="0"/>
              <w:rPr>
                <w:sz w:val="13"/>
                <w:szCs w:val="13"/>
                <w:color w:val="auto"/>
              </w:rPr>
            </w:pPr>
          </w:p>
        </w:tc>
        <w:tc>
          <w:tcPr>
            <w:tcW w:w="220" w:type="dxa"/>
            <w:vAlign w:val="bottom"/>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2" w:lineRule="exact"/>
              <w:rPr>
                <w:sz w:val="20"/>
                <w:szCs w:val="20"/>
                <w:color w:val="auto"/>
              </w:rPr>
            </w:pPr>
            <w:r>
              <w:rPr>
                <w:rFonts w:ascii="Arial" w:cs="Arial" w:eastAsia="Arial" w:hAnsi="Arial"/>
                <w:sz w:val="14"/>
                <w:szCs w:val="14"/>
                <w:color w:val="auto"/>
              </w:rPr>
              <w:t>(2,073)</w:t>
            </w:r>
          </w:p>
        </w:tc>
        <w:tc>
          <w:tcPr>
            <w:tcW w:w="220" w:type="dxa"/>
            <w:vAlign w:val="bottom"/>
          </w:tcPr>
          <w:p>
            <w:pPr>
              <w:spacing w:after="0"/>
              <w:rPr>
                <w:sz w:val="13"/>
                <w:szCs w:val="13"/>
                <w:color w:val="auto"/>
              </w:rPr>
            </w:pPr>
          </w:p>
        </w:tc>
        <w:tc>
          <w:tcPr>
            <w:tcW w:w="170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8.2%</w:t>
            </w:r>
          </w:p>
        </w:tc>
        <w:tc>
          <w:tcPr>
            <w:tcW w:w="120" w:type="dxa"/>
            <w:vAlign w:val="bottom"/>
          </w:tcPr>
          <w:p>
            <w:pPr>
              <w:spacing w:after="0"/>
              <w:rPr>
                <w:sz w:val="13"/>
                <w:szCs w:val="13"/>
                <w:color w:val="auto"/>
              </w:rPr>
            </w:pPr>
          </w:p>
        </w:tc>
        <w:tc>
          <w:tcPr>
            <w:tcW w:w="158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(4.3)%</w:t>
            </w:r>
          </w:p>
        </w:tc>
        <w:tc>
          <w:tcPr>
            <w:tcW w:w="360" w:type="dxa"/>
            <w:vAlign w:val="bottom"/>
          </w:tcPr>
          <w:p>
            <w:pPr>
              <w:spacing w:after="0"/>
              <w:rPr>
                <w:sz w:val="13"/>
                <w:szCs w:val="13"/>
                <w:color w:val="auto"/>
              </w:rPr>
            </w:pPr>
          </w:p>
        </w:tc>
        <w:tc>
          <w:tcPr>
            <w:tcW w:w="108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(4.3)%</w:t>
            </w:r>
          </w:p>
        </w:tc>
      </w:tr>
      <w:tr>
        <w:trPr>
          <w:trHeight w:val="20"/>
        </w:trPr>
        <w:tc>
          <w:tcPr>
            <w:tcW w:w="3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3"/>
        </w:trPr>
        <w:tc>
          <w:tcPr>
            <w:tcW w:w="3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r>
      <w:tr>
        <w:trPr>
          <w:trHeight w:val="162"/>
        </w:trPr>
        <w:tc>
          <w:tcPr>
            <w:tcW w:w="3620" w:type="dxa"/>
            <w:vAlign w:val="bottom"/>
          </w:tcPr>
          <w:p>
            <w:pPr>
              <w:spacing w:after="0"/>
              <w:rPr>
                <w:sz w:val="20"/>
                <w:szCs w:val="20"/>
                <w:color w:val="auto"/>
              </w:rPr>
            </w:pPr>
            <w:r>
              <w:rPr>
                <w:rFonts w:ascii="Arial" w:cs="Arial" w:eastAsia="Arial" w:hAnsi="Arial"/>
                <w:sz w:val="14"/>
                <w:szCs w:val="14"/>
                <w:color w:val="auto"/>
              </w:rPr>
              <w:t>Net loss per share - basic</w:t>
            </w:r>
          </w:p>
        </w:tc>
        <w:tc>
          <w:tcPr>
            <w:tcW w:w="220" w:type="dxa"/>
            <w:vAlign w:val="bottom"/>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(0.18)</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(0.17)</w:t>
            </w:r>
          </w:p>
        </w:tc>
        <w:tc>
          <w:tcPr>
            <w:tcW w:w="1700" w:type="dxa"/>
            <w:vAlign w:val="bottom"/>
            <w:gridSpan w:val="2"/>
          </w:tcPr>
          <w:p>
            <w:pPr>
              <w:jc w:val="right"/>
              <w:ind w:right="60"/>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2"/>
        </w:trPr>
        <w:tc>
          <w:tcPr>
            <w:tcW w:w="3620" w:type="dxa"/>
            <w:vAlign w:val="bottom"/>
            <w:shd w:val="clear" w:color="auto" w:fill="CFF0FC"/>
          </w:tcPr>
          <w:p>
            <w:pPr>
              <w:spacing w:after="0"/>
              <w:rPr>
                <w:sz w:val="20"/>
                <w:szCs w:val="20"/>
                <w:color w:val="auto"/>
              </w:rPr>
            </w:pPr>
            <w:r>
              <w:rPr>
                <w:rFonts w:ascii="Arial" w:cs="Arial" w:eastAsia="Arial" w:hAnsi="Arial"/>
                <w:sz w:val="14"/>
                <w:szCs w:val="14"/>
                <w:color w:val="auto"/>
              </w:rPr>
              <w:t>Net loss per share - diluted</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b w:val="1"/>
                <w:bCs w:val="1"/>
                <w:color w:val="auto"/>
              </w:rPr>
              <w:t>(0.18)</w:t>
            </w:r>
          </w:p>
        </w:tc>
        <w:tc>
          <w:tcPr>
            <w:tcW w:w="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(0.17)</w:t>
            </w:r>
          </w:p>
        </w:tc>
        <w:tc>
          <w:tcPr>
            <w:tcW w:w="17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r>
      <w:tr>
        <w:trPr>
          <w:trHeight w:val="162"/>
        </w:trPr>
        <w:tc>
          <w:tcPr>
            <w:tcW w:w="3620" w:type="dxa"/>
            <w:vAlign w:val="bottom"/>
          </w:tcPr>
          <w:p>
            <w:pPr>
              <w:spacing w:after="0"/>
              <w:rPr>
                <w:sz w:val="20"/>
                <w:szCs w:val="20"/>
                <w:color w:val="auto"/>
              </w:rPr>
            </w:pPr>
            <w:r>
              <w:rPr>
                <w:rFonts w:ascii="Arial" w:cs="Arial" w:eastAsia="Arial" w:hAnsi="Arial"/>
                <w:sz w:val="14"/>
                <w:szCs w:val="14"/>
                <w:color w:val="auto"/>
              </w:rPr>
              <w:t>Average shares outstanding-basic</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12,663</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12,559</w:t>
            </w:r>
          </w:p>
        </w:tc>
        <w:tc>
          <w:tcPr>
            <w:tcW w:w="220" w:type="dxa"/>
            <w:vAlign w:val="bottom"/>
          </w:tcPr>
          <w:p>
            <w:pPr>
              <w:spacing w:after="0"/>
              <w:rPr>
                <w:sz w:val="14"/>
                <w:szCs w:val="14"/>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2"/>
        </w:trPr>
        <w:tc>
          <w:tcPr>
            <w:tcW w:w="3620" w:type="dxa"/>
            <w:vAlign w:val="bottom"/>
            <w:shd w:val="clear" w:color="auto" w:fill="CFF0FC"/>
          </w:tcPr>
          <w:p>
            <w:pPr>
              <w:spacing w:after="0"/>
              <w:rPr>
                <w:sz w:val="20"/>
                <w:szCs w:val="20"/>
                <w:color w:val="auto"/>
              </w:rPr>
            </w:pPr>
            <w:r>
              <w:rPr>
                <w:rFonts w:ascii="Arial" w:cs="Arial" w:eastAsia="Arial" w:hAnsi="Arial"/>
                <w:sz w:val="14"/>
                <w:szCs w:val="14"/>
                <w:color w:val="auto"/>
              </w:rPr>
              <w:t>Average shares outstanding-diluted</w:t>
            </w: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12,663</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12,559</w:t>
            </w:r>
          </w:p>
        </w:tc>
        <w:tc>
          <w:tcPr>
            <w:tcW w:w="220" w:type="dxa"/>
            <w:vAlign w:val="bottom"/>
            <w:shd w:val="clear" w:color="auto" w:fill="CFF0FC"/>
          </w:tcPr>
          <w:p>
            <w:pPr>
              <w:spacing w:after="0"/>
              <w:rPr>
                <w:sz w:val="14"/>
                <w:szCs w:val="14"/>
                <w:color w:val="auto"/>
              </w:rPr>
            </w:pPr>
          </w:p>
        </w:tc>
        <w:tc>
          <w:tcPr>
            <w:tcW w:w="17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-1285240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-1285240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-1285240</wp:posOffset>
            </wp:positionV>
            <wp:extent cx="1200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-1285240</wp:posOffset>
            </wp:positionV>
            <wp:extent cx="1200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-1285240</wp:posOffset>
            </wp:positionV>
            <wp:extent cx="1200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-864870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-864870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-864870</wp:posOffset>
            </wp:positionV>
            <wp:extent cx="1200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-864870</wp:posOffset>
            </wp:positionV>
            <wp:extent cx="1200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-864870</wp:posOffset>
            </wp:positionV>
            <wp:extent cx="1200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-650875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-650875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-650875</wp:posOffset>
            </wp:positionV>
            <wp:extent cx="120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-650875</wp:posOffset>
            </wp:positionV>
            <wp:extent cx="120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-650875</wp:posOffset>
            </wp:positionV>
            <wp:extent cx="120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(1) Percent of sales columns are for income tax (expense) benefit is calculated as a percent of loss before income taxes.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TWELVE MONTHS ENDED</w:t>
            </w:r>
          </w:p>
        </w:tc>
        <w:tc>
          <w:tcPr>
            <w:tcW w:w="1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3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4"/>
          </w:tcPr>
          <w:p>
            <w:pPr>
              <w:jc w:val="right"/>
              <w:ind w:right="120"/>
              <w:spacing w:after="0" w:line="155" w:lineRule="exact"/>
              <w:rPr>
                <w:sz w:val="20"/>
                <w:szCs w:val="20"/>
                <w:color w:val="auto"/>
              </w:rPr>
            </w:pPr>
            <w:r>
              <w:rPr>
                <w:rFonts w:ascii="Arial" w:cs="Arial" w:eastAsia="Arial" w:hAnsi="Arial"/>
                <w:sz w:val="14"/>
                <w:szCs w:val="14"/>
                <w:color w:val="auto"/>
              </w:rPr>
              <w:t>Amount</w:t>
            </w:r>
          </w:p>
        </w:tc>
        <w:tc>
          <w:tcPr>
            <w:tcW w:w="9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3"/>
          </w:tcPr>
          <w:p>
            <w:pPr>
              <w:ind w:left="640"/>
              <w:spacing w:after="0" w:line="155" w:lineRule="exact"/>
              <w:rPr>
                <w:sz w:val="20"/>
                <w:szCs w:val="20"/>
                <w:color w:val="auto"/>
              </w:rPr>
            </w:pPr>
            <w:r>
              <w:rPr>
                <w:rFonts w:ascii="Arial" w:cs="Arial" w:eastAsia="Arial" w:hAnsi="Arial"/>
                <w:sz w:val="14"/>
                <w:szCs w:val="14"/>
                <w:color w:val="auto"/>
              </w:rPr>
              <w:t>Percent of Sales</w:t>
            </w:r>
          </w:p>
        </w:tc>
        <w:tc>
          <w:tcPr>
            <w:tcW w:w="180" w:type="dxa"/>
            <w:vAlign w:val="bottom"/>
          </w:tcPr>
          <w:p>
            <w:pPr>
              <w:spacing w:after="0"/>
              <w:rPr>
                <w:sz w:val="13"/>
                <w:szCs w:val="13"/>
                <w:color w:val="auto"/>
              </w:rPr>
            </w:pPr>
          </w:p>
        </w:tc>
      </w:tr>
      <w:tr>
        <w:trPr>
          <w:trHeight w:val="308"/>
        </w:trPr>
        <w:tc>
          <w:tcPr>
            <w:tcW w:w="3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May 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268"/>
              <w:spacing w:after="0"/>
              <w:rPr>
                <w:sz w:val="20"/>
                <w:szCs w:val="20"/>
                <w:color w:val="auto"/>
              </w:rPr>
            </w:pPr>
            <w:r>
              <w:rPr>
                <w:rFonts w:ascii="Arial" w:cs="Arial" w:eastAsia="Arial" w:hAnsi="Arial"/>
                <w:sz w:val="14"/>
                <w:szCs w:val="14"/>
                <w:color w:val="auto"/>
              </w:rPr>
              <w:t>April 27,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3"/>
          </w:tcPr>
          <w:p>
            <w:pPr>
              <w:ind w:left="400"/>
              <w:spacing w:after="0"/>
              <w:rPr>
                <w:sz w:val="20"/>
                <w:szCs w:val="20"/>
                <w:color w:val="auto"/>
              </w:rPr>
            </w:pPr>
            <w:r>
              <w:rPr>
                <w:rFonts w:ascii="Arial" w:cs="Arial" w:eastAsia="Arial" w:hAnsi="Arial"/>
                <w:sz w:val="14"/>
                <w:szCs w:val="14"/>
                <w:color w:val="auto"/>
              </w:rPr>
              <w:t>% Over</w:t>
            </w:r>
          </w:p>
        </w:tc>
        <w:tc>
          <w:tcPr>
            <w:tcW w:w="13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May 3,</w:t>
            </w:r>
          </w:p>
        </w:tc>
        <w:tc>
          <w:tcPr>
            <w:tcW w:w="1480" w:type="dxa"/>
            <w:vAlign w:val="bottom"/>
            <w:gridSpan w:val="2"/>
          </w:tcPr>
          <w:p>
            <w:pPr>
              <w:jc w:val="center"/>
              <w:ind w:right="200"/>
              <w:spacing w:after="0"/>
              <w:rPr>
                <w:sz w:val="20"/>
                <w:szCs w:val="20"/>
                <w:color w:val="auto"/>
              </w:rPr>
            </w:pPr>
            <w:r>
              <w:rPr>
                <w:rFonts w:ascii="Arial" w:cs="Arial" w:eastAsia="Arial" w:hAnsi="Arial"/>
                <w:sz w:val="14"/>
                <w:szCs w:val="14"/>
                <w:color w:val="auto"/>
              </w:rPr>
              <w:t>April 27,</w:t>
            </w:r>
          </w:p>
        </w:tc>
      </w:tr>
      <w:tr>
        <w:trPr>
          <w:trHeight w:val="171"/>
        </w:trPr>
        <w:tc>
          <w:tcPr>
            <w:tcW w:w="3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(Under)</w:t>
            </w: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2026</w:t>
            </w:r>
          </w:p>
        </w:tc>
        <w:tc>
          <w:tcPr>
            <w:tcW w:w="300" w:type="dxa"/>
            <w:vAlign w:val="bottom"/>
          </w:tcPr>
          <w:p>
            <w:pPr>
              <w:spacing w:after="0"/>
              <w:rPr>
                <w:sz w:val="14"/>
                <w:szCs w:val="14"/>
                <w:color w:val="auto"/>
              </w:rPr>
            </w:pPr>
          </w:p>
        </w:tc>
        <w:tc>
          <w:tcPr>
            <w:tcW w:w="13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2025</w:t>
            </w:r>
          </w:p>
        </w:tc>
        <w:tc>
          <w:tcPr>
            <w:tcW w:w="180" w:type="dxa"/>
            <w:vAlign w:val="bottom"/>
          </w:tcPr>
          <w:p>
            <w:pPr>
              <w:spacing w:after="0"/>
              <w:rPr>
                <w:sz w:val="14"/>
                <w:szCs w:val="14"/>
                <w:color w:val="auto"/>
              </w:rPr>
            </w:pPr>
          </w:p>
        </w:tc>
      </w:tr>
      <w:tr>
        <w:trPr>
          <w:trHeight w:val="156"/>
        </w:trPr>
        <w:tc>
          <w:tcPr>
            <w:tcW w:w="30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sales</w:t>
            </w:r>
          </w:p>
        </w:tc>
        <w:tc>
          <w:tcPr>
            <w:tcW w:w="100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203,482</w:t>
            </w:r>
          </w:p>
        </w:tc>
        <w:tc>
          <w:tcPr>
            <w:tcW w:w="100" w:type="dxa"/>
            <w:vAlign w:val="bottom"/>
            <w:shd w:val="clear" w:color="auto" w:fill="CFF0FC"/>
          </w:tcPr>
          <w:p>
            <w:pPr>
              <w:spacing w:after="0"/>
              <w:rPr>
                <w:sz w:val="13"/>
                <w:szCs w:val="13"/>
                <w:color w:val="auto"/>
              </w:rPr>
            </w:pPr>
          </w:p>
        </w:tc>
        <w:tc>
          <w:tcPr>
            <w:tcW w:w="340" w:type="dxa"/>
            <w:vAlign w:val="bottom"/>
            <w:gridSpan w:val="2"/>
            <w:shd w:val="clear" w:color="auto" w:fill="CFF0FC"/>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213,237</w:t>
            </w:r>
          </w:p>
        </w:tc>
        <w:tc>
          <w:tcPr>
            <w:tcW w:w="1760" w:type="dxa"/>
            <w:vAlign w:val="bottom"/>
            <w:tcBorders>
              <w:left w:val="single" w:sz="8" w:color="CFF0FC"/>
            </w:tcBorders>
            <w:gridSpan w:val="4"/>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(4.6)%</w:t>
            </w:r>
          </w:p>
        </w:tc>
        <w:tc>
          <w:tcPr>
            <w:tcW w:w="26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b w:val="1"/>
                <w:bCs w:val="1"/>
                <w:color w:val="auto"/>
              </w:rPr>
              <w:t>100.0%</w:t>
            </w:r>
          </w:p>
        </w:tc>
        <w:tc>
          <w:tcPr>
            <w:tcW w:w="148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100.0%</w:t>
            </w:r>
          </w:p>
        </w:tc>
      </w:tr>
      <w:tr>
        <w:trPr>
          <w:trHeight w:val="162"/>
        </w:trPr>
        <w:tc>
          <w:tcPr>
            <w:tcW w:w="3020" w:type="dxa"/>
            <w:vAlign w:val="bottom"/>
          </w:tcPr>
          <w:p>
            <w:pPr>
              <w:spacing w:after="0"/>
              <w:rPr>
                <w:sz w:val="20"/>
                <w:szCs w:val="20"/>
                <w:color w:val="auto"/>
              </w:rPr>
            </w:pPr>
            <w:r>
              <w:rPr>
                <w:rFonts w:ascii="Arial" w:cs="Arial" w:eastAsia="Arial" w:hAnsi="Arial"/>
                <w:sz w:val="14"/>
                <w:szCs w:val="14"/>
                <w:color w:val="auto"/>
              </w:rPr>
              <w:t>Cost of sales</w:t>
            </w: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(178,322)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(188,170)</w:t>
            </w:r>
          </w:p>
        </w:tc>
        <w:tc>
          <w:tcPr>
            <w:tcW w:w="1760" w:type="dxa"/>
            <w:vAlign w:val="bottom"/>
            <w:gridSpan w:val="4"/>
          </w:tcPr>
          <w:p>
            <w:pPr>
              <w:jc w:val="right"/>
              <w:ind w:right="120"/>
              <w:spacing w:after="0"/>
              <w:rPr>
                <w:sz w:val="20"/>
                <w:szCs w:val="20"/>
                <w:color w:val="auto"/>
              </w:rPr>
            </w:pPr>
            <w:r>
              <w:rPr>
                <w:rFonts w:ascii="Arial" w:cs="Arial" w:eastAsia="Arial" w:hAnsi="Arial"/>
                <w:sz w:val="14"/>
                <w:szCs w:val="14"/>
                <w:color w:val="auto"/>
              </w:rPr>
              <w:t>(5.2)%</w:t>
            </w:r>
          </w:p>
        </w:tc>
        <w:tc>
          <w:tcPr>
            <w:tcW w:w="260" w:type="dxa"/>
            <w:vAlign w:val="bottom"/>
          </w:tcPr>
          <w:p>
            <w:pPr>
              <w:spacing w:after="0"/>
              <w:rPr>
                <w:sz w:val="14"/>
                <w:szCs w:val="1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87.6%</w:t>
            </w:r>
          </w:p>
        </w:tc>
        <w:tc>
          <w:tcPr>
            <w:tcW w:w="1480" w:type="dxa"/>
            <w:vAlign w:val="bottom"/>
            <w:gridSpan w:val="2"/>
          </w:tcPr>
          <w:p>
            <w:pPr>
              <w:jc w:val="right"/>
              <w:ind w:right="60"/>
              <w:spacing w:after="0"/>
              <w:rPr>
                <w:sz w:val="20"/>
                <w:szCs w:val="20"/>
                <w:color w:val="auto"/>
              </w:rPr>
            </w:pPr>
            <w:r>
              <w:rPr>
                <w:rFonts w:ascii="Arial" w:cs="Arial" w:eastAsia="Arial" w:hAnsi="Arial"/>
                <w:sz w:val="14"/>
                <w:szCs w:val="14"/>
                <w:color w:val="auto"/>
              </w:rPr>
              <w:t>88.2%</w:t>
            </w:r>
          </w:p>
        </w:tc>
      </w:tr>
      <w:tr>
        <w:trPr>
          <w:trHeight w:val="20"/>
        </w:trPr>
        <w:tc>
          <w:tcPr>
            <w:tcW w:w="3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6"/>
        </w:trPr>
        <w:tc>
          <w:tcPr>
            <w:tcW w:w="30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Gross profit</w:t>
            </w:r>
          </w:p>
        </w:tc>
        <w:tc>
          <w:tcPr>
            <w:tcW w:w="7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25,160</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25,067</w:t>
            </w:r>
          </w:p>
        </w:tc>
        <w:tc>
          <w:tcPr>
            <w:tcW w:w="200" w:type="dxa"/>
            <w:vAlign w:val="bottom"/>
            <w:tcBorders>
              <w:left w:val="single" w:sz="8" w:color="CFF0FC"/>
            </w:tcBorders>
            <w:gridSpan w:val="2"/>
            <w:shd w:val="clear" w:color="auto" w:fill="CFF0FC"/>
          </w:tcPr>
          <w:p>
            <w:pPr>
              <w:spacing w:after="0"/>
              <w:rPr>
                <w:sz w:val="13"/>
                <w:szCs w:val="13"/>
                <w:color w:val="auto"/>
              </w:rPr>
            </w:pPr>
          </w:p>
        </w:tc>
        <w:tc>
          <w:tcPr>
            <w:tcW w:w="156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color w:val="auto"/>
              </w:rPr>
              <w:t>0.4%</w:t>
            </w:r>
          </w:p>
        </w:tc>
        <w:tc>
          <w:tcPr>
            <w:tcW w:w="26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b w:val="1"/>
                <w:bCs w:val="1"/>
                <w:color w:val="auto"/>
              </w:rPr>
              <w:t>12.4%</w:t>
            </w:r>
          </w:p>
        </w:tc>
        <w:tc>
          <w:tcPr>
            <w:tcW w:w="148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11.8%</w:t>
            </w:r>
          </w:p>
        </w:tc>
      </w:tr>
      <w:tr>
        <w:trPr>
          <w:trHeight w:val="153"/>
        </w:trPr>
        <w:tc>
          <w:tcPr>
            <w:tcW w:w="3020" w:type="dxa"/>
            <w:vAlign w:val="bottom"/>
          </w:tcPr>
          <w:p>
            <w:pPr>
              <w:spacing w:after="0" w:line="153" w:lineRule="exact"/>
              <w:rPr>
                <w:sz w:val="20"/>
                <w:szCs w:val="20"/>
                <w:color w:val="auto"/>
              </w:rPr>
            </w:pPr>
            <w:r>
              <w:rPr>
                <w:rFonts w:ascii="Arial" w:cs="Arial" w:eastAsia="Arial" w:hAnsi="Arial"/>
                <w:sz w:val="14"/>
                <w:szCs w:val="14"/>
                <w:color w:val="auto"/>
              </w:rPr>
              <w:t>Selling, general and administrative</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1"/>
        </w:trPr>
        <w:tc>
          <w:tcPr>
            <w:tcW w:w="3020" w:type="dxa"/>
            <w:vAlign w:val="bottom"/>
          </w:tcPr>
          <w:p>
            <w:pPr>
              <w:ind w:left="120"/>
              <w:spacing w:after="0"/>
              <w:rPr>
                <w:sz w:val="20"/>
                <w:szCs w:val="20"/>
                <w:color w:val="auto"/>
              </w:rPr>
            </w:pPr>
            <w:r>
              <w:rPr>
                <w:rFonts w:ascii="Arial" w:cs="Arial" w:eastAsia="Arial" w:hAnsi="Arial"/>
                <w:sz w:val="14"/>
                <w:szCs w:val="14"/>
                <w:color w:val="auto"/>
              </w:rPr>
              <w:t>expenses</w:t>
            </w: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(34,668)</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(35,705)</w:t>
            </w:r>
          </w:p>
        </w:tc>
        <w:tc>
          <w:tcPr>
            <w:tcW w:w="1760" w:type="dxa"/>
            <w:vAlign w:val="bottom"/>
            <w:gridSpan w:val="4"/>
          </w:tcPr>
          <w:p>
            <w:pPr>
              <w:jc w:val="right"/>
              <w:ind w:right="120"/>
              <w:spacing w:after="0"/>
              <w:rPr>
                <w:sz w:val="20"/>
                <w:szCs w:val="20"/>
                <w:color w:val="auto"/>
              </w:rPr>
            </w:pPr>
            <w:r>
              <w:rPr>
                <w:rFonts w:ascii="Arial" w:cs="Arial" w:eastAsia="Arial" w:hAnsi="Arial"/>
                <w:sz w:val="14"/>
                <w:szCs w:val="14"/>
                <w:color w:val="auto"/>
              </w:rPr>
              <w:t>(2.9)%</w:t>
            </w:r>
          </w:p>
        </w:tc>
        <w:tc>
          <w:tcPr>
            <w:tcW w:w="260" w:type="dxa"/>
            <w:vAlign w:val="bottom"/>
          </w:tcPr>
          <w:p>
            <w:pPr>
              <w:spacing w:after="0"/>
              <w:rPr>
                <w:sz w:val="14"/>
                <w:szCs w:val="1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17.0%</w:t>
            </w:r>
          </w:p>
        </w:tc>
        <w:tc>
          <w:tcPr>
            <w:tcW w:w="1480" w:type="dxa"/>
            <w:vAlign w:val="bottom"/>
            <w:gridSpan w:val="2"/>
          </w:tcPr>
          <w:p>
            <w:pPr>
              <w:jc w:val="right"/>
              <w:ind w:right="60"/>
              <w:spacing w:after="0"/>
              <w:rPr>
                <w:sz w:val="20"/>
                <w:szCs w:val="20"/>
                <w:color w:val="auto"/>
              </w:rPr>
            </w:pPr>
            <w:r>
              <w:rPr>
                <w:rFonts w:ascii="Arial" w:cs="Arial" w:eastAsia="Arial" w:hAnsi="Arial"/>
                <w:sz w:val="14"/>
                <w:szCs w:val="14"/>
                <w:color w:val="auto"/>
              </w:rPr>
              <w:t>16.7%</w:t>
            </w:r>
          </w:p>
        </w:tc>
      </w:tr>
      <w:tr>
        <w:trPr>
          <w:trHeight w:val="162"/>
        </w:trPr>
        <w:tc>
          <w:tcPr>
            <w:tcW w:w="3020" w:type="dxa"/>
            <w:vAlign w:val="bottom"/>
            <w:shd w:val="clear" w:color="auto" w:fill="CFF0FC"/>
          </w:tcPr>
          <w:p>
            <w:pPr>
              <w:spacing w:after="0"/>
              <w:rPr>
                <w:sz w:val="20"/>
                <w:szCs w:val="20"/>
                <w:color w:val="auto"/>
              </w:rPr>
            </w:pPr>
            <w:r>
              <w:rPr>
                <w:rFonts w:ascii="Arial" w:cs="Arial" w:eastAsia="Arial" w:hAnsi="Arial"/>
                <w:sz w:val="14"/>
                <w:szCs w:val="14"/>
                <w:color w:val="auto"/>
              </w:rPr>
              <w:t>Restructuring credit/(expense)</w:t>
            </w:r>
          </w:p>
        </w:tc>
        <w:tc>
          <w:tcPr>
            <w:tcW w:w="760" w:type="dxa"/>
            <w:vAlign w:val="bottom"/>
            <w:shd w:val="clear" w:color="auto" w:fill="CFF0FC"/>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b w:val="1"/>
                <w:bCs w:val="1"/>
                <w:color w:val="auto"/>
              </w:rPr>
              <w:t>2,323</w:t>
            </w:r>
          </w:p>
        </w:tc>
        <w:tc>
          <w:tcPr>
            <w:tcW w:w="100" w:type="dxa"/>
            <w:vAlign w:val="bottom"/>
            <w:shd w:val="clear" w:color="auto" w:fill="CCECFF"/>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(7,739)</w:t>
            </w:r>
          </w:p>
        </w:tc>
        <w:tc>
          <w:tcPr>
            <w:tcW w:w="100" w:type="dxa"/>
            <w:vAlign w:val="bottom"/>
            <w:tcBorders>
              <w:left w:val="single" w:sz="8" w:color="CCECFF"/>
            </w:tcBorders>
            <w:shd w:val="clear" w:color="auto" w:fill="CCECFF"/>
          </w:tcPr>
          <w:p>
            <w:pPr>
              <w:spacing w:after="0"/>
              <w:rPr>
                <w:sz w:val="14"/>
                <w:szCs w:val="14"/>
                <w:color w:val="auto"/>
              </w:rPr>
            </w:pPr>
          </w:p>
        </w:tc>
        <w:tc>
          <w:tcPr>
            <w:tcW w:w="1660" w:type="dxa"/>
            <w:vAlign w:val="bottom"/>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(130.0)%</w:t>
            </w:r>
          </w:p>
        </w:tc>
        <w:tc>
          <w:tcPr>
            <w:tcW w:w="26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b w:val="1"/>
                <w:bCs w:val="1"/>
                <w:color w:val="auto"/>
              </w:rPr>
              <w:t>1.1%</w:t>
            </w: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(3.6)%</w:t>
            </w:r>
          </w:p>
        </w:tc>
      </w:tr>
      <w:tr>
        <w:trPr>
          <w:trHeight w:val="20"/>
        </w:trPr>
        <w:tc>
          <w:tcPr>
            <w:tcW w:w="302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Borders>
              <w:left w:val="single" w:sz="8" w:color="CCECFF"/>
            </w:tcBorders>
            <w:shd w:val="clear" w:color="auto" w:fill="CCECFF"/>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155"/>
        </w:trPr>
        <w:tc>
          <w:tcPr>
            <w:tcW w:w="3020" w:type="dxa"/>
            <w:vAlign w:val="bottom"/>
          </w:tcPr>
          <w:p>
            <w:pPr>
              <w:spacing w:after="0" w:line="155" w:lineRule="exact"/>
              <w:rPr>
                <w:sz w:val="20"/>
                <w:szCs w:val="20"/>
                <w:color w:val="auto"/>
              </w:rPr>
            </w:pPr>
            <w:r>
              <w:rPr>
                <w:rFonts w:ascii="Arial" w:cs="Arial" w:eastAsia="Arial" w:hAnsi="Arial"/>
                <w:sz w:val="14"/>
                <w:szCs w:val="14"/>
                <w:color w:val="auto"/>
              </w:rPr>
              <w:t>Loss from operations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(7,185)</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(18,377)</w:t>
            </w:r>
          </w:p>
        </w:tc>
        <w:tc>
          <w:tcPr>
            <w:tcW w:w="100" w:type="dxa"/>
            <w:vAlign w:val="bottom"/>
          </w:tcPr>
          <w:p>
            <w:pPr>
              <w:spacing w:after="0"/>
              <w:rPr>
                <w:sz w:val="13"/>
                <w:szCs w:val="13"/>
                <w:color w:val="auto"/>
              </w:rPr>
            </w:pPr>
          </w:p>
        </w:tc>
        <w:tc>
          <w:tcPr>
            <w:tcW w:w="1660" w:type="dxa"/>
            <w:vAlign w:val="bottom"/>
            <w:gridSpan w:val="3"/>
          </w:tcPr>
          <w:p>
            <w:pPr>
              <w:jc w:val="right"/>
              <w:ind w:right="120"/>
              <w:spacing w:after="0" w:line="155" w:lineRule="exact"/>
              <w:rPr>
                <w:sz w:val="20"/>
                <w:szCs w:val="20"/>
                <w:color w:val="auto"/>
              </w:rPr>
            </w:pPr>
            <w:r>
              <w:rPr>
                <w:rFonts w:ascii="Arial" w:cs="Arial" w:eastAsia="Arial" w:hAnsi="Arial"/>
                <w:sz w:val="14"/>
                <w:szCs w:val="14"/>
                <w:color w:val="auto"/>
              </w:rPr>
              <w:t>(60.9)%</w:t>
            </w:r>
          </w:p>
        </w:tc>
        <w:tc>
          <w:tcPr>
            <w:tcW w:w="260" w:type="dxa"/>
            <w:vAlign w:val="bottom"/>
          </w:tcPr>
          <w:p>
            <w:pPr>
              <w:spacing w:after="0"/>
              <w:rPr>
                <w:sz w:val="13"/>
                <w:szCs w:val="13"/>
                <w:color w:val="auto"/>
              </w:rPr>
            </w:pPr>
          </w:p>
        </w:tc>
        <w:tc>
          <w:tcPr>
            <w:tcW w:w="130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(3.5)%</w:t>
            </w:r>
          </w:p>
        </w:tc>
        <w:tc>
          <w:tcPr>
            <w:tcW w:w="14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(8.6)%</w:t>
            </w:r>
          </w:p>
        </w:tc>
      </w:tr>
      <w:tr>
        <w:trPr>
          <w:trHeight w:val="162"/>
        </w:trPr>
        <w:tc>
          <w:tcPr>
            <w:tcW w:w="3020" w:type="dxa"/>
            <w:vAlign w:val="bottom"/>
            <w:shd w:val="clear" w:color="auto" w:fill="CFF0FC"/>
          </w:tcPr>
          <w:p>
            <w:pPr>
              <w:spacing w:after="0"/>
              <w:rPr>
                <w:sz w:val="20"/>
                <w:szCs w:val="20"/>
                <w:color w:val="auto"/>
              </w:rPr>
            </w:pPr>
            <w:r>
              <w:rPr>
                <w:rFonts w:ascii="Arial" w:cs="Arial" w:eastAsia="Arial" w:hAnsi="Arial"/>
                <w:sz w:val="14"/>
                <w:szCs w:val="14"/>
                <w:color w:val="auto"/>
              </w:rPr>
              <w:t>Interest expense</w:t>
            </w:r>
          </w:p>
        </w:tc>
        <w:tc>
          <w:tcPr>
            <w:tcW w:w="7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b w:val="1"/>
                <w:bCs w:val="1"/>
                <w:color w:val="auto"/>
              </w:rPr>
              <w:t>(759)</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(231)</w:t>
            </w:r>
          </w:p>
        </w:tc>
        <w:tc>
          <w:tcPr>
            <w:tcW w:w="1760" w:type="dxa"/>
            <w:vAlign w:val="bottom"/>
            <w:tcBorders>
              <w:left w:val="single" w:sz="8" w:color="CFF0FC"/>
            </w:tcBorders>
            <w:gridSpan w:val="4"/>
            <w:shd w:val="clear" w:color="auto" w:fill="CFF0FC"/>
          </w:tcPr>
          <w:p>
            <w:pPr>
              <w:jc w:val="right"/>
              <w:ind w:right="160"/>
              <w:spacing w:after="0"/>
              <w:rPr>
                <w:sz w:val="20"/>
                <w:szCs w:val="20"/>
                <w:color w:val="auto"/>
              </w:rPr>
            </w:pPr>
            <w:r>
              <w:rPr>
                <w:rFonts w:ascii="Arial" w:cs="Arial" w:eastAsia="Arial" w:hAnsi="Arial"/>
                <w:sz w:val="14"/>
                <w:szCs w:val="14"/>
                <w:color w:val="auto"/>
              </w:rPr>
              <w:t>228.6%</w:t>
            </w:r>
          </w:p>
        </w:tc>
        <w:tc>
          <w:tcPr>
            <w:tcW w:w="26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b w:val="1"/>
                <w:bCs w:val="1"/>
                <w:color w:val="auto"/>
              </w:rPr>
              <w:t>0.4%</w:t>
            </w: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0.1%</w:t>
            </w:r>
          </w:p>
        </w:tc>
      </w:tr>
      <w:tr>
        <w:trPr>
          <w:trHeight w:val="162"/>
        </w:trPr>
        <w:tc>
          <w:tcPr>
            <w:tcW w:w="3020" w:type="dxa"/>
            <w:vAlign w:val="bottom"/>
          </w:tcPr>
          <w:p>
            <w:pPr>
              <w:spacing w:after="0"/>
              <w:rPr>
                <w:sz w:val="20"/>
                <w:szCs w:val="20"/>
                <w:color w:val="auto"/>
              </w:rPr>
            </w:pPr>
            <w:r>
              <w:rPr>
                <w:rFonts w:ascii="Arial" w:cs="Arial" w:eastAsia="Arial" w:hAnsi="Arial"/>
                <w:sz w:val="14"/>
                <w:szCs w:val="14"/>
                <w:color w:val="auto"/>
              </w:rPr>
              <w:t>Interest income</w:t>
            </w: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1,073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915</w:t>
            </w:r>
          </w:p>
        </w:tc>
        <w:tc>
          <w:tcPr>
            <w:tcW w:w="1760" w:type="dxa"/>
            <w:vAlign w:val="bottom"/>
            <w:gridSpan w:val="4"/>
          </w:tcPr>
          <w:p>
            <w:pPr>
              <w:jc w:val="right"/>
              <w:ind w:right="160"/>
              <w:spacing w:after="0"/>
              <w:rPr>
                <w:sz w:val="20"/>
                <w:szCs w:val="20"/>
                <w:color w:val="auto"/>
              </w:rPr>
            </w:pPr>
            <w:r>
              <w:rPr>
                <w:rFonts w:ascii="Arial" w:cs="Arial" w:eastAsia="Arial" w:hAnsi="Arial"/>
                <w:sz w:val="14"/>
                <w:szCs w:val="14"/>
                <w:color w:val="auto"/>
              </w:rPr>
              <w:t>17.3%</w:t>
            </w:r>
          </w:p>
        </w:tc>
        <w:tc>
          <w:tcPr>
            <w:tcW w:w="260" w:type="dxa"/>
            <w:vAlign w:val="bottom"/>
          </w:tcPr>
          <w:p>
            <w:pPr>
              <w:spacing w:after="0"/>
              <w:rPr>
                <w:sz w:val="14"/>
                <w:szCs w:val="1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0.5%</w:t>
            </w:r>
          </w:p>
        </w:tc>
        <w:tc>
          <w:tcPr>
            <w:tcW w:w="1480" w:type="dxa"/>
            <w:vAlign w:val="bottom"/>
            <w:gridSpan w:val="2"/>
          </w:tcPr>
          <w:p>
            <w:pPr>
              <w:jc w:val="right"/>
              <w:ind w:right="60"/>
              <w:spacing w:after="0"/>
              <w:rPr>
                <w:sz w:val="20"/>
                <w:szCs w:val="20"/>
                <w:color w:val="auto"/>
              </w:rPr>
            </w:pPr>
            <w:r>
              <w:rPr>
                <w:rFonts w:ascii="Arial" w:cs="Arial" w:eastAsia="Arial" w:hAnsi="Arial"/>
                <w:sz w:val="14"/>
                <w:szCs w:val="14"/>
                <w:color w:val="auto"/>
              </w:rPr>
              <w:t>0.4%</w:t>
            </w:r>
          </w:p>
        </w:tc>
      </w:tr>
      <w:tr>
        <w:trPr>
          <w:trHeight w:val="162"/>
        </w:trPr>
        <w:tc>
          <w:tcPr>
            <w:tcW w:w="3020" w:type="dxa"/>
            <w:vAlign w:val="bottom"/>
            <w:shd w:val="clear" w:color="auto" w:fill="CFF0FC"/>
          </w:tcPr>
          <w:p>
            <w:pPr>
              <w:spacing w:after="0"/>
              <w:rPr>
                <w:sz w:val="20"/>
                <w:szCs w:val="20"/>
                <w:color w:val="auto"/>
              </w:rPr>
            </w:pPr>
            <w:r>
              <w:rPr>
                <w:rFonts w:ascii="Arial" w:cs="Arial" w:eastAsia="Arial" w:hAnsi="Arial"/>
                <w:sz w:val="14"/>
                <w:szCs w:val="14"/>
                <w:color w:val="auto"/>
              </w:rPr>
              <w:t>Other expense (1)</w:t>
            </w:r>
          </w:p>
        </w:tc>
        <w:tc>
          <w:tcPr>
            <w:tcW w:w="7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b w:val="1"/>
                <w:bCs w:val="1"/>
                <w:color w:val="auto"/>
              </w:rPr>
              <w:t>(1,414)</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(1,018)</w:t>
            </w:r>
          </w:p>
        </w:tc>
        <w:tc>
          <w:tcPr>
            <w:tcW w:w="1760" w:type="dxa"/>
            <w:vAlign w:val="bottom"/>
            <w:tcBorders>
              <w:left w:val="single" w:sz="8" w:color="CFF0FC"/>
            </w:tcBorders>
            <w:gridSpan w:val="4"/>
            <w:shd w:val="clear" w:color="auto" w:fill="CFF0FC"/>
          </w:tcPr>
          <w:p>
            <w:pPr>
              <w:jc w:val="right"/>
              <w:ind w:right="160"/>
              <w:spacing w:after="0"/>
              <w:rPr>
                <w:sz w:val="20"/>
                <w:szCs w:val="20"/>
                <w:color w:val="auto"/>
              </w:rPr>
            </w:pPr>
            <w:r>
              <w:rPr>
                <w:rFonts w:ascii="Arial" w:cs="Arial" w:eastAsia="Arial" w:hAnsi="Arial"/>
                <w:sz w:val="14"/>
                <w:szCs w:val="14"/>
                <w:color w:val="auto"/>
              </w:rPr>
              <w:t>38.9%</w:t>
            </w:r>
          </w:p>
        </w:tc>
        <w:tc>
          <w:tcPr>
            <w:tcW w:w="26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b w:val="1"/>
                <w:bCs w:val="1"/>
                <w:color w:val="auto"/>
              </w:rPr>
              <w:t>0.7%</w:t>
            </w: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0.5%</w:t>
            </w:r>
          </w:p>
        </w:tc>
      </w:tr>
      <w:tr>
        <w:trPr>
          <w:trHeight w:val="20"/>
        </w:trPr>
        <w:tc>
          <w:tcPr>
            <w:tcW w:w="302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Borders>
              <w:left w:val="single" w:sz="8" w:color="CFF0FC"/>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155"/>
        </w:trPr>
        <w:tc>
          <w:tcPr>
            <w:tcW w:w="3020" w:type="dxa"/>
            <w:vAlign w:val="bottom"/>
          </w:tcPr>
          <w:p>
            <w:pPr>
              <w:spacing w:after="0" w:line="155" w:lineRule="exact"/>
              <w:rPr>
                <w:sz w:val="20"/>
                <w:szCs w:val="20"/>
                <w:color w:val="auto"/>
              </w:rPr>
            </w:pPr>
            <w:r>
              <w:rPr>
                <w:rFonts w:ascii="Arial" w:cs="Arial" w:eastAsia="Arial" w:hAnsi="Arial"/>
                <w:sz w:val="14"/>
                <w:szCs w:val="14"/>
                <w:color w:val="auto"/>
              </w:rPr>
              <w:t>Loss before income taxes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(8,285)</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(18,711)</w:t>
            </w:r>
          </w:p>
        </w:tc>
        <w:tc>
          <w:tcPr>
            <w:tcW w:w="1760" w:type="dxa"/>
            <w:vAlign w:val="bottom"/>
            <w:gridSpan w:val="4"/>
          </w:tcPr>
          <w:p>
            <w:pPr>
              <w:jc w:val="right"/>
              <w:ind w:right="120"/>
              <w:spacing w:after="0" w:line="155" w:lineRule="exact"/>
              <w:rPr>
                <w:sz w:val="20"/>
                <w:szCs w:val="20"/>
                <w:color w:val="auto"/>
              </w:rPr>
            </w:pPr>
            <w:r>
              <w:rPr>
                <w:rFonts w:ascii="Arial" w:cs="Arial" w:eastAsia="Arial" w:hAnsi="Arial"/>
                <w:sz w:val="14"/>
                <w:szCs w:val="14"/>
                <w:color w:val="auto"/>
              </w:rPr>
              <w:t>(55.7)%</w:t>
            </w:r>
          </w:p>
        </w:tc>
        <w:tc>
          <w:tcPr>
            <w:tcW w:w="260" w:type="dxa"/>
            <w:vAlign w:val="bottom"/>
          </w:tcPr>
          <w:p>
            <w:pPr>
              <w:spacing w:after="0"/>
              <w:rPr>
                <w:sz w:val="13"/>
                <w:szCs w:val="13"/>
                <w:color w:val="auto"/>
              </w:rPr>
            </w:pPr>
          </w:p>
        </w:tc>
        <w:tc>
          <w:tcPr>
            <w:tcW w:w="130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(4.1)%</w:t>
            </w:r>
          </w:p>
        </w:tc>
        <w:tc>
          <w:tcPr>
            <w:tcW w:w="14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(8.8)%</w:t>
            </w:r>
          </w:p>
        </w:tc>
      </w:tr>
      <w:tr>
        <w:trPr>
          <w:trHeight w:val="162"/>
        </w:trPr>
        <w:tc>
          <w:tcPr>
            <w:tcW w:w="3020" w:type="dxa"/>
            <w:vAlign w:val="bottom"/>
            <w:shd w:val="clear" w:color="auto" w:fill="CFF0FC"/>
          </w:tcPr>
          <w:p>
            <w:pPr>
              <w:spacing w:after="0"/>
              <w:rPr>
                <w:sz w:val="20"/>
                <w:szCs w:val="20"/>
                <w:color w:val="auto"/>
              </w:rPr>
            </w:pPr>
            <w:r>
              <w:rPr>
                <w:rFonts w:ascii="Arial" w:cs="Arial" w:eastAsia="Arial" w:hAnsi="Arial"/>
                <w:sz w:val="14"/>
                <w:szCs w:val="14"/>
                <w:color w:val="auto"/>
              </w:rPr>
              <w:t>Income tax expense (2)</w:t>
            </w:r>
          </w:p>
        </w:tc>
        <w:tc>
          <w:tcPr>
            <w:tcW w:w="7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b w:val="1"/>
                <w:bCs w:val="1"/>
                <w:color w:val="auto"/>
              </w:rPr>
              <w:t>(1,926)</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(392)</w:t>
            </w:r>
          </w:p>
        </w:tc>
        <w:tc>
          <w:tcPr>
            <w:tcW w:w="1760" w:type="dxa"/>
            <w:vAlign w:val="bottom"/>
            <w:tcBorders>
              <w:left w:val="single" w:sz="8" w:color="CFF0FC"/>
            </w:tcBorders>
            <w:gridSpan w:val="4"/>
            <w:shd w:val="clear" w:color="auto" w:fill="CFF0FC"/>
          </w:tcPr>
          <w:p>
            <w:pPr>
              <w:jc w:val="right"/>
              <w:ind w:right="160"/>
              <w:spacing w:after="0"/>
              <w:rPr>
                <w:sz w:val="20"/>
                <w:szCs w:val="20"/>
                <w:color w:val="auto"/>
              </w:rPr>
            </w:pPr>
            <w:r>
              <w:rPr>
                <w:rFonts w:ascii="Arial" w:cs="Arial" w:eastAsia="Arial" w:hAnsi="Arial"/>
                <w:sz w:val="14"/>
                <w:szCs w:val="14"/>
                <w:color w:val="auto"/>
              </w:rPr>
              <w:t>391.3%</w:t>
            </w:r>
          </w:p>
        </w:tc>
        <w:tc>
          <w:tcPr>
            <w:tcW w:w="26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b w:val="1"/>
                <w:bCs w:val="1"/>
                <w:color w:val="auto"/>
              </w:rPr>
              <w:t>(23.2)%</w:t>
            </w: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(2.1)%</w:t>
            </w:r>
          </w:p>
        </w:tc>
      </w:tr>
      <w:tr>
        <w:trPr>
          <w:trHeight w:val="20"/>
        </w:trPr>
        <w:tc>
          <w:tcPr>
            <w:tcW w:w="302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Borders>
              <w:left w:val="single" w:sz="8" w:color="CFF0FC"/>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155"/>
        </w:trPr>
        <w:tc>
          <w:tcPr>
            <w:tcW w:w="3020" w:type="dxa"/>
            <w:vAlign w:val="bottom"/>
          </w:tcPr>
          <w:p>
            <w:pPr>
              <w:spacing w:after="0" w:line="155" w:lineRule="exact"/>
              <w:rPr>
                <w:sz w:val="20"/>
                <w:szCs w:val="20"/>
                <w:color w:val="auto"/>
              </w:rPr>
            </w:pPr>
            <w:r>
              <w:rPr>
                <w:rFonts w:ascii="Arial" w:cs="Arial" w:eastAsia="Arial" w:hAnsi="Arial"/>
                <w:sz w:val="14"/>
                <w:szCs w:val="14"/>
                <w:color w:val="auto"/>
              </w:rPr>
              <w:t>Net loss</w:t>
            </w:r>
          </w:p>
        </w:tc>
        <w:tc>
          <w:tcPr>
            <w:tcW w:w="100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(10,211)</w:t>
            </w:r>
          </w:p>
        </w:tc>
        <w:tc>
          <w:tcPr>
            <w:tcW w:w="3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(19,103)</w:t>
            </w:r>
          </w:p>
        </w:tc>
        <w:tc>
          <w:tcPr>
            <w:tcW w:w="1760" w:type="dxa"/>
            <w:vAlign w:val="bottom"/>
            <w:gridSpan w:val="4"/>
          </w:tcPr>
          <w:p>
            <w:pPr>
              <w:jc w:val="right"/>
              <w:ind w:right="120"/>
              <w:spacing w:after="0" w:line="155" w:lineRule="exact"/>
              <w:rPr>
                <w:sz w:val="20"/>
                <w:szCs w:val="20"/>
                <w:color w:val="auto"/>
              </w:rPr>
            </w:pPr>
            <w:r>
              <w:rPr>
                <w:rFonts w:ascii="Arial" w:cs="Arial" w:eastAsia="Arial" w:hAnsi="Arial"/>
                <w:sz w:val="14"/>
                <w:szCs w:val="14"/>
                <w:color w:val="auto"/>
              </w:rPr>
              <w:t>(46.5)%</w:t>
            </w:r>
          </w:p>
        </w:tc>
        <w:tc>
          <w:tcPr>
            <w:tcW w:w="260" w:type="dxa"/>
            <w:vAlign w:val="bottom"/>
          </w:tcPr>
          <w:p>
            <w:pPr>
              <w:spacing w:after="0"/>
              <w:rPr>
                <w:sz w:val="13"/>
                <w:szCs w:val="13"/>
                <w:color w:val="auto"/>
              </w:rPr>
            </w:pPr>
          </w:p>
        </w:tc>
        <w:tc>
          <w:tcPr>
            <w:tcW w:w="130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(5.0)%</w:t>
            </w:r>
          </w:p>
        </w:tc>
        <w:tc>
          <w:tcPr>
            <w:tcW w:w="14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(9.0)%</w:t>
            </w:r>
          </w:p>
        </w:tc>
      </w:tr>
      <w:tr>
        <w:trPr>
          <w:trHeight w:val="20"/>
        </w:trPr>
        <w:tc>
          <w:tcPr>
            <w:tcW w:w="3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3"/>
        </w:trPr>
        <w:tc>
          <w:tcPr>
            <w:tcW w:w="30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r>
      <w:tr>
        <w:trPr>
          <w:trHeight w:val="162"/>
        </w:trPr>
        <w:tc>
          <w:tcPr>
            <w:tcW w:w="3020" w:type="dxa"/>
            <w:vAlign w:val="bottom"/>
          </w:tcPr>
          <w:p>
            <w:pPr>
              <w:spacing w:after="0"/>
              <w:rPr>
                <w:sz w:val="20"/>
                <w:szCs w:val="20"/>
                <w:color w:val="auto"/>
              </w:rPr>
            </w:pPr>
            <w:r>
              <w:rPr>
                <w:rFonts w:ascii="Arial" w:cs="Arial" w:eastAsia="Arial" w:hAnsi="Arial"/>
                <w:sz w:val="14"/>
                <w:szCs w:val="14"/>
                <w:color w:val="auto"/>
              </w:rPr>
              <w:t>Net loss per share - basic</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(0.81)</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(1.53)</w:t>
            </w:r>
          </w:p>
        </w:tc>
        <w:tc>
          <w:tcPr>
            <w:tcW w:w="1760" w:type="dxa"/>
            <w:vAlign w:val="bottom"/>
            <w:gridSpan w:val="4"/>
          </w:tcPr>
          <w:p>
            <w:pPr>
              <w:jc w:val="right"/>
              <w:ind w:right="120"/>
              <w:spacing w:after="0"/>
              <w:rPr>
                <w:sz w:val="20"/>
                <w:szCs w:val="20"/>
                <w:color w:val="auto"/>
              </w:rPr>
            </w:pPr>
            <w:r>
              <w:rPr>
                <w:rFonts w:ascii="Arial" w:cs="Arial" w:eastAsia="Arial" w:hAnsi="Arial"/>
                <w:sz w:val="14"/>
                <w:szCs w:val="14"/>
                <w:color w:val="auto"/>
              </w:rPr>
              <w:t>(47.1)%</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2"/>
        </w:trPr>
        <w:tc>
          <w:tcPr>
            <w:tcW w:w="3020" w:type="dxa"/>
            <w:vAlign w:val="bottom"/>
            <w:shd w:val="clear" w:color="auto" w:fill="CFF0FC"/>
          </w:tcPr>
          <w:p>
            <w:pPr>
              <w:spacing w:after="0"/>
              <w:rPr>
                <w:sz w:val="20"/>
                <w:szCs w:val="20"/>
                <w:color w:val="auto"/>
              </w:rPr>
            </w:pPr>
            <w:r>
              <w:rPr>
                <w:rFonts w:ascii="Arial" w:cs="Arial" w:eastAsia="Arial" w:hAnsi="Arial"/>
                <w:sz w:val="14"/>
                <w:szCs w:val="14"/>
                <w:color w:val="auto"/>
              </w:rPr>
              <w:t>Net loss per share - diluted</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b w:val="1"/>
                <w:bCs w:val="1"/>
                <w:color w:val="auto"/>
              </w:rPr>
              <w:t>(0.81)</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(1.53)</w:t>
            </w:r>
          </w:p>
        </w:tc>
        <w:tc>
          <w:tcPr>
            <w:tcW w:w="1760" w:type="dxa"/>
            <w:vAlign w:val="bottom"/>
            <w:tcBorders>
              <w:left w:val="single" w:sz="8" w:color="CFF0FC"/>
            </w:tcBorders>
            <w:gridSpan w:val="4"/>
            <w:shd w:val="clear" w:color="auto" w:fill="CFF0FC"/>
          </w:tcPr>
          <w:p>
            <w:pPr>
              <w:jc w:val="right"/>
              <w:ind w:right="120"/>
              <w:spacing w:after="0"/>
              <w:rPr>
                <w:sz w:val="20"/>
                <w:szCs w:val="20"/>
                <w:color w:val="auto"/>
              </w:rPr>
            </w:pPr>
            <w:r>
              <w:rPr>
                <w:rFonts w:ascii="Arial" w:cs="Arial" w:eastAsia="Arial" w:hAnsi="Arial"/>
                <w:sz w:val="14"/>
                <w:szCs w:val="14"/>
                <w:color w:val="auto"/>
              </w:rPr>
              <w:t>(47.1)%</w:t>
            </w:r>
          </w:p>
        </w:tc>
        <w:tc>
          <w:tcPr>
            <w:tcW w:w="2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r>
      <w:tr>
        <w:trPr>
          <w:trHeight w:val="162"/>
        </w:trPr>
        <w:tc>
          <w:tcPr>
            <w:tcW w:w="3020" w:type="dxa"/>
            <w:vAlign w:val="bottom"/>
          </w:tcPr>
          <w:p>
            <w:pPr>
              <w:spacing w:after="0"/>
              <w:rPr>
                <w:sz w:val="20"/>
                <w:szCs w:val="20"/>
                <w:color w:val="auto"/>
              </w:rPr>
            </w:pPr>
            <w:r>
              <w:rPr>
                <w:rFonts w:ascii="Arial" w:cs="Arial" w:eastAsia="Arial" w:hAnsi="Arial"/>
                <w:sz w:val="14"/>
                <w:szCs w:val="14"/>
                <w:color w:val="auto"/>
              </w:rPr>
              <w:t>Average shares outstanding-basic</w:t>
            </w: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12,630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12,525</w:t>
            </w:r>
          </w:p>
        </w:tc>
        <w:tc>
          <w:tcPr>
            <w:tcW w:w="1760" w:type="dxa"/>
            <w:vAlign w:val="bottom"/>
            <w:gridSpan w:val="4"/>
          </w:tcPr>
          <w:p>
            <w:pPr>
              <w:jc w:val="right"/>
              <w:ind w:right="160"/>
              <w:spacing w:after="0"/>
              <w:rPr>
                <w:sz w:val="20"/>
                <w:szCs w:val="20"/>
                <w:color w:val="auto"/>
              </w:rPr>
            </w:pPr>
            <w:r>
              <w:rPr>
                <w:rFonts w:ascii="Arial" w:cs="Arial" w:eastAsia="Arial" w:hAnsi="Arial"/>
                <w:sz w:val="14"/>
                <w:szCs w:val="14"/>
                <w:color w:val="auto"/>
              </w:rPr>
              <w:t>0.8%</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2"/>
        </w:trPr>
        <w:tc>
          <w:tcPr>
            <w:tcW w:w="3020" w:type="dxa"/>
            <w:vAlign w:val="bottom"/>
            <w:shd w:val="clear" w:color="auto" w:fill="CFF0FC"/>
          </w:tcPr>
          <w:p>
            <w:pPr>
              <w:spacing w:after="0"/>
              <w:rPr>
                <w:sz w:val="20"/>
                <w:szCs w:val="20"/>
                <w:color w:val="auto"/>
              </w:rPr>
            </w:pPr>
            <w:r>
              <w:rPr>
                <w:rFonts w:ascii="Arial" w:cs="Arial" w:eastAsia="Arial" w:hAnsi="Arial"/>
                <w:sz w:val="14"/>
                <w:szCs w:val="14"/>
                <w:color w:val="auto"/>
              </w:rPr>
              <w:t>Average shares outstanding-diluted</w:t>
            </w:r>
          </w:p>
        </w:tc>
        <w:tc>
          <w:tcPr>
            <w:tcW w:w="7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12,630</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12,525</w:t>
            </w:r>
          </w:p>
        </w:tc>
        <w:tc>
          <w:tcPr>
            <w:tcW w:w="1760" w:type="dxa"/>
            <w:vAlign w:val="bottom"/>
            <w:tcBorders>
              <w:left w:val="single" w:sz="8" w:color="CFF0FC"/>
            </w:tcBorders>
            <w:gridSpan w:val="4"/>
            <w:shd w:val="clear" w:color="auto" w:fill="CFF0FC"/>
          </w:tcPr>
          <w:p>
            <w:pPr>
              <w:jc w:val="right"/>
              <w:ind w:right="160"/>
              <w:spacing w:after="0"/>
              <w:rPr>
                <w:sz w:val="20"/>
                <w:szCs w:val="20"/>
                <w:color w:val="auto"/>
              </w:rPr>
            </w:pPr>
            <w:r>
              <w:rPr>
                <w:rFonts w:ascii="Arial" w:cs="Arial" w:eastAsia="Arial" w:hAnsi="Arial"/>
                <w:sz w:val="14"/>
                <w:szCs w:val="14"/>
                <w:color w:val="auto"/>
              </w:rPr>
              <w:t>0.8%</w:t>
            </w:r>
          </w:p>
        </w:tc>
        <w:tc>
          <w:tcPr>
            <w:tcW w:w="2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-1285240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-1285240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-1285240</wp:posOffset>
            </wp:positionV>
            <wp:extent cx="120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-1285240</wp:posOffset>
            </wp:positionV>
            <wp:extent cx="120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-1285240</wp:posOffset>
            </wp:positionV>
            <wp:extent cx="120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-864870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-864870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-864870</wp:posOffset>
            </wp:positionV>
            <wp:extent cx="1200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-864870</wp:posOffset>
            </wp:positionV>
            <wp:extent cx="1200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-864870</wp:posOffset>
            </wp:positionV>
            <wp:extent cx="1200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-650875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-650875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-650875</wp:posOffset>
            </wp:positionV>
            <wp:extent cx="1200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-650875</wp:posOffset>
            </wp:positionV>
            <wp:extent cx="12001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-650875</wp:posOffset>
            </wp:positionV>
            <wp:extent cx="12001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4" w:lineRule="exact"/>
        <w:rPr>
          <w:sz w:val="20"/>
          <w:szCs w:val="20"/>
          <w:color w:val="auto"/>
        </w:rPr>
      </w:pPr>
    </w:p>
    <w:p>
      <w:pPr>
        <w:ind w:left="220" w:hanging="212"/>
        <w:spacing w:after="0"/>
        <w:tabs>
          <w:tab w:leader="none" w:pos="2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Other expense for the twelve months ended May 3, 2026, includes $1.0 million received in cash proceeds in connection with the resolution of a legal matter.</w:t>
      </w:r>
    </w:p>
    <w:p>
      <w:pPr>
        <w:spacing w:after="0" w:line="163" w:lineRule="exact"/>
        <w:rPr>
          <w:rFonts w:ascii="Arial" w:cs="Arial" w:eastAsia="Arial" w:hAnsi="Arial"/>
          <w:sz w:val="14"/>
          <w:szCs w:val="14"/>
          <w:color w:val="auto"/>
        </w:rPr>
      </w:pPr>
    </w:p>
    <w:p>
      <w:pPr>
        <w:ind w:left="220" w:hanging="212"/>
        <w:spacing w:after="0"/>
        <w:tabs>
          <w:tab w:leader="none" w:pos="2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Percent of sales columns are for income tax expense is calculated as a percent of loss before income taxes.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CULP Announces Results for Fourth Quarter Fiscal 2026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rPr>
          <w:sz w:val="20"/>
          <w:szCs w:val="20"/>
          <w:color w:val="auto"/>
        </w:rPr>
      </w:pPr>
      <w:r>
        <w:rPr>
          <w:rFonts w:ascii="Arial" w:cs="Arial" w:eastAsia="Arial" w:hAnsi="Arial"/>
          <w:sz w:val="18"/>
          <w:szCs w:val="18"/>
          <w:color w:val="auto"/>
        </w:rPr>
        <w:t>July 1, 2026</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CULP,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line="237" w:lineRule="auto"/>
        <w:rPr>
          <w:sz w:val="20"/>
          <w:szCs w:val="20"/>
          <w:color w:val="auto"/>
        </w:rPr>
      </w:pPr>
      <w:r>
        <w:rPr>
          <w:rFonts w:ascii="Arial" w:cs="Arial" w:eastAsia="Arial" w:hAnsi="Arial"/>
          <w:sz w:val="18"/>
          <w:szCs w:val="18"/>
          <w:b w:val="1"/>
          <w:bCs w:val="1"/>
          <w:color w:val="auto"/>
        </w:rPr>
        <w:t>MAY 3, 2026, AND APRIL 27, 2025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ind w:left="1000"/>
              <w:spacing w:after="0"/>
              <w:rPr>
                <w:sz w:val="20"/>
                <w:szCs w:val="20"/>
                <w:color w:val="auto"/>
              </w:rPr>
            </w:pPr>
            <w:r>
              <w:rPr>
                <w:rFonts w:ascii="Arial" w:cs="Arial" w:eastAsia="Arial" w:hAnsi="Arial"/>
                <w:sz w:val="14"/>
                <w:szCs w:val="14"/>
                <w:b w:val="1"/>
                <w:bCs w:val="1"/>
                <w:color w:val="auto"/>
                <w:w w:val="98"/>
              </w:rPr>
              <w:t>Amounts</w:t>
            </w: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2"/>
          </w:tcPr>
          <w:p>
            <w:pPr>
              <w:jc w:val="center"/>
              <w:ind w:right="460"/>
              <w:spacing w:after="0" w:line="160" w:lineRule="exact"/>
              <w:rPr>
                <w:sz w:val="20"/>
                <w:szCs w:val="20"/>
                <w:color w:val="auto"/>
              </w:rPr>
            </w:pPr>
            <w:r>
              <w:rPr>
                <w:rFonts w:ascii="Arial" w:cs="Arial" w:eastAsia="Arial" w:hAnsi="Arial"/>
                <w:sz w:val="14"/>
                <w:szCs w:val="14"/>
                <w:b w:val="1"/>
                <w:bCs w:val="1"/>
                <w:color w:val="auto"/>
              </w:rPr>
              <w:t>(Condensed)</w:t>
            </w:r>
          </w:p>
        </w:tc>
        <w:tc>
          <w:tcPr>
            <w:tcW w:w="140" w:type="dxa"/>
            <w:vAlign w:val="bottom"/>
          </w:tcPr>
          <w:p>
            <w:pPr>
              <w:spacing w:after="0"/>
              <w:rPr>
                <w:sz w:val="13"/>
                <w:szCs w:val="13"/>
                <w:color w:val="auto"/>
              </w:rPr>
            </w:pPr>
          </w:p>
        </w:tc>
        <w:tc>
          <w:tcPr>
            <w:tcW w:w="1080" w:type="dxa"/>
            <w:vAlign w:val="bottom"/>
          </w:tcPr>
          <w:p>
            <w:pPr>
              <w:jc w:val="center"/>
              <w:ind w:right="68"/>
              <w:spacing w:after="0" w:line="160" w:lineRule="exact"/>
              <w:rPr>
                <w:sz w:val="20"/>
                <w:szCs w:val="20"/>
                <w:color w:val="auto"/>
              </w:rPr>
            </w:pPr>
            <w:r>
              <w:rPr>
                <w:rFonts w:ascii="Arial" w:cs="Arial" w:eastAsia="Arial" w:hAnsi="Arial"/>
                <w:sz w:val="14"/>
                <w:szCs w:val="14"/>
                <w:color w:val="auto"/>
              </w:rPr>
              <w:t>(Condensed)</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0" w:type="dxa"/>
            <w:vAlign w:val="bottom"/>
            <w:gridSpan w:val="4"/>
            <w:vMerge w:val="restart"/>
          </w:tcPr>
          <w:p>
            <w:pPr>
              <w:jc w:val="right"/>
              <w:ind w:right="960"/>
              <w:spacing w:after="0"/>
              <w:rPr>
                <w:sz w:val="20"/>
                <w:szCs w:val="20"/>
                <w:color w:val="auto"/>
              </w:rPr>
            </w:pPr>
            <w:r>
              <w:rPr>
                <w:rFonts w:ascii="Arial" w:cs="Arial" w:eastAsia="Arial" w:hAnsi="Arial"/>
                <w:sz w:val="14"/>
                <w:szCs w:val="14"/>
                <w:color w:val="auto"/>
              </w:rPr>
              <w:t>Increase (Decrease)</w:t>
            </w:r>
          </w:p>
        </w:tc>
        <w:tc>
          <w:tcPr>
            <w:tcW w:w="0" w:type="dxa"/>
            <w:vAlign w:val="bottom"/>
          </w:tcPr>
          <w:p>
            <w:pPr>
              <w:spacing w:after="0"/>
              <w:rPr>
                <w:sz w:val="1"/>
                <w:szCs w:val="1"/>
                <w:color w:val="auto"/>
              </w:rPr>
            </w:pPr>
          </w:p>
        </w:tc>
      </w:tr>
      <w:tr>
        <w:trPr>
          <w:trHeight w:val="158"/>
        </w:trPr>
        <w:tc>
          <w:tcPr>
            <w:tcW w:w="4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rPr>
              <w:t>May 3,</w:t>
            </w:r>
          </w:p>
        </w:tc>
        <w:tc>
          <w:tcPr>
            <w:tcW w:w="140" w:type="dxa"/>
            <w:vAlign w:val="bottom"/>
          </w:tcPr>
          <w:p>
            <w:pPr>
              <w:spacing w:after="0"/>
              <w:rPr>
                <w:sz w:val="13"/>
                <w:szCs w:val="13"/>
                <w:color w:val="auto"/>
              </w:rPr>
            </w:pPr>
          </w:p>
        </w:tc>
        <w:tc>
          <w:tcPr>
            <w:tcW w:w="1080" w:type="dxa"/>
            <w:vAlign w:val="bottom"/>
          </w:tcPr>
          <w:p>
            <w:pPr>
              <w:jc w:val="center"/>
              <w:ind w:right="68"/>
              <w:spacing w:after="0" w:line="158" w:lineRule="exact"/>
              <w:rPr>
                <w:sz w:val="20"/>
                <w:szCs w:val="20"/>
                <w:color w:val="auto"/>
              </w:rPr>
            </w:pPr>
            <w:r>
              <w:rPr>
                <w:rFonts w:ascii="Arial" w:cs="Arial" w:eastAsia="Arial" w:hAnsi="Arial"/>
                <w:sz w:val="14"/>
                <w:szCs w:val="14"/>
                <w:color w:val="auto"/>
              </w:rPr>
              <w:t>* April 27,</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jc w:val="center"/>
              <w:ind w:right="168"/>
              <w:spacing w:after="0" w:line="155" w:lineRule="exact"/>
              <w:rPr>
                <w:sz w:val="20"/>
                <w:szCs w:val="20"/>
                <w:color w:val="auto"/>
              </w:rPr>
            </w:pPr>
            <w:r>
              <w:rPr>
                <w:rFonts w:ascii="Arial" w:cs="Arial" w:eastAsia="Arial" w:hAnsi="Arial"/>
                <w:sz w:val="14"/>
                <w:szCs w:val="14"/>
                <w:b w:val="1"/>
                <w:bCs w:val="1"/>
                <w:color w:val="auto"/>
              </w:rPr>
              <w:t>2026</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center"/>
              <w:ind w:right="88"/>
              <w:spacing w:after="0" w:line="155" w:lineRule="exact"/>
              <w:rPr>
                <w:sz w:val="20"/>
                <w:szCs w:val="20"/>
                <w:color w:val="auto"/>
              </w:rPr>
            </w:pPr>
            <w:r>
              <w:rPr>
                <w:rFonts w:ascii="Arial" w:cs="Arial" w:eastAsia="Arial" w:hAnsi="Arial"/>
                <w:sz w:val="14"/>
                <w:szCs w:val="14"/>
                <w:color w:val="auto"/>
              </w:rPr>
              <w:t>2025</w:t>
            </w:r>
          </w:p>
        </w:tc>
        <w:tc>
          <w:tcPr>
            <w:tcW w:w="2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right"/>
              <w:ind w:right="620"/>
              <w:spacing w:after="0" w:line="155" w:lineRule="exact"/>
              <w:rPr>
                <w:sz w:val="20"/>
                <w:szCs w:val="20"/>
                <w:color w:val="auto"/>
              </w:rPr>
            </w:pPr>
            <w:r>
              <w:rPr>
                <w:rFonts w:ascii="Arial" w:cs="Arial" w:eastAsia="Arial" w:hAnsi="Arial"/>
                <w:sz w:val="14"/>
                <w:szCs w:val="14"/>
                <w:color w:val="auto"/>
              </w:rPr>
              <w:t>Amount</w:t>
            </w:r>
          </w:p>
        </w:tc>
        <w:tc>
          <w:tcPr>
            <w:tcW w:w="1360" w:type="dxa"/>
            <w:vAlign w:val="bottom"/>
            <w:tcBorders>
              <w:top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Percent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9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Current assets</w:t>
            </w:r>
          </w:p>
        </w:tc>
        <w:tc>
          <w:tcPr>
            <w:tcW w:w="220" w:type="dxa"/>
            <w:vAlign w:val="bottom"/>
            <w:tcBorders>
              <w:top w:val="single" w:sz="8" w:color="auto"/>
            </w:tcBorders>
            <w:shd w:val="clear" w:color="auto" w:fill="CFF0FC"/>
          </w:tcPr>
          <w:p>
            <w:pPr>
              <w:spacing w:after="0"/>
              <w:rPr>
                <w:sz w:val="13"/>
                <w:szCs w:val="13"/>
                <w:color w:val="auto"/>
              </w:rPr>
            </w:pPr>
          </w:p>
        </w:tc>
        <w:tc>
          <w:tcPr>
            <w:tcW w:w="140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08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60" w:type="dxa"/>
            <w:vAlign w:val="bottom"/>
            <w:tcBorders>
              <w:top w:val="single" w:sz="8" w:color="auto"/>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20" w:type="dxa"/>
            <w:vAlign w:val="bottom"/>
          </w:tcPr>
          <w:p>
            <w:pPr>
              <w:ind w:left="100"/>
              <w:spacing w:after="0"/>
              <w:rPr>
                <w:sz w:val="20"/>
                <w:szCs w:val="20"/>
                <w:color w:val="auto"/>
              </w:rPr>
            </w:pPr>
            <w:r>
              <w:rPr>
                <w:rFonts w:ascii="Arial" w:cs="Arial" w:eastAsia="Arial" w:hAnsi="Arial"/>
                <w:sz w:val="14"/>
                <w:szCs w:val="14"/>
                <w:color w:val="auto"/>
              </w:rPr>
              <w:t>Cash and cash equivalents</w:t>
            </w:r>
          </w:p>
        </w:tc>
        <w:tc>
          <w:tcPr>
            <w:tcW w:w="220" w:type="dxa"/>
            <w:vAlign w:val="bottom"/>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8,273</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5,629</w:t>
            </w:r>
          </w:p>
        </w:tc>
        <w:tc>
          <w:tcPr>
            <w:tcW w:w="4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2,644</w:t>
            </w:r>
          </w:p>
        </w:tc>
        <w:tc>
          <w:tcPr>
            <w:tcW w:w="220" w:type="dxa"/>
            <w:vAlign w:val="bottom"/>
          </w:tcPr>
          <w:p>
            <w:pPr>
              <w:spacing w:after="0"/>
              <w:rPr>
                <w:sz w:val="14"/>
                <w:szCs w:val="14"/>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4"/>
                <w:szCs w:val="14"/>
                <w:color w:val="auto"/>
              </w:rPr>
              <w:t>47.0%</w:t>
            </w:r>
          </w:p>
        </w:tc>
        <w:tc>
          <w:tcPr>
            <w:tcW w:w="0" w:type="dxa"/>
            <w:vAlign w:val="bottom"/>
          </w:tcPr>
          <w:p>
            <w:pPr>
              <w:spacing w:after="0"/>
              <w:rPr>
                <w:sz w:val="1"/>
                <w:szCs w:val="1"/>
                <w:color w:val="auto"/>
              </w:rPr>
            </w:pPr>
          </w:p>
        </w:tc>
      </w:tr>
      <w:tr>
        <w:trPr>
          <w:trHeight w:val="162"/>
        </w:trPr>
        <w:tc>
          <w:tcPr>
            <w:tcW w:w="4920" w:type="dxa"/>
            <w:vAlign w:val="bottom"/>
            <w:shd w:val="clear" w:color="auto" w:fill="CFF0FC"/>
          </w:tcPr>
          <w:p>
            <w:pPr>
              <w:ind w:left="100"/>
              <w:spacing w:after="0"/>
              <w:rPr>
                <w:sz w:val="20"/>
                <w:szCs w:val="20"/>
                <w:color w:val="auto"/>
              </w:rPr>
            </w:pPr>
            <w:r>
              <w:rPr>
                <w:rFonts w:ascii="Arial" w:cs="Arial" w:eastAsia="Arial" w:hAnsi="Arial"/>
                <w:sz w:val="14"/>
                <w:szCs w:val="14"/>
                <w:color w:val="auto"/>
              </w:rPr>
              <w:t>Short-term investments - rabbi trust</w:t>
            </w:r>
          </w:p>
        </w:tc>
        <w:tc>
          <w:tcPr>
            <w:tcW w:w="22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1,477</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1,325</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w:t>
            </w:r>
          </w:p>
        </w:tc>
        <w:tc>
          <w:tcPr>
            <w:tcW w:w="22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62"/>
        </w:trPr>
        <w:tc>
          <w:tcPr>
            <w:tcW w:w="4920" w:type="dxa"/>
            <w:vAlign w:val="bottom"/>
          </w:tcPr>
          <w:p>
            <w:pPr>
              <w:ind w:left="100"/>
              <w:spacing w:after="0"/>
              <w:rPr>
                <w:sz w:val="20"/>
                <w:szCs w:val="20"/>
                <w:color w:val="auto"/>
              </w:rPr>
            </w:pPr>
            <w:r>
              <w:rPr>
                <w:rFonts w:ascii="Arial" w:cs="Arial" w:eastAsia="Arial" w:hAnsi="Arial"/>
                <w:sz w:val="14"/>
                <w:szCs w:val="14"/>
                <w:color w:val="auto"/>
              </w:rPr>
              <w:t>Accounts receivable, net</w:t>
            </w:r>
          </w:p>
        </w:tc>
        <w:tc>
          <w:tcPr>
            <w:tcW w:w="2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20,369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21,844</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(1,475)</w:t>
            </w:r>
          </w:p>
        </w:tc>
        <w:tc>
          <w:tcPr>
            <w:tcW w:w="1540" w:type="dxa"/>
            <w:vAlign w:val="bottom"/>
            <w:gridSpan w:val="2"/>
          </w:tcPr>
          <w:p>
            <w:pPr>
              <w:jc w:val="right"/>
              <w:ind w:right="20"/>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62"/>
        </w:trPr>
        <w:tc>
          <w:tcPr>
            <w:tcW w:w="4920" w:type="dxa"/>
            <w:vAlign w:val="bottom"/>
            <w:shd w:val="clear" w:color="auto" w:fill="CFF0FC"/>
          </w:tcPr>
          <w:p>
            <w:pPr>
              <w:ind w:left="100"/>
              <w:spacing w:after="0"/>
              <w:rPr>
                <w:sz w:val="20"/>
                <w:szCs w:val="20"/>
                <w:color w:val="auto"/>
              </w:rPr>
            </w:pPr>
            <w:r>
              <w:rPr>
                <w:rFonts w:ascii="Arial" w:cs="Arial" w:eastAsia="Arial" w:hAnsi="Arial"/>
                <w:sz w:val="14"/>
                <w:szCs w:val="14"/>
                <w:color w:val="auto"/>
              </w:rPr>
              <w:t>Inventories</w:t>
            </w:r>
          </w:p>
        </w:tc>
        <w:tc>
          <w:tcPr>
            <w:tcW w:w="22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47,494</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49,309</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(1,815)</w:t>
            </w: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62"/>
        </w:trPr>
        <w:tc>
          <w:tcPr>
            <w:tcW w:w="4920" w:type="dxa"/>
            <w:vAlign w:val="bottom"/>
          </w:tcPr>
          <w:p>
            <w:pPr>
              <w:ind w:left="100"/>
              <w:spacing w:after="0"/>
              <w:rPr>
                <w:sz w:val="20"/>
                <w:szCs w:val="20"/>
                <w:color w:val="auto"/>
              </w:rPr>
            </w:pPr>
            <w:r>
              <w:rPr>
                <w:rFonts w:ascii="Arial" w:cs="Arial" w:eastAsia="Arial" w:hAnsi="Arial"/>
                <w:sz w:val="14"/>
                <w:szCs w:val="14"/>
                <w:color w:val="auto"/>
              </w:rPr>
              <w:t>Short-term notes receivable</w:t>
            </w:r>
          </w:p>
        </w:tc>
        <w:tc>
          <w:tcPr>
            <w:tcW w:w="2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297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280</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w:t>
            </w:r>
          </w:p>
        </w:tc>
        <w:tc>
          <w:tcPr>
            <w:tcW w:w="220" w:type="dxa"/>
            <w:vAlign w:val="bottom"/>
          </w:tcPr>
          <w:p>
            <w:pPr>
              <w:spacing w:after="0"/>
              <w:rPr>
                <w:sz w:val="14"/>
                <w:szCs w:val="14"/>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62"/>
        </w:trPr>
        <w:tc>
          <w:tcPr>
            <w:tcW w:w="4920" w:type="dxa"/>
            <w:vAlign w:val="bottom"/>
            <w:shd w:val="clear" w:color="auto" w:fill="CFF0FC"/>
          </w:tcPr>
          <w:p>
            <w:pPr>
              <w:ind w:left="100"/>
              <w:spacing w:after="0"/>
              <w:rPr>
                <w:sz w:val="20"/>
                <w:szCs w:val="20"/>
                <w:color w:val="auto"/>
              </w:rPr>
            </w:pPr>
            <w:r>
              <w:rPr>
                <w:rFonts w:ascii="Arial" w:cs="Arial" w:eastAsia="Arial" w:hAnsi="Arial"/>
                <w:sz w:val="14"/>
                <w:szCs w:val="14"/>
                <w:color w:val="auto"/>
              </w:rPr>
              <w:t>Current income taxes receivable</w:t>
            </w:r>
          </w:p>
        </w:tc>
        <w:tc>
          <w:tcPr>
            <w:tcW w:w="22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142</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w:t>
            </w: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20" w:type="dxa"/>
            <w:vAlign w:val="bottom"/>
          </w:tcPr>
          <w:p>
            <w:pPr>
              <w:ind w:left="100"/>
              <w:spacing w:after="0"/>
              <w:rPr>
                <w:sz w:val="20"/>
                <w:szCs w:val="20"/>
                <w:color w:val="auto"/>
              </w:rPr>
            </w:pPr>
            <w:r>
              <w:rPr>
                <w:rFonts w:ascii="Arial" w:cs="Arial" w:eastAsia="Arial" w:hAnsi="Arial"/>
                <w:sz w:val="14"/>
                <w:szCs w:val="14"/>
                <w:color w:val="auto"/>
              </w:rPr>
              <w:t>Assets held for sale</w:t>
            </w:r>
          </w:p>
        </w:tc>
        <w:tc>
          <w:tcPr>
            <w:tcW w:w="220" w:type="dxa"/>
            <w:vAlign w:val="bottom"/>
          </w:tcPr>
          <w:p>
            <w:pPr>
              <w:spacing w:after="0"/>
              <w:rPr>
                <w:sz w:val="14"/>
                <w:szCs w:val="14"/>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2,177</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(2,177)</w:t>
            </w:r>
          </w:p>
        </w:tc>
        <w:tc>
          <w:tcPr>
            <w:tcW w:w="1540" w:type="dxa"/>
            <w:vAlign w:val="bottom"/>
            <w:gridSpan w:val="2"/>
          </w:tcPr>
          <w:p>
            <w:pPr>
              <w:jc w:val="right"/>
              <w:ind w:right="2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62"/>
        </w:trPr>
        <w:tc>
          <w:tcPr>
            <w:tcW w:w="4920" w:type="dxa"/>
            <w:vAlign w:val="bottom"/>
            <w:shd w:val="clear" w:color="auto" w:fill="CFF0FC"/>
          </w:tcPr>
          <w:p>
            <w:pPr>
              <w:ind w:left="100"/>
              <w:spacing w:after="0"/>
              <w:rPr>
                <w:sz w:val="20"/>
                <w:szCs w:val="20"/>
                <w:color w:val="auto"/>
              </w:rPr>
            </w:pPr>
            <w:r>
              <w:rPr>
                <w:rFonts w:ascii="Arial" w:cs="Arial" w:eastAsia="Arial" w:hAnsi="Arial"/>
                <w:sz w:val="14"/>
                <w:szCs w:val="14"/>
                <w:color w:val="auto"/>
              </w:rPr>
              <w:t>Other current assets</w:t>
            </w:r>
          </w:p>
        </w:tc>
        <w:tc>
          <w:tcPr>
            <w:tcW w:w="22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2,645</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2,970</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(325)</w:t>
            </w: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20"/>
        </w:trPr>
        <w:tc>
          <w:tcPr>
            <w:tcW w:w="49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920" w:type="dxa"/>
            <w:vAlign w:val="bottom"/>
          </w:tcPr>
          <w:p>
            <w:pPr>
              <w:ind w:left="180"/>
              <w:spacing w:after="0" w:line="155" w:lineRule="exact"/>
              <w:rPr>
                <w:sz w:val="20"/>
                <w:szCs w:val="20"/>
                <w:color w:val="auto"/>
              </w:rPr>
            </w:pPr>
            <w:r>
              <w:rPr>
                <w:rFonts w:ascii="Arial" w:cs="Arial" w:eastAsia="Arial" w:hAnsi="Arial"/>
                <w:sz w:val="14"/>
                <w:szCs w:val="14"/>
                <w:color w:val="auto"/>
              </w:rPr>
              <w:t>Total current assets</w:t>
            </w:r>
          </w:p>
        </w:tc>
        <w:tc>
          <w:tcPr>
            <w:tcW w:w="220" w:type="dxa"/>
            <w:vAlign w:val="bottom"/>
          </w:tcPr>
          <w:p>
            <w:pPr>
              <w:spacing w:after="0"/>
              <w:rPr>
                <w:sz w:val="13"/>
                <w:szCs w:val="13"/>
                <w:color w:val="auto"/>
              </w:rPr>
            </w:pPr>
          </w:p>
        </w:tc>
        <w:tc>
          <w:tcPr>
            <w:tcW w:w="14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80,697</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right"/>
              <w:spacing w:after="0" w:line="155" w:lineRule="exact"/>
              <w:rPr>
                <w:sz w:val="20"/>
                <w:szCs w:val="20"/>
                <w:color w:val="auto"/>
              </w:rPr>
            </w:pPr>
            <w:r>
              <w:rPr>
                <w:rFonts w:ascii="Arial" w:cs="Arial" w:eastAsia="Arial" w:hAnsi="Arial"/>
                <w:sz w:val="14"/>
                <w:szCs w:val="14"/>
                <w:color w:val="auto"/>
              </w:rPr>
              <w:t>83,534</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(2,837)</w:t>
            </w:r>
          </w:p>
        </w:tc>
        <w:tc>
          <w:tcPr>
            <w:tcW w:w="15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62"/>
        </w:trPr>
        <w:tc>
          <w:tcPr>
            <w:tcW w:w="4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4"/>
                <w:szCs w:val="14"/>
                <w:color w:val="auto"/>
              </w:rPr>
              <w:t>Property, plant &amp; equipment, net</w:t>
            </w:r>
          </w:p>
        </w:tc>
        <w:tc>
          <w:tcPr>
            <w:tcW w:w="2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21,013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24,836</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(3,823)</w:t>
            </w:r>
          </w:p>
        </w:tc>
        <w:tc>
          <w:tcPr>
            <w:tcW w:w="1540" w:type="dxa"/>
            <w:vAlign w:val="bottom"/>
            <w:gridSpan w:val="2"/>
          </w:tcPr>
          <w:p>
            <w:pPr>
              <w:jc w:val="right"/>
              <w:ind w:right="20"/>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162"/>
        </w:trPr>
        <w:tc>
          <w:tcPr>
            <w:tcW w:w="4920" w:type="dxa"/>
            <w:vAlign w:val="bottom"/>
            <w:shd w:val="clear" w:color="auto" w:fill="CFF0FC"/>
          </w:tcPr>
          <w:p>
            <w:pPr>
              <w:spacing w:after="0"/>
              <w:rPr>
                <w:sz w:val="20"/>
                <w:szCs w:val="20"/>
                <w:color w:val="auto"/>
              </w:rPr>
            </w:pPr>
            <w:r>
              <w:rPr>
                <w:rFonts w:ascii="Arial" w:cs="Arial" w:eastAsia="Arial" w:hAnsi="Arial"/>
                <w:sz w:val="14"/>
                <w:szCs w:val="14"/>
                <w:color w:val="auto"/>
              </w:rPr>
              <w:t>Right of use assets</w:t>
            </w:r>
          </w:p>
        </w:tc>
        <w:tc>
          <w:tcPr>
            <w:tcW w:w="22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2,984</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5,908</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(2,924)</w:t>
            </w: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(49.5)%</w:t>
            </w: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4"/>
                <w:szCs w:val="14"/>
                <w:color w:val="auto"/>
              </w:rPr>
              <w:t>Intangible assets</w:t>
            </w:r>
          </w:p>
        </w:tc>
        <w:tc>
          <w:tcPr>
            <w:tcW w:w="2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355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960</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(605)</w:t>
            </w:r>
          </w:p>
        </w:tc>
        <w:tc>
          <w:tcPr>
            <w:tcW w:w="1540" w:type="dxa"/>
            <w:vAlign w:val="bottom"/>
            <w:gridSpan w:val="2"/>
          </w:tcPr>
          <w:p>
            <w:pPr>
              <w:jc w:val="right"/>
              <w:ind w:right="20"/>
              <w:spacing w:after="0"/>
              <w:rPr>
                <w:sz w:val="20"/>
                <w:szCs w:val="20"/>
                <w:color w:val="auto"/>
              </w:rPr>
            </w:pPr>
            <w:r>
              <w:rPr>
                <w:rFonts w:ascii="Arial" w:cs="Arial" w:eastAsia="Arial" w:hAnsi="Arial"/>
                <w:sz w:val="14"/>
                <w:szCs w:val="14"/>
                <w:color w:val="auto"/>
              </w:rPr>
              <w:t>(63.0)%</w:t>
            </w:r>
          </w:p>
        </w:tc>
        <w:tc>
          <w:tcPr>
            <w:tcW w:w="0" w:type="dxa"/>
            <w:vAlign w:val="bottom"/>
          </w:tcPr>
          <w:p>
            <w:pPr>
              <w:spacing w:after="0"/>
              <w:rPr>
                <w:sz w:val="1"/>
                <w:szCs w:val="1"/>
                <w:color w:val="auto"/>
              </w:rPr>
            </w:pPr>
          </w:p>
        </w:tc>
      </w:tr>
      <w:tr>
        <w:trPr>
          <w:trHeight w:val="162"/>
        </w:trPr>
        <w:tc>
          <w:tcPr>
            <w:tcW w:w="4920" w:type="dxa"/>
            <w:vAlign w:val="bottom"/>
            <w:shd w:val="clear" w:color="auto" w:fill="CFF0FC"/>
          </w:tcPr>
          <w:p>
            <w:pPr>
              <w:spacing w:after="0"/>
              <w:rPr>
                <w:sz w:val="20"/>
                <w:szCs w:val="20"/>
                <w:color w:val="auto"/>
              </w:rPr>
            </w:pPr>
            <w:r>
              <w:rPr>
                <w:rFonts w:ascii="Arial" w:cs="Arial" w:eastAsia="Arial" w:hAnsi="Arial"/>
                <w:sz w:val="14"/>
                <w:szCs w:val="14"/>
                <w:color w:val="auto"/>
              </w:rPr>
              <w:t>Long-term investments - rabbi trust</w:t>
            </w:r>
          </w:p>
        </w:tc>
        <w:tc>
          <w:tcPr>
            <w:tcW w:w="22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4,991</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5,722</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(731)</w:t>
            </w: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4"/>
                <w:szCs w:val="14"/>
                <w:color w:val="auto"/>
              </w:rPr>
              <w:t>Long-term notes receivable</w:t>
            </w:r>
          </w:p>
        </w:tc>
        <w:tc>
          <w:tcPr>
            <w:tcW w:w="2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885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1,182</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(297)</w:t>
            </w:r>
          </w:p>
        </w:tc>
        <w:tc>
          <w:tcPr>
            <w:tcW w:w="1540" w:type="dxa"/>
            <w:vAlign w:val="bottom"/>
            <w:gridSpan w:val="2"/>
          </w:tcPr>
          <w:p>
            <w:pPr>
              <w:jc w:val="right"/>
              <w:ind w:right="20"/>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62"/>
        </w:trPr>
        <w:tc>
          <w:tcPr>
            <w:tcW w:w="4920" w:type="dxa"/>
            <w:vAlign w:val="bottom"/>
            <w:shd w:val="clear" w:color="auto" w:fill="CFF0FC"/>
          </w:tcPr>
          <w:p>
            <w:pPr>
              <w:spacing w:after="0"/>
              <w:rPr>
                <w:sz w:val="20"/>
                <w:szCs w:val="20"/>
                <w:color w:val="auto"/>
              </w:rPr>
            </w:pPr>
            <w:r>
              <w:rPr>
                <w:rFonts w:ascii="Arial" w:cs="Arial" w:eastAsia="Arial" w:hAnsi="Arial"/>
                <w:sz w:val="14"/>
                <w:szCs w:val="14"/>
                <w:color w:val="auto"/>
              </w:rPr>
              <w:t>Deferred income taxes</w:t>
            </w:r>
          </w:p>
        </w:tc>
        <w:tc>
          <w:tcPr>
            <w:tcW w:w="22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503</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637</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(134)</w:t>
            </w: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4"/>
                <w:szCs w:val="14"/>
                <w:color w:val="auto"/>
              </w:rPr>
              <w:t>Other assets</w:t>
            </w:r>
          </w:p>
        </w:tc>
        <w:tc>
          <w:tcPr>
            <w:tcW w:w="2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562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591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(29)</w:t>
            </w:r>
          </w:p>
        </w:tc>
        <w:tc>
          <w:tcPr>
            <w:tcW w:w="1540" w:type="dxa"/>
            <w:vAlign w:val="bottom"/>
            <w:gridSpan w:val="2"/>
          </w:tcPr>
          <w:p>
            <w:pPr>
              <w:jc w:val="right"/>
              <w:ind w:right="20"/>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920" w:type="dxa"/>
            <w:vAlign w:val="bottom"/>
            <w:shd w:val="clear" w:color="auto" w:fill="CFF0FC"/>
          </w:tcPr>
          <w:p>
            <w:pPr>
              <w:ind w:left="180"/>
              <w:spacing w:after="0" w:line="155" w:lineRule="exact"/>
              <w:rPr>
                <w:sz w:val="20"/>
                <w:szCs w:val="20"/>
                <w:color w:val="auto"/>
              </w:rPr>
            </w:pPr>
            <w:r>
              <w:rPr>
                <w:rFonts w:ascii="Arial" w:cs="Arial" w:eastAsia="Arial" w:hAnsi="Arial"/>
                <w:sz w:val="14"/>
                <w:szCs w:val="14"/>
                <w:color w:val="auto"/>
              </w:rPr>
              <w:t>Total assets</w:t>
            </w:r>
          </w:p>
        </w:tc>
        <w:tc>
          <w:tcPr>
            <w:tcW w:w="22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b w:val="1"/>
                <w:bCs w:val="1"/>
                <w:color w:val="auto"/>
                <w:w w:val="76"/>
              </w:rPr>
              <w:t>$</w:t>
            </w:r>
          </w:p>
        </w:tc>
        <w:tc>
          <w:tcPr>
            <w:tcW w:w="14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111,990</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123,370</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color w:val="auto"/>
              </w:rPr>
              <w:t>(11,380)</w:t>
            </w:r>
          </w:p>
        </w:tc>
        <w:tc>
          <w:tcPr>
            <w:tcW w:w="154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43"/>
        </w:trPr>
        <w:tc>
          <w:tcPr>
            <w:tcW w:w="4920" w:type="dxa"/>
            <w:vAlign w:val="bottom"/>
            <w:tcBorders>
              <w:top w:val="single" w:sz="8" w:color="CFF0F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920" w:type="dxa"/>
            <w:vAlign w:val="bottom"/>
            <w:shd w:val="clear" w:color="auto" w:fill="CFF0FC"/>
          </w:tcPr>
          <w:p>
            <w:pPr>
              <w:spacing w:after="0"/>
              <w:rPr>
                <w:sz w:val="20"/>
                <w:szCs w:val="20"/>
                <w:color w:val="auto"/>
              </w:rPr>
            </w:pPr>
            <w:r>
              <w:rPr>
                <w:rFonts w:ascii="Arial" w:cs="Arial" w:eastAsia="Arial" w:hAnsi="Arial"/>
                <w:sz w:val="14"/>
                <w:szCs w:val="14"/>
                <w:color w:val="auto"/>
              </w:rPr>
              <w:t>Current liabilities</w:t>
            </w:r>
          </w:p>
        </w:tc>
        <w:tc>
          <w:tcPr>
            <w:tcW w:w="22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20" w:type="dxa"/>
            <w:vAlign w:val="bottom"/>
          </w:tcPr>
          <w:p>
            <w:pPr>
              <w:ind w:left="100"/>
              <w:spacing w:after="0"/>
              <w:rPr>
                <w:sz w:val="20"/>
                <w:szCs w:val="20"/>
                <w:color w:val="auto"/>
              </w:rPr>
            </w:pPr>
            <w:r>
              <w:rPr>
                <w:rFonts w:ascii="Arial" w:cs="Arial" w:eastAsia="Arial" w:hAnsi="Arial"/>
                <w:sz w:val="14"/>
                <w:szCs w:val="14"/>
                <w:color w:val="auto"/>
              </w:rPr>
              <w:t>Lines of credit - current</w:t>
            </w:r>
          </w:p>
        </w:tc>
        <w:tc>
          <w:tcPr>
            <w:tcW w:w="220" w:type="dxa"/>
            <w:vAlign w:val="bottom"/>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12,129</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8,114</w:t>
            </w:r>
          </w:p>
        </w:tc>
        <w:tc>
          <w:tcPr>
            <w:tcW w:w="4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4,015</w:t>
            </w:r>
          </w:p>
        </w:tc>
        <w:tc>
          <w:tcPr>
            <w:tcW w:w="220" w:type="dxa"/>
            <w:vAlign w:val="bottom"/>
          </w:tcPr>
          <w:p>
            <w:pPr>
              <w:spacing w:after="0"/>
              <w:rPr>
                <w:sz w:val="14"/>
                <w:szCs w:val="14"/>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4"/>
                <w:szCs w:val="14"/>
                <w:color w:val="auto"/>
              </w:rPr>
              <w:t>49.5%</w:t>
            </w:r>
          </w:p>
        </w:tc>
        <w:tc>
          <w:tcPr>
            <w:tcW w:w="0" w:type="dxa"/>
            <w:vAlign w:val="bottom"/>
          </w:tcPr>
          <w:p>
            <w:pPr>
              <w:spacing w:after="0"/>
              <w:rPr>
                <w:sz w:val="1"/>
                <w:szCs w:val="1"/>
                <w:color w:val="auto"/>
              </w:rPr>
            </w:pPr>
          </w:p>
        </w:tc>
      </w:tr>
      <w:tr>
        <w:trPr>
          <w:trHeight w:val="162"/>
        </w:trPr>
        <w:tc>
          <w:tcPr>
            <w:tcW w:w="4920" w:type="dxa"/>
            <w:vAlign w:val="bottom"/>
            <w:shd w:val="clear" w:color="auto" w:fill="CFF0FC"/>
          </w:tcPr>
          <w:p>
            <w:pPr>
              <w:ind w:left="100"/>
              <w:spacing w:after="0"/>
              <w:rPr>
                <w:sz w:val="20"/>
                <w:szCs w:val="20"/>
                <w:color w:val="auto"/>
              </w:rPr>
            </w:pPr>
            <w:r>
              <w:rPr>
                <w:rFonts w:ascii="Arial" w:cs="Arial" w:eastAsia="Arial" w:hAnsi="Arial"/>
                <w:sz w:val="14"/>
                <w:szCs w:val="14"/>
                <w:color w:val="auto"/>
              </w:rPr>
              <w:t>Accounts payable - trade</w:t>
            </w:r>
          </w:p>
        </w:tc>
        <w:tc>
          <w:tcPr>
            <w:tcW w:w="22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25,730</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27,323</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(1,593)</w:t>
            </w: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62"/>
        </w:trPr>
        <w:tc>
          <w:tcPr>
            <w:tcW w:w="4920" w:type="dxa"/>
            <w:vAlign w:val="bottom"/>
          </w:tcPr>
          <w:p>
            <w:pPr>
              <w:ind w:left="100"/>
              <w:spacing w:after="0"/>
              <w:rPr>
                <w:sz w:val="20"/>
                <w:szCs w:val="20"/>
                <w:color w:val="auto"/>
              </w:rPr>
            </w:pPr>
            <w:r>
              <w:rPr>
                <w:rFonts w:ascii="Arial" w:cs="Arial" w:eastAsia="Arial" w:hAnsi="Arial"/>
                <w:sz w:val="14"/>
                <w:szCs w:val="14"/>
                <w:color w:val="auto"/>
              </w:rPr>
              <w:t>Accounts payable - capital expenditures</w:t>
            </w:r>
          </w:p>
        </w:tc>
        <w:tc>
          <w:tcPr>
            <w:tcW w:w="2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236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213</w:t>
            </w:r>
          </w:p>
        </w:tc>
        <w:tc>
          <w:tcPr>
            <w:tcW w:w="220" w:type="dxa"/>
            <w:vAlign w:val="bottom"/>
          </w:tcPr>
          <w:p>
            <w:pPr>
              <w:spacing w:after="0"/>
              <w:rPr>
                <w:sz w:val="14"/>
                <w:szCs w:val="14"/>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4"/>
                <w:szCs w:val="14"/>
                <w:color w:val="auto"/>
              </w:rPr>
              <w:t>926.1%</w:t>
            </w:r>
          </w:p>
        </w:tc>
        <w:tc>
          <w:tcPr>
            <w:tcW w:w="0" w:type="dxa"/>
            <w:vAlign w:val="bottom"/>
          </w:tcPr>
          <w:p>
            <w:pPr>
              <w:spacing w:after="0"/>
              <w:rPr>
                <w:sz w:val="1"/>
                <w:szCs w:val="1"/>
                <w:color w:val="auto"/>
              </w:rPr>
            </w:pPr>
          </w:p>
        </w:tc>
      </w:tr>
      <w:tr>
        <w:trPr>
          <w:trHeight w:val="162"/>
        </w:trPr>
        <w:tc>
          <w:tcPr>
            <w:tcW w:w="4920" w:type="dxa"/>
            <w:vAlign w:val="bottom"/>
            <w:shd w:val="clear" w:color="auto" w:fill="CFF0FC"/>
          </w:tcPr>
          <w:p>
            <w:pPr>
              <w:ind w:left="100"/>
              <w:spacing w:after="0"/>
              <w:rPr>
                <w:sz w:val="20"/>
                <w:szCs w:val="20"/>
                <w:color w:val="auto"/>
              </w:rPr>
            </w:pPr>
            <w:r>
              <w:rPr>
                <w:rFonts w:ascii="Arial" w:cs="Arial" w:eastAsia="Arial" w:hAnsi="Arial"/>
                <w:sz w:val="14"/>
                <w:szCs w:val="14"/>
                <w:color w:val="auto"/>
              </w:rPr>
              <w:t>Operating lease liability - current</w:t>
            </w:r>
          </w:p>
        </w:tc>
        <w:tc>
          <w:tcPr>
            <w:tcW w:w="22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956</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2,394</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(1,438)</w:t>
            </w: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(60.1)%</w:t>
            </w:r>
          </w:p>
        </w:tc>
        <w:tc>
          <w:tcPr>
            <w:tcW w:w="0" w:type="dxa"/>
            <w:vAlign w:val="bottom"/>
          </w:tcPr>
          <w:p>
            <w:pPr>
              <w:spacing w:after="0"/>
              <w:rPr>
                <w:sz w:val="1"/>
                <w:szCs w:val="1"/>
                <w:color w:val="auto"/>
              </w:rPr>
            </w:pPr>
          </w:p>
        </w:tc>
      </w:tr>
      <w:tr>
        <w:trPr>
          <w:trHeight w:val="162"/>
        </w:trPr>
        <w:tc>
          <w:tcPr>
            <w:tcW w:w="4920" w:type="dxa"/>
            <w:vAlign w:val="bottom"/>
          </w:tcPr>
          <w:p>
            <w:pPr>
              <w:ind w:left="100"/>
              <w:spacing w:after="0"/>
              <w:rPr>
                <w:sz w:val="20"/>
                <w:szCs w:val="20"/>
                <w:color w:val="auto"/>
              </w:rPr>
            </w:pPr>
            <w:r>
              <w:rPr>
                <w:rFonts w:ascii="Arial" w:cs="Arial" w:eastAsia="Arial" w:hAnsi="Arial"/>
                <w:sz w:val="14"/>
                <w:szCs w:val="14"/>
                <w:color w:val="auto"/>
              </w:rPr>
              <w:t>Deferred compensation - current</w:t>
            </w:r>
          </w:p>
        </w:tc>
        <w:tc>
          <w:tcPr>
            <w:tcW w:w="2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1,477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1,325</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152</w:t>
            </w:r>
          </w:p>
        </w:tc>
        <w:tc>
          <w:tcPr>
            <w:tcW w:w="220" w:type="dxa"/>
            <w:vAlign w:val="bottom"/>
          </w:tcPr>
          <w:p>
            <w:pPr>
              <w:spacing w:after="0"/>
              <w:rPr>
                <w:sz w:val="14"/>
                <w:szCs w:val="14"/>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62"/>
        </w:trPr>
        <w:tc>
          <w:tcPr>
            <w:tcW w:w="4920" w:type="dxa"/>
            <w:vAlign w:val="bottom"/>
            <w:shd w:val="clear" w:color="auto" w:fill="CFF0FC"/>
          </w:tcPr>
          <w:p>
            <w:pPr>
              <w:ind w:left="100"/>
              <w:spacing w:after="0"/>
              <w:rPr>
                <w:sz w:val="20"/>
                <w:szCs w:val="20"/>
                <w:color w:val="auto"/>
              </w:rPr>
            </w:pPr>
            <w:r>
              <w:rPr>
                <w:rFonts w:ascii="Arial" w:cs="Arial" w:eastAsia="Arial" w:hAnsi="Arial"/>
                <w:sz w:val="14"/>
                <w:szCs w:val="14"/>
                <w:color w:val="auto"/>
              </w:rPr>
              <w:t>Deferred revenue</w:t>
            </w:r>
          </w:p>
        </w:tc>
        <w:tc>
          <w:tcPr>
            <w:tcW w:w="22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281</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422</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(141)</w:t>
            </w: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(33.4)%</w:t>
            </w:r>
          </w:p>
        </w:tc>
        <w:tc>
          <w:tcPr>
            <w:tcW w:w="0" w:type="dxa"/>
            <w:vAlign w:val="bottom"/>
          </w:tcPr>
          <w:p>
            <w:pPr>
              <w:spacing w:after="0"/>
              <w:rPr>
                <w:sz w:val="1"/>
                <w:szCs w:val="1"/>
                <w:color w:val="auto"/>
              </w:rPr>
            </w:pPr>
          </w:p>
        </w:tc>
      </w:tr>
      <w:tr>
        <w:trPr>
          <w:trHeight w:val="162"/>
        </w:trPr>
        <w:tc>
          <w:tcPr>
            <w:tcW w:w="4920" w:type="dxa"/>
            <w:vAlign w:val="bottom"/>
          </w:tcPr>
          <w:p>
            <w:pPr>
              <w:ind w:left="100"/>
              <w:spacing w:after="0"/>
              <w:rPr>
                <w:sz w:val="20"/>
                <w:szCs w:val="20"/>
                <w:color w:val="auto"/>
              </w:rPr>
            </w:pPr>
            <w:r>
              <w:rPr>
                <w:rFonts w:ascii="Arial" w:cs="Arial" w:eastAsia="Arial" w:hAnsi="Arial"/>
                <w:sz w:val="14"/>
                <w:szCs w:val="14"/>
                <w:color w:val="auto"/>
              </w:rPr>
              <w:t>Accrued expenses</w:t>
            </w:r>
          </w:p>
        </w:tc>
        <w:tc>
          <w:tcPr>
            <w:tcW w:w="2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4,103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5,333</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(1,230)</w:t>
            </w:r>
          </w:p>
        </w:tc>
        <w:tc>
          <w:tcPr>
            <w:tcW w:w="1540" w:type="dxa"/>
            <w:vAlign w:val="bottom"/>
            <w:gridSpan w:val="2"/>
          </w:tcPr>
          <w:p>
            <w:pPr>
              <w:jc w:val="right"/>
              <w:ind w:right="20"/>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162"/>
        </w:trPr>
        <w:tc>
          <w:tcPr>
            <w:tcW w:w="4920" w:type="dxa"/>
            <w:vAlign w:val="bottom"/>
            <w:shd w:val="clear" w:color="auto" w:fill="CFF0FC"/>
          </w:tcPr>
          <w:p>
            <w:pPr>
              <w:ind w:left="100"/>
              <w:spacing w:after="0"/>
              <w:rPr>
                <w:sz w:val="20"/>
                <w:szCs w:val="20"/>
                <w:color w:val="auto"/>
              </w:rPr>
            </w:pPr>
            <w:r>
              <w:rPr>
                <w:rFonts w:ascii="Arial" w:cs="Arial" w:eastAsia="Arial" w:hAnsi="Arial"/>
                <w:sz w:val="14"/>
                <w:szCs w:val="14"/>
                <w:color w:val="auto"/>
              </w:rPr>
              <w:t>Accrued restructuring</w:t>
            </w:r>
          </w:p>
        </w:tc>
        <w:tc>
          <w:tcPr>
            <w:tcW w:w="22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47</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610</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(563)</w:t>
            </w: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(92.3)%</w:t>
            </w:r>
          </w:p>
        </w:tc>
        <w:tc>
          <w:tcPr>
            <w:tcW w:w="0" w:type="dxa"/>
            <w:vAlign w:val="bottom"/>
          </w:tcPr>
          <w:p>
            <w:pPr>
              <w:spacing w:after="0"/>
              <w:rPr>
                <w:sz w:val="1"/>
                <w:szCs w:val="1"/>
                <w:color w:val="auto"/>
              </w:rPr>
            </w:pPr>
          </w:p>
        </w:tc>
      </w:tr>
      <w:tr>
        <w:trPr>
          <w:trHeight w:val="162"/>
        </w:trPr>
        <w:tc>
          <w:tcPr>
            <w:tcW w:w="4920" w:type="dxa"/>
            <w:vAlign w:val="bottom"/>
          </w:tcPr>
          <w:p>
            <w:pPr>
              <w:ind w:left="100"/>
              <w:spacing w:after="0"/>
              <w:rPr>
                <w:sz w:val="20"/>
                <w:szCs w:val="20"/>
                <w:color w:val="auto"/>
              </w:rPr>
            </w:pPr>
            <w:r>
              <w:rPr>
                <w:rFonts w:ascii="Arial" w:cs="Arial" w:eastAsia="Arial" w:hAnsi="Arial"/>
                <w:sz w:val="14"/>
                <w:szCs w:val="14"/>
                <w:color w:val="auto"/>
              </w:rPr>
              <w:t>Income taxes payable - current</w:t>
            </w:r>
          </w:p>
        </w:tc>
        <w:tc>
          <w:tcPr>
            <w:tcW w:w="2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1,420</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(1,420)</w:t>
            </w:r>
          </w:p>
        </w:tc>
        <w:tc>
          <w:tcPr>
            <w:tcW w:w="1540" w:type="dxa"/>
            <w:vAlign w:val="bottom"/>
            <w:gridSpan w:val="2"/>
          </w:tcPr>
          <w:p>
            <w:pPr>
              <w:jc w:val="right"/>
              <w:ind w:right="2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920" w:type="dxa"/>
            <w:vAlign w:val="bottom"/>
            <w:shd w:val="clear" w:color="auto" w:fill="CFF0FC"/>
          </w:tcPr>
          <w:p>
            <w:pPr>
              <w:ind w:left="180"/>
              <w:spacing w:after="0" w:line="155" w:lineRule="exact"/>
              <w:rPr>
                <w:sz w:val="20"/>
                <w:szCs w:val="20"/>
                <w:color w:val="auto"/>
              </w:rPr>
            </w:pPr>
            <w:r>
              <w:rPr>
                <w:rFonts w:ascii="Arial" w:cs="Arial" w:eastAsia="Arial" w:hAnsi="Arial"/>
                <w:sz w:val="14"/>
                <w:szCs w:val="14"/>
                <w:color w:val="auto"/>
              </w:rPr>
              <w:t>Total current liabilities</w:t>
            </w:r>
          </w:p>
        </w:tc>
        <w:tc>
          <w:tcPr>
            <w:tcW w:w="22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44,959</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46,964</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color w:val="auto"/>
              </w:rPr>
              <w:t>(2,005)</w:t>
            </w:r>
          </w:p>
        </w:tc>
        <w:tc>
          <w:tcPr>
            <w:tcW w:w="154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62"/>
        </w:trPr>
        <w:tc>
          <w:tcPr>
            <w:tcW w:w="4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20" w:type="dxa"/>
            <w:vAlign w:val="bottom"/>
            <w:shd w:val="clear" w:color="auto" w:fill="CFF0FC"/>
          </w:tcPr>
          <w:p>
            <w:pPr>
              <w:spacing w:after="0"/>
              <w:rPr>
                <w:sz w:val="20"/>
                <w:szCs w:val="20"/>
                <w:color w:val="auto"/>
              </w:rPr>
            </w:pPr>
            <w:r>
              <w:rPr>
                <w:rFonts w:ascii="Arial" w:cs="Arial" w:eastAsia="Arial" w:hAnsi="Arial"/>
                <w:sz w:val="14"/>
                <w:szCs w:val="14"/>
                <w:color w:val="auto"/>
              </w:rPr>
              <w:t>Lines of credit - long-term</w:t>
            </w:r>
          </w:p>
        </w:tc>
        <w:tc>
          <w:tcPr>
            <w:tcW w:w="22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7,000</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4,600</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2,400</w:t>
            </w:r>
          </w:p>
        </w:tc>
        <w:tc>
          <w:tcPr>
            <w:tcW w:w="22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52.2%</w:t>
            </w: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4"/>
                <w:szCs w:val="14"/>
                <w:color w:val="auto"/>
              </w:rPr>
              <w:t>Operating lease liability - long-term</w:t>
            </w:r>
          </w:p>
        </w:tc>
        <w:tc>
          <w:tcPr>
            <w:tcW w:w="2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1,027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2,535</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(1,508)</w:t>
            </w:r>
          </w:p>
        </w:tc>
        <w:tc>
          <w:tcPr>
            <w:tcW w:w="1540" w:type="dxa"/>
            <w:vAlign w:val="bottom"/>
            <w:gridSpan w:val="2"/>
          </w:tcPr>
          <w:p>
            <w:pPr>
              <w:jc w:val="right"/>
              <w:ind w:right="20"/>
              <w:spacing w:after="0"/>
              <w:rPr>
                <w:sz w:val="20"/>
                <w:szCs w:val="20"/>
                <w:color w:val="auto"/>
              </w:rPr>
            </w:pPr>
            <w:r>
              <w:rPr>
                <w:rFonts w:ascii="Arial" w:cs="Arial" w:eastAsia="Arial" w:hAnsi="Arial"/>
                <w:sz w:val="14"/>
                <w:szCs w:val="14"/>
                <w:color w:val="auto"/>
              </w:rPr>
              <w:t>(59.5)%</w:t>
            </w:r>
          </w:p>
        </w:tc>
        <w:tc>
          <w:tcPr>
            <w:tcW w:w="0" w:type="dxa"/>
            <w:vAlign w:val="bottom"/>
          </w:tcPr>
          <w:p>
            <w:pPr>
              <w:spacing w:after="0"/>
              <w:rPr>
                <w:sz w:val="1"/>
                <w:szCs w:val="1"/>
                <w:color w:val="auto"/>
              </w:rPr>
            </w:pPr>
          </w:p>
        </w:tc>
      </w:tr>
      <w:tr>
        <w:trPr>
          <w:trHeight w:val="162"/>
        </w:trPr>
        <w:tc>
          <w:tcPr>
            <w:tcW w:w="4920" w:type="dxa"/>
            <w:vAlign w:val="bottom"/>
            <w:shd w:val="clear" w:color="auto" w:fill="CFF0FC"/>
          </w:tcPr>
          <w:p>
            <w:pPr>
              <w:spacing w:after="0"/>
              <w:rPr>
                <w:sz w:val="20"/>
                <w:szCs w:val="20"/>
                <w:color w:val="auto"/>
              </w:rPr>
            </w:pPr>
            <w:r>
              <w:rPr>
                <w:rFonts w:ascii="Arial" w:cs="Arial" w:eastAsia="Arial" w:hAnsi="Arial"/>
                <w:sz w:val="14"/>
                <w:szCs w:val="14"/>
                <w:color w:val="auto"/>
              </w:rPr>
              <w:t>Income taxes payable - long-term</w:t>
            </w:r>
          </w:p>
        </w:tc>
        <w:tc>
          <w:tcPr>
            <w:tcW w:w="22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983</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790</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193</w:t>
            </w:r>
          </w:p>
        </w:tc>
        <w:tc>
          <w:tcPr>
            <w:tcW w:w="22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4,883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5,155</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(272)</w:t>
            </w:r>
          </w:p>
        </w:tc>
        <w:tc>
          <w:tcPr>
            <w:tcW w:w="1540" w:type="dxa"/>
            <w:vAlign w:val="bottom"/>
            <w:gridSpan w:val="2"/>
          </w:tcPr>
          <w:p>
            <w:pPr>
              <w:jc w:val="right"/>
              <w:ind w:right="20"/>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62"/>
        </w:trPr>
        <w:tc>
          <w:tcPr>
            <w:tcW w:w="4920" w:type="dxa"/>
            <w:vAlign w:val="bottom"/>
            <w:shd w:val="clear" w:color="auto" w:fill="CFF0FC"/>
          </w:tcPr>
          <w:p>
            <w:pPr>
              <w:spacing w:after="0"/>
              <w:rPr>
                <w:sz w:val="20"/>
                <w:szCs w:val="20"/>
                <w:color w:val="auto"/>
              </w:rPr>
            </w:pPr>
            <w:r>
              <w:rPr>
                <w:rFonts w:ascii="Arial" w:cs="Arial" w:eastAsia="Arial" w:hAnsi="Arial"/>
                <w:sz w:val="14"/>
                <w:szCs w:val="14"/>
                <w:color w:val="auto"/>
              </w:rPr>
              <w:t>Deferred compensation - long-term</w:t>
            </w:r>
          </w:p>
        </w:tc>
        <w:tc>
          <w:tcPr>
            <w:tcW w:w="22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4,991</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5,686</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(695)</w:t>
            </w: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20"/>
        </w:trPr>
        <w:tc>
          <w:tcPr>
            <w:tcW w:w="49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920" w:type="dxa"/>
            <w:vAlign w:val="bottom"/>
          </w:tcPr>
          <w:p>
            <w:pPr>
              <w:ind w:left="180"/>
              <w:spacing w:after="0" w:line="155" w:lineRule="exact"/>
              <w:rPr>
                <w:sz w:val="20"/>
                <w:szCs w:val="20"/>
                <w:color w:val="auto"/>
              </w:rPr>
            </w:pPr>
            <w:r>
              <w:rPr>
                <w:rFonts w:ascii="Arial" w:cs="Arial" w:eastAsia="Arial" w:hAnsi="Arial"/>
                <w:sz w:val="14"/>
                <w:szCs w:val="14"/>
                <w:color w:val="auto"/>
              </w:rPr>
              <w:t>Total liabilities</w:t>
            </w:r>
          </w:p>
        </w:tc>
        <w:tc>
          <w:tcPr>
            <w:tcW w:w="220" w:type="dxa"/>
            <w:vAlign w:val="bottom"/>
          </w:tcPr>
          <w:p>
            <w:pPr>
              <w:spacing w:after="0"/>
              <w:rPr>
                <w:sz w:val="13"/>
                <w:szCs w:val="13"/>
                <w:color w:val="auto"/>
              </w:rPr>
            </w:pPr>
          </w:p>
        </w:tc>
        <w:tc>
          <w:tcPr>
            <w:tcW w:w="14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63,843</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right"/>
              <w:spacing w:after="0" w:line="155" w:lineRule="exact"/>
              <w:rPr>
                <w:sz w:val="20"/>
                <w:szCs w:val="20"/>
                <w:color w:val="auto"/>
              </w:rPr>
            </w:pPr>
            <w:r>
              <w:rPr>
                <w:rFonts w:ascii="Arial" w:cs="Arial" w:eastAsia="Arial" w:hAnsi="Arial"/>
                <w:sz w:val="14"/>
                <w:szCs w:val="14"/>
                <w:color w:val="auto"/>
              </w:rPr>
              <w:t>65,730</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(1,887)</w:t>
            </w:r>
          </w:p>
        </w:tc>
        <w:tc>
          <w:tcPr>
            <w:tcW w:w="15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62"/>
        </w:trPr>
        <w:tc>
          <w:tcPr>
            <w:tcW w:w="4920" w:type="dxa"/>
            <w:vAlign w:val="bottom"/>
            <w:shd w:val="clear" w:color="auto" w:fill="CFF0FC"/>
          </w:tcPr>
          <w:p>
            <w:pPr>
              <w:spacing w:after="0"/>
              <w:rPr>
                <w:sz w:val="20"/>
                <w:szCs w:val="20"/>
                <w:color w:val="auto"/>
              </w:rPr>
            </w:pPr>
            <w:r>
              <w:rPr>
                <w:rFonts w:ascii="Arial" w:cs="Arial" w:eastAsia="Arial" w:hAnsi="Arial"/>
                <w:sz w:val="14"/>
                <w:szCs w:val="14"/>
                <w:color w:val="auto"/>
              </w:rPr>
              <w:t>Shareholders' equity</w:t>
            </w:r>
          </w:p>
        </w:tc>
        <w:tc>
          <w:tcPr>
            <w:tcW w:w="22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48,147</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57,640</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(9,493)</w:t>
            </w: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20"/>
        </w:trPr>
        <w:tc>
          <w:tcPr>
            <w:tcW w:w="49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920" w:type="dxa"/>
            <w:vAlign w:val="bottom"/>
          </w:tcPr>
          <w:p>
            <w:pPr>
              <w:ind w:left="180"/>
              <w:spacing w:after="0" w:line="147" w:lineRule="exact"/>
              <w:rPr>
                <w:sz w:val="20"/>
                <w:szCs w:val="20"/>
                <w:color w:val="auto"/>
              </w:rPr>
            </w:pPr>
            <w:r>
              <w:rPr>
                <w:rFonts w:ascii="Arial" w:cs="Arial" w:eastAsia="Arial" w:hAnsi="Arial"/>
                <w:sz w:val="14"/>
                <w:szCs w:val="14"/>
                <w:color w:val="auto"/>
              </w:rPr>
              <w:t>Total liabilities and shareholders'</w:t>
            </w:r>
          </w:p>
        </w:tc>
        <w:tc>
          <w:tcPr>
            <w:tcW w:w="2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111,990</w:t>
            </w:r>
          </w:p>
        </w:tc>
        <w:tc>
          <w:tcPr>
            <w:tcW w:w="2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123,370</w:t>
            </w:r>
          </w:p>
        </w:tc>
        <w:tc>
          <w:tcPr>
            <w:tcW w:w="220" w:type="dxa"/>
            <w:vAlign w:val="bottom"/>
          </w:tcPr>
          <w:p>
            <w:pPr>
              <w:spacing w:after="0"/>
              <w:rPr>
                <w:sz w:val="12"/>
                <w:szCs w:val="12"/>
                <w:color w:val="auto"/>
              </w:rPr>
            </w:pPr>
          </w:p>
        </w:tc>
        <w:tc>
          <w:tcPr>
            <w:tcW w:w="240" w:type="dxa"/>
            <w:vAlign w:val="bottom"/>
            <w:vMerge w:val="restart"/>
          </w:tcPr>
          <w:p>
            <w:pPr>
              <w:jc w:val="right"/>
              <w:ind w:right="88"/>
              <w:spacing w:after="0"/>
              <w:rPr>
                <w:sz w:val="20"/>
                <w:szCs w:val="20"/>
                <w:color w:val="auto"/>
              </w:rPr>
            </w:pPr>
            <w:r>
              <w:rPr>
                <w:rFonts w:ascii="Arial" w:cs="Arial" w:eastAsia="Arial" w:hAnsi="Arial"/>
                <w:sz w:val="14"/>
                <w:szCs w:val="14"/>
                <w:color w:val="auto"/>
                <w:w w:val="76"/>
              </w:rPr>
              <w:t>$</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(11,380)</w:t>
            </w:r>
          </w:p>
        </w:tc>
        <w:tc>
          <w:tcPr>
            <w:tcW w:w="220" w:type="dxa"/>
            <w:vAlign w:val="bottom"/>
          </w:tcPr>
          <w:p>
            <w:pPr>
              <w:spacing w:after="0"/>
              <w:rPr>
                <w:sz w:val="12"/>
                <w:szCs w:val="12"/>
                <w:color w:val="auto"/>
              </w:rPr>
            </w:pPr>
          </w:p>
        </w:tc>
        <w:tc>
          <w:tcPr>
            <w:tcW w:w="15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31"/>
        </w:trPr>
        <w:tc>
          <w:tcPr>
            <w:tcW w:w="4920" w:type="dxa"/>
            <w:vAlign w:val="bottom"/>
          </w:tcPr>
          <w:p>
            <w:pPr>
              <w:ind w:left="300"/>
              <w:spacing w:after="0" w:line="125" w:lineRule="exact"/>
              <w:rPr>
                <w:sz w:val="20"/>
                <w:szCs w:val="20"/>
                <w:color w:val="auto"/>
              </w:rPr>
            </w:pPr>
            <w:r>
              <w:rPr>
                <w:rFonts w:ascii="Arial" w:cs="Arial" w:eastAsia="Arial" w:hAnsi="Arial"/>
                <w:sz w:val="14"/>
                <w:szCs w:val="14"/>
                <w:color w:val="auto"/>
              </w:rPr>
              <w:t>equity</w:t>
            </w:r>
          </w:p>
        </w:tc>
        <w:tc>
          <w:tcPr>
            <w:tcW w:w="220" w:type="dxa"/>
            <w:vAlign w:val="bottom"/>
            <w:vMerge w:val="continue"/>
          </w:tcPr>
          <w:p>
            <w:pPr>
              <w:spacing w:after="0"/>
              <w:rPr>
                <w:sz w:val="11"/>
                <w:szCs w:val="11"/>
                <w:color w:val="auto"/>
              </w:rPr>
            </w:pPr>
          </w:p>
        </w:tc>
        <w:tc>
          <w:tcPr>
            <w:tcW w:w="14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9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Shares outstanding</w:t>
            </w:r>
          </w:p>
        </w:tc>
        <w:tc>
          <w:tcPr>
            <w:tcW w:w="22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b w:val="1"/>
                <w:bCs w:val="1"/>
                <w:color w:val="auto"/>
              </w:rPr>
              <w:t>12,663</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12,559</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104</w:t>
            </w:r>
          </w:p>
        </w:tc>
        <w:tc>
          <w:tcPr>
            <w:tcW w:w="22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60"/>
              <w:spacing w:after="0" w:line="143"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0"/>
        </w:trPr>
        <w:tc>
          <w:tcPr>
            <w:tcW w:w="49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-3488690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-3488690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-3488690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-3488690</wp:posOffset>
            </wp:positionV>
            <wp:extent cx="12001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-2442845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-2425065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-2442845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-2425065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-2442845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-2425065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-2442845</wp:posOffset>
            </wp:positionV>
            <wp:extent cx="12001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-2425065</wp:posOffset>
            </wp:positionV>
            <wp:extent cx="1200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-556895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-556895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-556895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-556895</wp:posOffset>
            </wp:positionV>
            <wp:extent cx="1200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-342265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-342265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-342265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-342265</wp:posOffset>
            </wp:positionV>
            <wp:extent cx="1200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-25400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-8255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-25400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-8255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-25400</wp:posOffset>
            </wp:positionV>
            <wp:extent cx="12001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-8255</wp:posOffset>
            </wp:positionV>
            <wp:extent cx="12001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Derived from 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CULP Announces Results for Fourth Quarter Fiscal 2026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rPr>
          <w:sz w:val="20"/>
          <w:szCs w:val="20"/>
          <w:color w:val="auto"/>
        </w:rPr>
      </w:pPr>
      <w:r>
        <w:rPr>
          <w:rFonts w:ascii="Arial" w:cs="Arial" w:eastAsia="Arial" w:hAnsi="Arial"/>
          <w:sz w:val="18"/>
          <w:szCs w:val="18"/>
          <w:color w:val="auto"/>
        </w:rPr>
        <w:t>July 1, 2026</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CULP,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line="237" w:lineRule="auto"/>
        <w:rPr>
          <w:sz w:val="20"/>
          <w:szCs w:val="20"/>
          <w:color w:val="auto"/>
        </w:rPr>
      </w:pPr>
      <w:r>
        <w:rPr>
          <w:rFonts w:ascii="Arial" w:cs="Arial" w:eastAsia="Arial" w:hAnsi="Arial"/>
          <w:sz w:val="18"/>
          <w:szCs w:val="18"/>
          <w:b w:val="1"/>
          <w:bCs w:val="1"/>
          <w:color w:val="auto"/>
        </w:rPr>
        <w:t>FOR THE TWELVE MONTHS ENDED MAY 3, 2026 AND APRIL 27, 2025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880" w:type="dxa"/>
            <w:vAlign w:val="bottom"/>
            <w:gridSpan w:val="5"/>
          </w:tcPr>
          <w:p>
            <w:pPr>
              <w:jc w:val="right"/>
              <w:ind w:right="208"/>
              <w:spacing w:after="0"/>
              <w:rPr>
                <w:sz w:val="20"/>
                <w:szCs w:val="20"/>
                <w:color w:val="auto"/>
              </w:rPr>
            </w:pPr>
            <w:r>
              <w:rPr>
                <w:rFonts w:ascii="Arial" w:cs="Arial" w:eastAsia="Arial" w:hAnsi="Arial"/>
                <w:sz w:val="14"/>
                <w:szCs w:val="14"/>
                <w:b w:val="1"/>
                <w:bCs w:val="1"/>
                <w:color w:val="auto"/>
              </w:rPr>
              <w:t>TWELVE MONTHS ENDED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77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808"/>
              <w:spacing w:after="0"/>
              <w:rPr>
                <w:sz w:val="20"/>
                <w:szCs w:val="20"/>
                <w:color w:val="auto"/>
              </w:rPr>
            </w:pPr>
            <w:r>
              <w:rPr>
                <w:rFonts w:ascii="Arial" w:cs="Arial" w:eastAsia="Arial" w:hAnsi="Arial"/>
                <w:sz w:val="14"/>
                <w:szCs w:val="14"/>
                <w:b w:val="1"/>
                <w:bCs w:val="1"/>
                <w:color w:val="auto"/>
              </w:rPr>
              <w:t>Amounts</w:t>
            </w: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6"/>
        </w:trPr>
        <w:tc>
          <w:tcPr>
            <w:tcW w:w="7720" w:type="dxa"/>
            <w:vAlign w:val="bottom"/>
          </w:tcPr>
          <w:p>
            <w:pPr>
              <w:spacing w:after="0"/>
              <w:rPr>
                <w:sz w:val="12"/>
                <w:szCs w:val="12"/>
                <w:color w:val="auto"/>
              </w:rPr>
            </w:pPr>
          </w:p>
        </w:tc>
        <w:tc>
          <w:tcPr>
            <w:tcW w:w="104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May 3,</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line="147" w:lineRule="exact"/>
              <w:rPr>
                <w:sz w:val="20"/>
                <w:szCs w:val="20"/>
                <w:color w:val="auto"/>
              </w:rPr>
            </w:pPr>
            <w:r>
              <w:rPr>
                <w:rFonts w:ascii="Arial" w:cs="Arial" w:eastAsia="Arial" w:hAnsi="Arial"/>
                <w:sz w:val="14"/>
                <w:szCs w:val="14"/>
                <w:color w:val="auto"/>
              </w:rPr>
              <w:t>April 27,</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1"/>
        </w:trPr>
        <w:tc>
          <w:tcPr>
            <w:tcW w:w="77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2026</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48"/>
              <w:spacing w:after="0"/>
              <w:rPr>
                <w:sz w:val="20"/>
                <w:szCs w:val="20"/>
                <w:color w:val="auto"/>
              </w:rPr>
            </w:pPr>
            <w:r>
              <w:rPr>
                <w:rFonts w:ascii="Arial" w:cs="Arial" w:eastAsia="Arial" w:hAnsi="Arial"/>
                <w:sz w:val="14"/>
                <w:szCs w:val="14"/>
                <w:color w:val="auto"/>
              </w:rPr>
              <w:t>2025</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7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Cash flows from operating activities:</w:t>
            </w:r>
          </w:p>
        </w:tc>
        <w:tc>
          <w:tcPr>
            <w:tcW w:w="1040" w:type="dxa"/>
            <w:vAlign w:val="bottom"/>
            <w:tcBorders>
              <w:top w:val="single" w:sz="8" w:color="auto"/>
            </w:tcBorders>
            <w:shd w:val="clear" w:color="auto" w:fill="CFF0FC"/>
          </w:tcPr>
          <w:p>
            <w:pPr>
              <w:spacing w:after="0"/>
              <w:rPr>
                <w:sz w:val="13"/>
                <w:szCs w:val="13"/>
                <w:color w:val="auto"/>
              </w:rPr>
            </w:pPr>
          </w:p>
        </w:tc>
        <w:tc>
          <w:tcPr>
            <w:tcW w:w="520" w:type="dxa"/>
            <w:vAlign w:val="bottom"/>
            <w:tcBorders>
              <w:top w:val="single" w:sz="8" w:color="auto"/>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52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2"/>
        </w:trPr>
        <w:tc>
          <w:tcPr>
            <w:tcW w:w="7720" w:type="dxa"/>
            <w:vAlign w:val="bottom"/>
          </w:tcPr>
          <w:p>
            <w:pPr>
              <w:ind w:left="140"/>
              <w:spacing w:after="0"/>
              <w:rPr>
                <w:sz w:val="20"/>
                <w:szCs w:val="20"/>
                <w:color w:val="auto"/>
              </w:rPr>
            </w:pPr>
            <w:r>
              <w:rPr>
                <w:rFonts w:ascii="Arial" w:cs="Arial" w:eastAsia="Arial" w:hAnsi="Arial"/>
                <w:sz w:val="14"/>
                <w:szCs w:val="14"/>
                <w:color w:val="auto"/>
              </w:rPr>
              <w:t>Net loss</w:t>
            </w:r>
          </w:p>
        </w:tc>
        <w:tc>
          <w:tcPr>
            <w:tcW w:w="1040" w:type="dxa"/>
            <w:vAlign w:val="bottom"/>
          </w:tcPr>
          <w:p>
            <w:pPr>
              <w:jc w:val="right"/>
              <w:ind w:right="868"/>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(10,211)</w:t>
            </w:r>
          </w:p>
        </w:tc>
        <w:tc>
          <w:tcPr>
            <w:tcW w:w="1160" w:type="dxa"/>
            <w:vAlign w:val="bottom"/>
            <w:gridSpan w:val="2"/>
          </w:tcPr>
          <w:p>
            <w:pPr>
              <w:jc w:val="right"/>
              <w:ind w:right="888"/>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(19,103)</w:t>
            </w:r>
          </w:p>
        </w:tc>
      </w:tr>
      <w:tr>
        <w:trPr>
          <w:trHeight w:val="153"/>
        </w:trPr>
        <w:tc>
          <w:tcPr>
            <w:tcW w:w="7720" w:type="dxa"/>
            <w:vAlign w:val="bottom"/>
            <w:shd w:val="clear" w:color="auto" w:fill="CFF0FC"/>
          </w:tcPr>
          <w:p>
            <w:pPr>
              <w:ind w:left="140"/>
              <w:spacing w:after="0" w:line="153" w:lineRule="exact"/>
              <w:rPr>
                <w:sz w:val="20"/>
                <w:szCs w:val="20"/>
                <w:color w:val="auto"/>
              </w:rPr>
            </w:pPr>
            <w:r>
              <w:rPr>
                <w:rFonts w:ascii="Arial" w:cs="Arial" w:eastAsia="Arial" w:hAnsi="Arial"/>
                <w:sz w:val="14"/>
                <w:szCs w:val="14"/>
                <w:color w:val="auto"/>
              </w:rPr>
              <w:t>Adjustments to reconcile net loss to net cash used in</w:t>
            </w:r>
          </w:p>
        </w:tc>
        <w:tc>
          <w:tcPr>
            <w:tcW w:w="10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71"/>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operating activities:</w:t>
            </w:r>
          </w:p>
        </w:tc>
        <w:tc>
          <w:tcPr>
            <w:tcW w:w="10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7720" w:type="dxa"/>
            <w:vAlign w:val="bottom"/>
          </w:tcPr>
          <w:p>
            <w:pPr>
              <w:ind w:left="280"/>
              <w:spacing w:after="0"/>
              <w:rPr>
                <w:sz w:val="20"/>
                <w:szCs w:val="20"/>
                <w:color w:val="auto"/>
              </w:rPr>
            </w:pPr>
            <w:r>
              <w:rPr>
                <w:rFonts w:ascii="Arial" w:cs="Arial" w:eastAsia="Arial" w:hAnsi="Arial"/>
                <w:sz w:val="14"/>
                <w:szCs w:val="14"/>
                <w:color w:val="auto"/>
              </w:rPr>
              <w:t>Depreciation</w:t>
            </w:r>
          </w:p>
        </w:tc>
        <w:tc>
          <w:tcPr>
            <w:tcW w:w="10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4,105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5,440</w:t>
            </w:r>
          </w:p>
        </w:tc>
        <w:tc>
          <w:tcPr>
            <w:tcW w:w="120" w:type="dxa"/>
            <w:vAlign w:val="bottom"/>
          </w:tcPr>
          <w:p>
            <w:pPr>
              <w:spacing w:after="0"/>
              <w:rPr>
                <w:sz w:val="14"/>
                <w:szCs w:val="14"/>
                <w:color w:val="auto"/>
              </w:rPr>
            </w:pPr>
          </w:p>
        </w:tc>
      </w:tr>
      <w:tr>
        <w:trPr>
          <w:trHeight w:val="162"/>
        </w:trPr>
        <w:tc>
          <w:tcPr>
            <w:tcW w:w="7720" w:type="dxa"/>
            <w:vAlign w:val="bottom"/>
            <w:shd w:val="clear" w:color="auto" w:fill="CFF0FC"/>
          </w:tcPr>
          <w:p>
            <w:pPr>
              <w:ind w:left="280"/>
              <w:spacing w:after="0"/>
              <w:rPr>
                <w:sz w:val="20"/>
                <w:szCs w:val="20"/>
                <w:color w:val="auto"/>
              </w:rPr>
            </w:pPr>
            <w:r>
              <w:rPr>
                <w:rFonts w:ascii="Arial" w:cs="Arial" w:eastAsia="Arial" w:hAnsi="Arial"/>
                <w:sz w:val="14"/>
                <w:szCs w:val="14"/>
                <w:color w:val="auto"/>
              </w:rPr>
              <w:t>Non-cash inventory charge (credit)</w:t>
            </w:r>
          </w:p>
        </w:tc>
        <w:tc>
          <w:tcPr>
            <w:tcW w:w="10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2,050</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(2,423)</w:t>
            </w:r>
          </w:p>
        </w:tc>
      </w:tr>
      <w:tr>
        <w:trPr>
          <w:trHeight w:val="162"/>
        </w:trPr>
        <w:tc>
          <w:tcPr>
            <w:tcW w:w="7720" w:type="dxa"/>
            <w:vAlign w:val="bottom"/>
          </w:tcPr>
          <w:p>
            <w:pPr>
              <w:ind w:left="280"/>
              <w:spacing w:after="0"/>
              <w:rPr>
                <w:sz w:val="20"/>
                <w:szCs w:val="20"/>
                <w:color w:val="auto"/>
              </w:rPr>
            </w:pPr>
            <w:r>
              <w:rPr>
                <w:rFonts w:ascii="Arial" w:cs="Arial" w:eastAsia="Arial" w:hAnsi="Arial"/>
                <w:sz w:val="14"/>
                <w:szCs w:val="14"/>
                <w:color w:val="auto"/>
              </w:rPr>
              <w:t>Amortization</w:t>
            </w:r>
          </w:p>
        </w:tc>
        <w:tc>
          <w:tcPr>
            <w:tcW w:w="10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321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405</w:t>
            </w:r>
          </w:p>
        </w:tc>
        <w:tc>
          <w:tcPr>
            <w:tcW w:w="120" w:type="dxa"/>
            <w:vAlign w:val="bottom"/>
          </w:tcPr>
          <w:p>
            <w:pPr>
              <w:spacing w:after="0"/>
              <w:rPr>
                <w:sz w:val="14"/>
                <w:szCs w:val="14"/>
                <w:color w:val="auto"/>
              </w:rPr>
            </w:pPr>
          </w:p>
        </w:tc>
      </w:tr>
      <w:tr>
        <w:trPr>
          <w:trHeight w:val="162"/>
        </w:trPr>
        <w:tc>
          <w:tcPr>
            <w:tcW w:w="7720" w:type="dxa"/>
            <w:vAlign w:val="bottom"/>
            <w:shd w:val="clear" w:color="auto" w:fill="CFF0FC"/>
          </w:tcPr>
          <w:p>
            <w:pPr>
              <w:ind w:left="280"/>
              <w:spacing w:after="0"/>
              <w:rPr>
                <w:sz w:val="20"/>
                <w:szCs w:val="20"/>
                <w:color w:val="auto"/>
              </w:rPr>
            </w:pPr>
            <w:r>
              <w:rPr>
                <w:rFonts w:ascii="Arial" w:cs="Arial" w:eastAsia="Arial" w:hAnsi="Arial"/>
                <w:sz w:val="14"/>
                <w:szCs w:val="14"/>
                <w:color w:val="auto"/>
              </w:rPr>
              <w:t>Stock-based compensation</w:t>
            </w:r>
          </w:p>
        </w:tc>
        <w:tc>
          <w:tcPr>
            <w:tcW w:w="10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625</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650</w:t>
            </w:r>
          </w:p>
        </w:tc>
        <w:tc>
          <w:tcPr>
            <w:tcW w:w="120" w:type="dxa"/>
            <w:vAlign w:val="bottom"/>
            <w:shd w:val="clear" w:color="auto" w:fill="CFF0FC"/>
          </w:tcPr>
          <w:p>
            <w:pPr>
              <w:spacing w:after="0"/>
              <w:rPr>
                <w:sz w:val="14"/>
                <w:szCs w:val="14"/>
                <w:color w:val="auto"/>
              </w:rPr>
            </w:pPr>
          </w:p>
        </w:tc>
      </w:tr>
      <w:tr>
        <w:trPr>
          <w:trHeight w:val="162"/>
        </w:trPr>
        <w:tc>
          <w:tcPr>
            <w:tcW w:w="7720" w:type="dxa"/>
            <w:vAlign w:val="bottom"/>
          </w:tcPr>
          <w:p>
            <w:pPr>
              <w:ind w:left="280"/>
              <w:spacing w:after="0"/>
              <w:rPr>
                <w:sz w:val="20"/>
                <w:szCs w:val="20"/>
                <w:color w:val="auto"/>
              </w:rPr>
            </w:pPr>
            <w:r>
              <w:rPr>
                <w:rFonts w:ascii="Arial" w:cs="Arial" w:eastAsia="Arial" w:hAnsi="Arial"/>
                <w:sz w:val="14"/>
                <w:szCs w:val="14"/>
                <w:color w:val="auto"/>
              </w:rPr>
              <w:t>Deferred income taxes</w:t>
            </w:r>
          </w:p>
        </w:tc>
        <w:tc>
          <w:tcPr>
            <w:tcW w:w="104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(138)</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(1,343)</w:t>
            </w:r>
          </w:p>
        </w:tc>
      </w:tr>
      <w:tr>
        <w:trPr>
          <w:trHeight w:val="162"/>
        </w:trPr>
        <w:tc>
          <w:tcPr>
            <w:tcW w:w="7720" w:type="dxa"/>
            <w:vAlign w:val="bottom"/>
            <w:shd w:val="clear" w:color="auto" w:fill="CFF0FC"/>
          </w:tcPr>
          <w:p>
            <w:pPr>
              <w:ind w:left="280"/>
              <w:spacing w:after="0"/>
              <w:rPr>
                <w:sz w:val="20"/>
                <w:szCs w:val="20"/>
                <w:color w:val="auto"/>
              </w:rPr>
            </w:pPr>
            <w:r>
              <w:rPr>
                <w:rFonts w:ascii="Arial" w:cs="Arial" w:eastAsia="Arial" w:hAnsi="Arial"/>
                <w:sz w:val="14"/>
                <w:szCs w:val="14"/>
                <w:color w:val="auto"/>
              </w:rPr>
              <w:t>Realized gain on sale of investments (rabbi trust)</w:t>
            </w:r>
          </w:p>
        </w:tc>
        <w:tc>
          <w:tcPr>
            <w:tcW w:w="10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b w:val="1"/>
                <w:bCs w:val="1"/>
                <w:color w:val="auto"/>
              </w:rPr>
              <w:t>(34)</w:t>
            </w: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720" w:type="dxa"/>
            <w:vAlign w:val="bottom"/>
          </w:tcPr>
          <w:p>
            <w:pPr>
              <w:ind w:left="280"/>
              <w:spacing w:after="0"/>
              <w:rPr>
                <w:sz w:val="20"/>
                <w:szCs w:val="20"/>
                <w:color w:val="auto"/>
              </w:rPr>
            </w:pPr>
            <w:r>
              <w:rPr>
                <w:rFonts w:ascii="Arial" w:cs="Arial" w:eastAsia="Arial" w:hAnsi="Arial"/>
                <w:sz w:val="14"/>
                <w:szCs w:val="14"/>
                <w:color w:val="auto"/>
              </w:rPr>
              <w:t>Gain on sale of equipment</w:t>
            </w:r>
          </w:p>
        </w:tc>
        <w:tc>
          <w:tcPr>
            <w:tcW w:w="104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(27)</w:t>
            </w:r>
          </w:p>
        </w:tc>
      </w:tr>
      <w:tr>
        <w:trPr>
          <w:trHeight w:val="162"/>
        </w:trPr>
        <w:tc>
          <w:tcPr>
            <w:tcW w:w="7720" w:type="dxa"/>
            <w:vAlign w:val="bottom"/>
            <w:shd w:val="clear" w:color="auto" w:fill="CFF0FC"/>
          </w:tcPr>
          <w:p>
            <w:pPr>
              <w:ind w:left="280"/>
              <w:spacing w:after="0"/>
              <w:rPr>
                <w:sz w:val="20"/>
                <w:szCs w:val="20"/>
                <w:color w:val="auto"/>
              </w:rPr>
            </w:pPr>
            <w:r>
              <w:rPr>
                <w:rFonts w:ascii="Arial" w:cs="Arial" w:eastAsia="Arial" w:hAnsi="Arial"/>
                <w:sz w:val="14"/>
                <w:szCs w:val="14"/>
                <w:color w:val="auto"/>
              </w:rPr>
              <w:t>Non-cash restructuring (credit) expense</w:t>
            </w:r>
          </w:p>
        </w:tc>
        <w:tc>
          <w:tcPr>
            <w:tcW w:w="10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b w:val="1"/>
                <w:bCs w:val="1"/>
                <w:color w:val="auto"/>
              </w:rPr>
              <w:t>(3,315)</w:t>
            </w: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2,708</w:t>
            </w:r>
          </w:p>
        </w:tc>
        <w:tc>
          <w:tcPr>
            <w:tcW w:w="120" w:type="dxa"/>
            <w:vAlign w:val="bottom"/>
            <w:shd w:val="clear" w:color="auto" w:fill="CFF0FC"/>
          </w:tcPr>
          <w:p>
            <w:pPr>
              <w:spacing w:after="0"/>
              <w:rPr>
                <w:sz w:val="14"/>
                <w:szCs w:val="14"/>
                <w:color w:val="auto"/>
              </w:rPr>
            </w:pPr>
          </w:p>
        </w:tc>
      </w:tr>
      <w:tr>
        <w:trPr>
          <w:trHeight w:val="162"/>
        </w:trPr>
        <w:tc>
          <w:tcPr>
            <w:tcW w:w="7720" w:type="dxa"/>
            <w:vAlign w:val="bottom"/>
          </w:tcPr>
          <w:p>
            <w:pPr>
              <w:ind w:left="280"/>
              <w:spacing w:after="0"/>
              <w:rPr>
                <w:sz w:val="20"/>
                <w:szCs w:val="20"/>
                <w:color w:val="auto"/>
              </w:rPr>
            </w:pPr>
            <w:r>
              <w:rPr>
                <w:rFonts w:ascii="Arial" w:cs="Arial" w:eastAsia="Arial" w:hAnsi="Arial"/>
                <w:sz w:val="14"/>
                <w:szCs w:val="14"/>
                <w:color w:val="auto"/>
              </w:rPr>
              <w:t>Foreign currency exchange loss (gain)</w:t>
            </w:r>
          </w:p>
        </w:tc>
        <w:tc>
          <w:tcPr>
            <w:tcW w:w="10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1,269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(145)</w:t>
            </w:r>
          </w:p>
        </w:tc>
      </w:tr>
      <w:tr>
        <w:trPr>
          <w:trHeight w:val="162"/>
        </w:trPr>
        <w:tc>
          <w:tcPr>
            <w:tcW w:w="7720" w:type="dxa"/>
            <w:vAlign w:val="bottom"/>
            <w:shd w:val="clear" w:color="auto" w:fill="CFF0FC"/>
          </w:tcPr>
          <w:p>
            <w:pPr>
              <w:ind w:left="280"/>
              <w:spacing w:after="0"/>
              <w:rPr>
                <w:sz w:val="20"/>
                <w:szCs w:val="20"/>
                <w:color w:val="auto"/>
              </w:rPr>
            </w:pPr>
            <w:r>
              <w:rPr>
                <w:rFonts w:ascii="Arial" w:cs="Arial" w:eastAsia="Arial" w:hAnsi="Arial"/>
                <w:sz w:val="14"/>
                <w:szCs w:val="14"/>
                <w:color w:val="auto"/>
              </w:rPr>
              <w:t>Changes in assets and liabilities:</w:t>
            </w:r>
          </w:p>
        </w:tc>
        <w:tc>
          <w:tcPr>
            <w:tcW w:w="10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7720" w:type="dxa"/>
            <w:vAlign w:val="bottom"/>
          </w:tcPr>
          <w:p>
            <w:pPr>
              <w:ind w:left="420"/>
              <w:spacing w:after="0"/>
              <w:rPr>
                <w:sz w:val="20"/>
                <w:szCs w:val="20"/>
                <w:color w:val="auto"/>
              </w:rPr>
            </w:pPr>
            <w:r>
              <w:rPr>
                <w:rFonts w:ascii="Arial" w:cs="Arial" w:eastAsia="Arial" w:hAnsi="Arial"/>
                <w:sz w:val="14"/>
                <w:szCs w:val="14"/>
                <w:color w:val="auto"/>
              </w:rPr>
              <w:t>Accounts receivable</w:t>
            </w:r>
          </w:p>
        </w:tc>
        <w:tc>
          <w:tcPr>
            <w:tcW w:w="10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1,567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(722)</w:t>
            </w:r>
          </w:p>
        </w:tc>
      </w:tr>
      <w:tr>
        <w:trPr>
          <w:trHeight w:val="162"/>
        </w:trPr>
        <w:tc>
          <w:tcPr>
            <w:tcW w:w="7720" w:type="dxa"/>
            <w:vAlign w:val="bottom"/>
            <w:shd w:val="clear" w:color="auto" w:fill="CFF0FC"/>
          </w:tcPr>
          <w:p>
            <w:pPr>
              <w:ind w:left="420"/>
              <w:spacing w:after="0"/>
              <w:rPr>
                <w:sz w:val="20"/>
                <w:szCs w:val="20"/>
                <w:color w:val="auto"/>
              </w:rPr>
            </w:pPr>
            <w:r>
              <w:rPr>
                <w:rFonts w:ascii="Arial" w:cs="Arial" w:eastAsia="Arial" w:hAnsi="Arial"/>
                <w:sz w:val="14"/>
                <w:szCs w:val="14"/>
                <w:color w:val="auto"/>
              </w:rPr>
              <w:t>Inventories</w:t>
            </w:r>
          </w:p>
        </w:tc>
        <w:tc>
          <w:tcPr>
            <w:tcW w:w="10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7</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(2,059)</w:t>
            </w:r>
          </w:p>
        </w:tc>
      </w:tr>
      <w:tr>
        <w:trPr>
          <w:trHeight w:val="162"/>
        </w:trPr>
        <w:tc>
          <w:tcPr>
            <w:tcW w:w="7720" w:type="dxa"/>
            <w:vAlign w:val="bottom"/>
          </w:tcPr>
          <w:p>
            <w:pPr>
              <w:ind w:left="420"/>
              <w:spacing w:after="0"/>
              <w:rPr>
                <w:sz w:val="20"/>
                <w:szCs w:val="20"/>
                <w:color w:val="auto"/>
              </w:rPr>
            </w:pPr>
            <w:r>
              <w:rPr>
                <w:rFonts w:ascii="Arial" w:cs="Arial" w:eastAsia="Arial" w:hAnsi="Arial"/>
                <w:sz w:val="14"/>
                <w:szCs w:val="14"/>
                <w:color w:val="auto"/>
              </w:rPr>
              <w:t>Other current assets</w:t>
            </w:r>
          </w:p>
        </w:tc>
        <w:tc>
          <w:tcPr>
            <w:tcW w:w="10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390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384</w:t>
            </w:r>
          </w:p>
        </w:tc>
        <w:tc>
          <w:tcPr>
            <w:tcW w:w="120" w:type="dxa"/>
            <w:vAlign w:val="bottom"/>
          </w:tcPr>
          <w:p>
            <w:pPr>
              <w:spacing w:after="0"/>
              <w:rPr>
                <w:sz w:val="14"/>
                <w:szCs w:val="14"/>
                <w:color w:val="auto"/>
              </w:rPr>
            </w:pPr>
          </w:p>
        </w:tc>
      </w:tr>
      <w:tr>
        <w:trPr>
          <w:trHeight w:val="162"/>
        </w:trPr>
        <w:tc>
          <w:tcPr>
            <w:tcW w:w="7720" w:type="dxa"/>
            <w:vAlign w:val="bottom"/>
            <w:shd w:val="clear" w:color="auto" w:fill="CFF0FC"/>
          </w:tcPr>
          <w:p>
            <w:pPr>
              <w:ind w:left="420"/>
              <w:spacing w:after="0"/>
              <w:rPr>
                <w:sz w:val="20"/>
                <w:szCs w:val="20"/>
                <w:color w:val="auto"/>
              </w:rPr>
            </w:pPr>
            <w:r>
              <w:rPr>
                <w:rFonts w:ascii="Arial" w:cs="Arial" w:eastAsia="Arial" w:hAnsi="Arial"/>
                <w:sz w:val="14"/>
                <w:szCs w:val="14"/>
                <w:color w:val="auto"/>
              </w:rPr>
              <w:t>Other assets</w:t>
            </w:r>
          </w:p>
        </w:tc>
        <w:tc>
          <w:tcPr>
            <w:tcW w:w="10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111</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w:t>
            </w:r>
          </w:p>
        </w:tc>
        <w:tc>
          <w:tcPr>
            <w:tcW w:w="120" w:type="dxa"/>
            <w:vAlign w:val="bottom"/>
            <w:shd w:val="clear" w:color="auto" w:fill="CFF0FC"/>
          </w:tcPr>
          <w:p>
            <w:pPr>
              <w:spacing w:after="0"/>
              <w:rPr>
                <w:sz w:val="14"/>
                <w:szCs w:val="14"/>
                <w:color w:val="auto"/>
              </w:rPr>
            </w:pPr>
          </w:p>
        </w:tc>
      </w:tr>
      <w:tr>
        <w:trPr>
          <w:trHeight w:val="162"/>
        </w:trPr>
        <w:tc>
          <w:tcPr>
            <w:tcW w:w="7720" w:type="dxa"/>
            <w:vAlign w:val="bottom"/>
          </w:tcPr>
          <w:p>
            <w:pPr>
              <w:ind w:left="420"/>
              <w:spacing w:after="0"/>
              <w:rPr>
                <w:sz w:val="20"/>
                <w:szCs w:val="20"/>
                <w:color w:val="auto"/>
              </w:rPr>
            </w:pPr>
            <w:r>
              <w:rPr>
                <w:rFonts w:ascii="Arial" w:cs="Arial" w:eastAsia="Arial" w:hAnsi="Arial"/>
                <w:sz w:val="14"/>
                <w:szCs w:val="14"/>
                <w:color w:val="auto"/>
              </w:rPr>
              <w:t>Accounts payable - trade</w:t>
            </w:r>
          </w:p>
        </w:tc>
        <w:tc>
          <w:tcPr>
            <w:tcW w:w="104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(2,458)</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1,852</w:t>
            </w:r>
          </w:p>
        </w:tc>
        <w:tc>
          <w:tcPr>
            <w:tcW w:w="120" w:type="dxa"/>
            <w:vAlign w:val="bottom"/>
          </w:tcPr>
          <w:p>
            <w:pPr>
              <w:spacing w:after="0"/>
              <w:rPr>
                <w:sz w:val="14"/>
                <w:szCs w:val="14"/>
                <w:color w:val="auto"/>
              </w:rPr>
            </w:pPr>
          </w:p>
        </w:tc>
      </w:tr>
      <w:tr>
        <w:trPr>
          <w:trHeight w:val="162"/>
        </w:trPr>
        <w:tc>
          <w:tcPr>
            <w:tcW w:w="7720" w:type="dxa"/>
            <w:vAlign w:val="bottom"/>
            <w:shd w:val="clear" w:color="auto" w:fill="CFF0FC"/>
          </w:tcPr>
          <w:p>
            <w:pPr>
              <w:ind w:left="420"/>
              <w:spacing w:after="0"/>
              <w:rPr>
                <w:sz w:val="20"/>
                <w:szCs w:val="20"/>
                <w:color w:val="auto"/>
              </w:rPr>
            </w:pPr>
            <w:r>
              <w:rPr>
                <w:rFonts w:ascii="Arial" w:cs="Arial" w:eastAsia="Arial" w:hAnsi="Arial"/>
                <w:sz w:val="14"/>
                <w:szCs w:val="14"/>
                <w:color w:val="auto"/>
              </w:rPr>
              <w:t>Deferred revenue</w:t>
            </w:r>
          </w:p>
        </w:tc>
        <w:tc>
          <w:tcPr>
            <w:tcW w:w="10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b w:val="1"/>
                <w:bCs w:val="1"/>
                <w:color w:val="auto"/>
              </w:rPr>
              <w:t>(141)</w:t>
            </w: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(1,073)</w:t>
            </w:r>
          </w:p>
        </w:tc>
      </w:tr>
      <w:tr>
        <w:trPr>
          <w:trHeight w:val="162"/>
        </w:trPr>
        <w:tc>
          <w:tcPr>
            <w:tcW w:w="7720" w:type="dxa"/>
            <w:vAlign w:val="bottom"/>
          </w:tcPr>
          <w:p>
            <w:pPr>
              <w:ind w:left="420"/>
              <w:spacing w:after="0"/>
              <w:rPr>
                <w:sz w:val="20"/>
                <w:szCs w:val="20"/>
                <w:color w:val="auto"/>
              </w:rPr>
            </w:pPr>
            <w:r>
              <w:rPr>
                <w:rFonts w:ascii="Arial" w:cs="Arial" w:eastAsia="Arial" w:hAnsi="Arial"/>
                <w:sz w:val="14"/>
                <w:szCs w:val="14"/>
                <w:color w:val="auto"/>
              </w:rPr>
              <w:t>Accrued restructuring</w:t>
            </w:r>
          </w:p>
        </w:tc>
        <w:tc>
          <w:tcPr>
            <w:tcW w:w="104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(563)</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633</w:t>
            </w:r>
          </w:p>
        </w:tc>
        <w:tc>
          <w:tcPr>
            <w:tcW w:w="120" w:type="dxa"/>
            <w:vAlign w:val="bottom"/>
          </w:tcPr>
          <w:p>
            <w:pPr>
              <w:spacing w:after="0"/>
              <w:rPr>
                <w:sz w:val="14"/>
                <w:szCs w:val="14"/>
                <w:color w:val="auto"/>
              </w:rPr>
            </w:pPr>
          </w:p>
        </w:tc>
      </w:tr>
      <w:tr>
        <w:trPr>
          <w:trHeight w:val="162"/>
        </w:trPr>
        <w:tc>
          <w:tcPr>
            <w:tcW w:w="7720" w:type="dxa"/>
            <w:vAlign w:val="bottom"/>
            <w:shd w:val="clear" w:color="auto" w:fill="CFF0FC"/>
          </w:tcPr>
          <w:p>
            <w:pPr>
              <w:ind w:left="420"/>
              <w:spacing w:after="0"/>
              <w:rPr>
                <w:sz w:val="20"/>
                <w:szCs w:val="20"/>
                <w:color w:val="auto"/>
              </w:rPr>
            </w:pPr>
            <w:r>
              <w:rPr>
                <w:rFonts w:ascii="Arial" w:cs="Arial" w:eastAsia="Arial" w:hAnsi="Arial"/>
                <w:sz w:val="14"/>
                <w:szCs w:val="14"/>
                <w:color w:val="auto"/>
              </w:rPr>
              <w:t>Accrued expenses and deferred compensation</w:t>
            </w:r>
          </w:p>
        </w:tc>
        <w:tc>
          <w:tcPr>
            <w:tcW w:w="10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b w:val="1"/>
                <w:bCs w:val="1"/>
                <w:color w:val="auto"/>
              </w:rPr>
              <w:t>(1,471)</w:t>
            </w: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(2,456)</w:t>
            </w:r>
          </w:p>
        </w:tc>
      </w:tr>
      <w:tr>
        <w:trPr>
          <w:trHeight w:val="162"/>
        </w:trPr>
        <w:tc>
          <w:tcPr>
            <w:tcW w:w="7720" w:type="dxa"/>
            <w:vAlign w:val="bottom"/>
          </w:tcPr>
          <w:p>
            <w:pPr>
              <w:ind w:left="420"/>
              <w:spacing w:after="0"/>
              <w:rPr>
                <w:sz w:val="20"/>
                <w:szCs w:val="20"/>
                <w:color w:val="auto"/>
              </w:rPr>
            </w:pPr>
            <w:r>
              <w:rPr>
                <w:rFonts w:ascii="Arial" w:cs="Arial" w:eastAsia="Arial" w:hAnsi="Arial"/>
                <w:sz w:val="14"/>
                <w:szCs w:val="14"/>
                <w:color w:val="auto"/>
              </w:rPr>
              <w:t>Income taxes</w:t>
            </w:r>
          </w:p>
        </w:tc>
        <w:tc>
          <w:tcPr>
            <w:tcW w:w="104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(1,481)</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(485)</w:t>
            </w:r>
          </w:p>
        </w:tc>
      </w:tr>
      <w:tr>
        <w:trPr>
          <w:trHeight w:val="20"/>
        </w:trPr>
        <w:tc>
          <w:tcPr>
            <w:tcW w:w="77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5"/>
        </w:trPr>
        <w:tc>
          <w:tcPr>
            <w:tcW w:w="7720" w:type="dxa"/>
            <w:vAlign w:val="bottom"/>
            <w:shd w:val="clear" w:color="auto" w:fill="CFF0FC"/>
          </w:tcPr>
          <w:p>
            <w:pPr>
              <w:ind w:left="560"/>
              <w:spacing w:after="0" w:line="155" w:lineRule="exact"/>
              <w:rPr>
                <w:sz w:val="20"/>
                <w:szCs w:val="20"/>
                <w:color w:val="auto"/>
              </w:rPr>
            </w:pPr>
            <w:r>
              <w:rPr>
                <w:rFonts w:ascii="Arial" w:cs="Arial" w:eastAsia="Arial" w:hAnsi="Arial"/>
                <w:sz w:val="14"/>
                <w:szCs w:val="14"/>
                <w:color w:val="auto"/>
              </w:rPr>
              <w:t>Net cash used in operating activities</w:t>
            </w:r>
          </w:p>
        </w:tc>
        <w:tc>
          <w:tcPr>
            <w:tcW w:w="104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b w:val="1"/>
                <w:bCs w:val="1"/>
                <w:color w:val="auto"/>
              </w:rPr>
              <w:t>(9,371)</w:t>
            </w: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(17,650)</w:t>
            </w:r>
          </w:p>
        </w:tc>
      </w:tr>
      <w:tr>
        <w:trPr>
          <w:trHeight w:val="155"/>
        </w:trPr>
        <w:tc>
          <w:tcPr>
            <w:tcW w:w="7720" w:type="dxa"/>
            <w:vAlign w:val="bottom"/>
            <w:tcBorders>
              <w:top w:val="single" w:sz="8" w:color="CFF0FC"/>
            </w:tcBorders>
          </w:tcPr>
          <w:p>
            <w:pPr>
              <w:spacing w:after="0" w:line="155" w:lineRule="exact"/>
              <w:rPr>
                <w:sz w:val="20"/>
                <w:szCs w:val="20"/>
                <w:color w:val="auto"/>
              </w:rPr>
            </w:pPr>
            <w:r>
              <w:rPr>
                <w:rFonts w:ascii="Arial" w:cs="Arial" w:eastAsia="Arial" w:hAnsi="Arial"/>
                <w:sz w:val="14"/>
                <w:szCs w:val="14"/>
                <w:color w:val="auto"/>
              </w:rPr>
              <w:t>Cash flows from investing activities:</w:t>
            </w:r>
          </w:p>
        </w:tc>
        <w:tc>
          <w:tcPr>
            <w:tcW w:w="10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r>
      <w:tr>
        <w:trPr>
          <w:trHeight w:val="162"/>
        </w:trPr>
        <w:tc>
          <w:tcPr>
            <w:tcW w:w="77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Capital expenditures</w:t>
            </w:r>
          </w:p>
        </w:tc>
        <w:tc>
          <w:tcPr>
            <w:tcW w:w="10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b w:val="1"/>
                <w:bCs w:val="1"/>
                <w:color w:val="auto"/>
              </w:rPr>
              <w:t>(596)</w:t>
            </w: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(2,947)</w:t>
            </w:r>
          </w:p>
        </w:tc>
      </w:tr>
      <w:tr>
        <w:trPr>
          <w:trHeight w:val="162"/>
        </w:trPr>
        <w:tc>
          <w:tcPr>
            <w:tcW w:w="7720" w:type="dxa"/>
            <w:vAlign w:val="bottom"/>
          </w:tcPr>
          <w:p>
            <w:pPr>
              <w:ind w:left="140"/>
              <w:spacing w:after="0"/>
              <w:rPr>
                <w:sz w:val="20"/>
                <w:szCs w:val="20"/>
                <w:color w:val="auto"/>
              </w:rPr>
            </w:pPr>
            <w:r>
              <w:rPr>
                <w:rFonts w:ascii="Arial" w:cs="Arial" w:eastAsia="Arial" w:hAnsi="Arial"/>
                <w:sz w:val="14"/>
                <w:szCs w:val="14"/>
                <w:color w:val="auto"/>
              </w:rPr>
              <w:t>Proceeds from the sale of property, plant and equipment</w:t>
            </w:r>
          </w:p>
        </w:tc>
        <w:tc>
          <w:tcPr>
            <w:tcW w:w="10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1,103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1,945</w:t>
            </w:r>
          </w:p>
        </w:tc>
        <w:tc>
          <w:tcPr>
            <w:tcW w:w="120" w:type="dxa"/>
            <w:vAlign w:val="bottom"/>
          </w:tcPr>
          <w:p>
            <w:pPr>
              <w:spacing w:after="0"/>
              <w:rPr>
                <w:sz w:val="14"/>
                <w:szCs w:val="14"/>
                <w:color w:val="auto"/>
              </w:rPr>
            </w:pPr>
          </w:p>
        </w:tc>
      </w:tr>
      <w:tr>
        <w:trPr>
          <w:trHeight w:val="162"/>
        </w:trPr>
        <w:tc>
          <w:tcPr>
            <w:tcW w:w="77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Proceeds from note receivable</w:t>
            </w:r>
          </w:p>
        </w:tc>
        <w:tc>
          <w:tcPr>
            <w:tcW w:w="10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5,093</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610</w:t>
            </w:r>
          </w:p>
        </w:tc>
        <w:tc>
          <w:tcPr>
            <w:tcW w:w="120" w:type="dxa"/>
            <w:vAlign w:val="bottom"/>
            <w:shd w:val="clear" w:color="auto" w:fill="CFF0FC"/>
          </w:tcPr>
          <w:p>
            <w:pPr>
              <w:spacing w:after="0"/>
              <w:rPr>
                <w:sz w:val="14"/>
                <w:szCs w:val="14"/>
                <w:color w:val="auto"/>
              </w:rPr>
            </w:pPr>
          </w:p>
        </w:tc>
      </w:tr>
      <w:tr>
        <w:trPr>
          <w:trHeight w:val="162"/>
        </w:trPr>
        <w:tc>
          <w:tcPr>
            <w:tcW w:w="7720" w:type="dxa"/>
            <w:vAlign w:val="bottom"/>
          </w:tcPr>
          <w:p>
            <w:pPr>
              <w:ind w:left="140"/>
              <w:spacing w:after="0"/>
              <w:rPr>
                <w:sz w:val="20"/>
                <w:szCs w:val="20"/>
                <w:color w:val="auto"/>
              </w:rPr>
            </w:pPr>
            <w:r>
              <w:rPr>
                <w:rFonts w:ascii="Arial" w:cs="Arial" w:eastAsia="Arial" w:hAnsi="Arial"/>
                <w:sz w:val="14"/>
                <w:szCs w:val="14"/>
                <w:color w:val="auto"/>
              </w:rPr>
              <w:t>Proceeds from the sale of investments (rabbi trust)</w:t>
            </w:r>
          </w:p>
        </w:tc>
        <w:tc>
          <w:tcPr>
            <w:tcW w:w="10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1,413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1,725</w:t>
            </w:r>
          </w:p>
        </w:tc>
        <w:tc>
          <w:tcPr>
            <w:tcW w:w="120" w:type="dxa"/>
            <w:vAlign w:val="bottom"/>
          </w:tcPr>
          <w:p>
            <w:pPr>
              <w:spacing w:after="0"/>
              <w:rPr>
                <w:sz w:val="14"/>
                <w:szCs w:val="14"/>
                <w:color w:val="auto"/>
              </w:rPr>
            </w:pPr>
          </w:p>
        </w:tc>
      </w:tr>
      <w:tr>
        <w:trPr>
          <w:trHeight w:val="162"/>
        </w:trPr>
        <w:tc>
          <w:tcPr>
            <w:tcW w:w="77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Purchase of investments (rabbi trust)</w:t>
            </w:r>
          </w:p>
        </w:tc>
        <w:tc>
          <w:tcPr>
            <w:tcW w:w="10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b w:val="1"/>
                <w:bCs w:val="1"/>
                <w:color w:val="auto"/>
              </w:rPr>
              <w:t>(631)</w:t>
            </w: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(735)</w:t>
            </w:r>
          </w:p>
        </w:tc>
      </w:tr>
      <w:tr>
        <w:trPr>
          <w:trHeight w:val="155"/>
        </w:trPr>
        <w:tc>
          <w:tcPr>
            <w:tcW w:w="7720" w:type="dxa"/>
            <w:vAlign w:val="bottom"/>
            <w:tcBorders>
              <w:top w:val="single" w:sz="8" w:color="CFF0FC"/>
            </w:tcBorders>
          </w:tcPr>
          <w:p>
            <w:pPr>
              <w:ind w:left="560"/>
              <w:spacing w:after="0" w:line="155" w:lineRule="exact"/>
              <w:rPr>
                <w:sz w:val="20"/>
                <w:szCs w:val="20"/>
                <w:color w:val="auto"/>
              </w:rPr>
            </w:pPr>
            <w:r>
              <w:rPr>
                <w:rFonts w:ascii="Arial" w:cs="Arial" w:eastAsia="Arial" w:hAnsi="Arial"/>
                <w:sz w:val="14"/>
                <w:szCs w:val="14"/>
                <w:color w:val="auto"/>
              </w:rPr>
              <w:t>Net cash provided by investing activities</w:t>
            </w:r>
          </w:p>
        </w:tc>
        <w:tc>
          <w:tcPr>
            <w:tcW w:w="10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6,382</w:t>
            </w:r>
          </w:p>
        </w:tc>
        <w:tc>
          <w:tcPr>
            <w:tcW w:w="16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598</w:t>
            </w:r>
          </w:p>
        </w:tc>
        <w:tc>
          <w:tcPr>
            <w:tcW w:w="120" w:type="dxa"/>
            <w:vAlign w:val="bottom"/>
            <w:tcBorders>
              <w:top w:val="single" w:sz="8" w:color="CFF0FC"/>
            </w:tcBorders>
          </w:tcPr>
          <w:p>
            <w:pPr>
              <w:spacing w:after="0"/>
              <w:rPr>
                <w:sz w:val="13"/>
                <w:szCs w:val="13"/>
                <w:color w:val="auto"/>
              </w:rPr>
            </w:pPr>
          </w:p>
        </w:tc>
      </w:tr>
      <w:tr>
        <w:trPr>
          <w:trHeight w:val="156"/>
        </w:trPr>
        <w:tc>
          <w:tcPr>
            <w:tcW w:w="77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Cash flows from financing activities:</w:t>
            </w:r>
          </w:p>
        </w:tc>
        <w:tc>
          <w:tcPr>
            <w:tcW w:w="10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2"/>
        </w:trPr>
        <w:tc>
          <w:tcPr>
            <w:tcW w:w="7720" w:type="dxa"/>
            <w:vAlign w:val="bottom"/>
          </w:tcPr>
          <w:p>
            <w:pPr>
              <w:ind w:left="140"/>
              <w:spacing w:after="0"/>
              <w:rPr>
                <w:sz w:val="20"/>
                <w:szCs w:val="20"/>
                <w:color w:val="auto"/>
              </w:rPr>
            </w:pPr>
            <w:r>
              <w:rPr>
                <w:rFonts w:ascii="Arial" w:cs="Arial" w:eastAsia="Arial" w:hAnsi="Arial"/>
                <w:sz w:val="14"/>
                <w:szCs w:val="14"/>
                <w:color w:val="auto"/>
              </w:rPr>
              <w:t>Proceeds from lines of credit</w:t>
            </w:r>
          </w:p>
        </w:tc>
        <w:tc>
          <w:tcPr>
            <w:tcW w:w="10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16,415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21,648</w:t>
            </w:r>
          </w:p>
        </w:tc>
        <w:tc>
          <w:tcPr>
            <w:tcW w:w="120" w:type="dxa"/>
            <w:vAlign w:val="bottom"/>
          </w:tcPr>
          <w:p>
            <w:pPr>
              <w:spacing w:after="0"/>
              <w:rPr>
                <w:sz w:val="14"/>
                <w:szCs w:val="14"/>
                <w:color w:val="auto"/>
              </w:rPr>
            </w:pPr>
          </w:p>
        </w:tc>
      </w:tr>
      <w:tr>
        <w:trPr>
          <w:trHeight w:val="162"/>
        </w:trPr>
        <w:tc>
          <w:tcPr>
            <w:tcW w:w="77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Payments on lines of credit</w:t>
            </w:r>
          </w:p>
        </w:tc>
        <w:tc>
          <w:tcPr>
            <w:tcW w:w="10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b w:val="1"/>
                <w:bCs w:val="1"/>
                <w:color w:val="auto"/>
              </w:rPr>
              <w:t>(10,687)</w:t>
            </w: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(8,907)</w:t>
            </w:r>
          </w:p>
        </w:tc>
      </w:tr>
      <w:tr>
        <w:trPr>
          <w:trHeight w:val="162"/>
        </w:trPr>
        <w:tc>
          <w:tcPr>
            <w:tcW w:w="7720" w:type="dxa"/>
            <w:vAlign w:val="bottom"/>
          </w:tcPr>
          <w:p>
            <w:pPr>
              <w:ind w:left="140"/>
              <w:spacing w:after="0"/>
              <w:rPr>
                <w:sz w:val="20"/>
                <w:szCs w:val="20"/>
                <w:color w:val="auto"/>
              </w:rPr>
            </w:pPr>
            <w:r>
              <w:rPr>
                <w:rFonts w:ascii="Arial" w:cs="Arial" w:eastAsia="Arial" w:hAnsi="Arial"/>
                <w:sz w:val="14"/>
                <w:szCs w:val="14"/>
                <w:color w:val="auto"/>
              </w:rPr>
              <w:t>Payments of debt issuance costs</w:t>
            </w:r>
          </w:p>
        </w:tc>
        <w:tc>
          <w:tcPr>
            <w:tcW w:w="104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(169)</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7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Common stock surrendered for withholding taxes payable</w:t>
            </w:r>
          </w:p>
        </w:tc>
        <w:tc>
          <w:tcPr>
            <w:tcW w:w="10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b w:val="1"/>
                <w:bCs w:val="1"/>
                <w:color w:val="auto"/>
              </w:rPr>
              <w:t>(76)</w:t>
            </w: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(68)</w:t>
            </w:r>
          </w:p>
        </w:tc>
      </w:tr>
      <w:tr>
        <w:trPr>
          <w:trHeight w:val="155"/>
        </w:trPr>
        <w:tc>
          <w:tcPr>
            <w:tcW w:w="7720" w:type="dxa"/>
            <w:vAlign w:val="bottom"/>
            <w:tcBorders>
              <w:top w:val="single" w:sz="8" w:color="CFF0FC"/>
            </w:tcBorders>
          </w:tcPr>
          <w:p>
            <w:pPr>
              <w:ind w:left="560"/>
              <w:spacing w:after="0" w:line="155" w:lineRule="exact"/>
              <w:rPr>
                <w:sz w:val="20"/>
                <w:szCs w:val="20"/>
                <w:color w:val="auto"/>
              </w:rPr>
            </w:pPr>
            <w:r>
              <w:rPr>
                <w:rFonts w:ascii="Arial" w:cs="Arial" w:eastAsia="Arial" w:hAnsi="Arial"/>
                <w:sz w:val="14"/>
                <w:szCs w:val="14"/>
                <w:color w:val="auto"/>
              </w:rPr>
              <w:t>Net cash provided by financing activities</w:t>
            </w:r>
          </w:p>
        </w:tc>
        <w:tc>
          <w:tcPr>
            <w:tcW w:w="10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5,483</w:t>
            </w:r>
          </w:p>
        </w:tc>
        <w:tc>
          <w:tcPr>
            <w:tcW w:w="16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12,673</w:t>
            </w:r>
          </w:p>
        </w:tc>
        <w:tc>
          <w:tcPr>
            <w:tcW w:w="120" w:type="dxa"/>
            <w:vAlign w:val="bottom"/>
            <w:tcBorders>
              <w:top w:val="single" w:sz="8" w:color="CFF0FC"/>
            </w:tcBorders>
          </w:tcPr>
          <w:p>
            <w:pPr>
              <w:spacing w:after="0"/>
              <w:rPr>
                <w:sz w:val="13"/>
                <w:szCs w:val="13"/>
                <w:color w:val="auto"/>
              </w:rPr>
            </w:pPr>
          </w:p>
        </w:tc>
      </w:tr>
      <w:tr>
        <w:trPr>
          <w:trHeight w:val="155"/>
        </w:trPr>
        <w:tc>
          <w:tcPr>
            <w:tcW w:w="77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Effect of foreign currency exchange rate changes on cash and cash equivalents</w:t>
            </w:r>
          </w:p>
        </w:tc>
        <w:tc>
          <w:tcPr>
            <w:tcW w:w="104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150</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(4)</w:t>
            </w: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Increase (decrease) in cash and cash equivalents</w:t>
            </w:r>
          </w:p>
        </w:tc>
        <w:tc>
          <w:tcPr>
            <w:tcW w:w="10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2,644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(4,383)</w:t>
            </w:r>
          </w:p>
        </w:tc>
      </w:tr>
      <w:tr>
        <w:trPr>
          <w:trHeight w:val="162"/>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Cash and cash equivalents at beginning of year</w:t>
            </w:r>
          </w:p>
        </w:tc>
        <w:tc>
          <w:tcPr>
            <w:tcW w:w="104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5,629</w:t>
            </w:r>
          </w:p>
        </w:tc>
        <w:tc>
          <w:tcPr>
            <w:tcW w:w="1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10,012</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156"/>
        </w:trPr>
        <w:tc>
          <w:tcPr>
            <w:tcW w:w="7720" w:type="dxa"/>
            <w:vAlign w:val="bottom"/>
          </w:tcPr>
          <w:p>
            <w:pPr>
              <w:spacing w:after="0" w:line="155" w:lineRule="exact"/>
              <w:rPr>
                <w:sz w:val="20"/>
                <w:szCs w:val="20"/>
                <w:color w:val="auto"/>
              </w:rPr>
            </w:pPr>
            <w:r>
              <w:rPr>
                <w:rFonts w:ascii="Arial" w:cs="Arial" w:eastAsia="Arial" w:hAnsi="Arial"/>
                <w:sz w:val="14"/>
                <w:szCs w:val="14"/>
                <w:color w:val="auto"/>
              </w:rPr>
              <w:t>Cash and cash equivalents at end of year</w:t>
            </w:r>
          </w:p>
        </w:tc>
        <w:tc>
          <w:tcPr>
            <w:tcW w:w="1040" w:type="dxa"/>
            <w:vAlign w:val="bottom"/>
          </w:tcPr>
          <w:p>
            <w:pPr>
              <w:jc w:val="right"/>
              <w:ind w:right="868"/>
              <w:spacing w:after="0" w:line="155" w:lineRule="exact"/>
              <w:rPr>
                <w:sz w:val="20"/>
                <w:szCs w:val="20"/>
                <w:color w:val="auto"/>
              </w:rPr>
            </w:pPr>
            <w:r>
              <w:rPr>
                <w:rFonts w:ascii="Arial" w:cs="Arial" w:eastAsia="Arial" w:hAnsi="Arial"/>
                <w:sz w:val="14"/>
                <w:szCs w:val="14"/>
                <w:b w:val="1"/>
                <w:bCs w:val="1"/>
                <w:color w:val="auto"/>
              </w:rPr>
              <w:t>$</w:t>
            </w:r>
          </w:p>
        </w:tc>
        <w:tc>
          <w:tcPr>
            <w:tcW w:w="5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8,273</w:t>
            </w:r>
          </w:p>
        </w:tc>
        <w:tc>
          <w:tcPr>
            <w:tcW w:w="160" w:type="dxa"/>
            <w:vAlign w:val="bottom"/>
          </w:tcPr>
          <w:p>
            <w:pPr>
              <w:spacing w:after="0"/>
              <w:rPr>
                <w:sz w:val="13"/>
                <w:szCs w:val="13"/>
                <w:color w:val="auto"/>
              </w:rPr>
            </w:pPr>
          </w:p>
        </w:tc>
        <w:tc>
          <w:tcPr>
            <w:tcW w:w="1160" w:type="dxa"/>
            <w:vAlign w:val="bottom"/>
            <w:gridSpan w:val="2"/>
          </w:tcPr>
          <w:p>
            <w:pPr>
              <w:jc w:val="right"/>
              <w:ind w:right="888"/>
              <w:spacing w:after="0" w:line="155"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5,629</w:t>
            </w:r>
          </w:p>
        </w:tc>
        <w:tc>
          <w:tcPr>
            <w:tcW w:w="120" w:type="dxa"/>
            <w:vAlign w:val="bottom"/>
          </w:tcPr>
          <w:p>
            <w:pPr>
              <w:spacing w:after="0"/>
              <w:rPr>
                <w:sz w:val="13"/>
                <w:szCs w:val="13"/>
                <w:color w:val="auto"/>
              </w:rPr>
            </w:pPr>
          </w:p>
        </w:tc>
      </w:tr>
      <w:tr>
        <w:trPr>
          <w:trHeight w:val="20"/>
        </w:trPr>
        <w:tc>
          <w:tcPr>
            <w:tcW w:w="77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-1824990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-1824990</wp:posOffset>
            </wp:positionV>
            <wp:extent cx="774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-1199515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-1199515</wp:posOffset>
            </wp:positionV>
            <wp:extent cx="774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-565150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-565150</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-136525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-136525</wp:posOffset>
            </wp:positionV>
            <wp:extent cx="774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CULP Announces Results for Fourth Quarter Fiscal 2026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rPr>
          <w:sz w:val="20"/>
          <w:szCs w:val="20"/>
          <w:color w:val="auto"/>
        </w:rPr>
      </w:pPr>
      <w:r>
        <w:rPr>
          <w:rFonts w:ascii="Arial" w:cs="Arial" w:eastAsia="Arial" w:hAnsi="Arial"/>
          <w:sz w:val="18"/>
          <w:szCs w:val="18"/>
          <w:color w:val="auto"/>
        </w:rPr>
        <w:t>July 1, 2026</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CULP,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NET SALES AND GROSS PROFIT BY SEGMENT</w:t>
      </w:r>
    </w:p>
    <w:p>
      <w:pPr>
        <w:jc w:val="center"/>
        <w:spacing w:after="0" w:line="237" w:lineRule="auto"/>
        <w:rPr>
          <w:sz w:val="20"/>
          <w:szCs w:val="20"/>
          <w:color w:val="auto"/>
        </w:rPr>
      </w:pPr>
      <w:r>
        <w:rPr>
          <w:rFonts w:ascii="Arial" w:cs="Arial" w:eastAsia="Arial" w:hAnsi="Arial"/>
          <w:sz w:val="18"/>
          <w:szCs w:val="18"/>
          <w:b w:val="1"/>
          <w:bCs w:val="1"/>
          <w:color w:val="auto"/>
        </w:rPr>
        <w:t>FOR THE THREE AND TWELVE MONTHS ENDED MAY 3, 2026 AND APRIL 27, 2025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5"/>
          </w:tcPr>
          <w:p>
            <w:pPr>
              <w:ind w:left="780"/>
              <w:spacing w:after="0"/>
              <w:rPr>
                <w:sz w:val="20"/>
                <w:szCs w:val="20"/>
                <w:color w:val="auto"/>
              </w:rPr>
            </w:pPr>
            <w:r>
              <w:rPr>
                <w:rFonts w:ascii="Arial" w:cs="Arial" w:eastAsia="Arial" w:hAnsi="Arial"/>
                <w:sz w:val="13"/>
                <w:szCs w:val="13"/>
                <w:b w:val="1"/>
                <w:bCs w:val="1"/>
                <w:color w:val="auto"/>
              </w:rPr>
              <w:t>THREE MONTHS ENDED</w:t>
            </w:r>
          </w:p>
        </w:tc>
        <w:tc>
          <w:tcPr>
            <w:tcW w:w="8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3"/>
          </w:tcPr>
          <w:p>
            <w:pPr>
              <w:jc w:val="right"/>
              <w:ind w:right="48"/>
              <w:spacing w:after="0" w:line="129" w:lineRule="exact"/>
              <w:rPr>
                <w:sz w:val="20"/>
                <w:szCs w:val="20"/>
                <w:color w:val="auto"/>
              </w:rPr>
            </w:pPr>
            <w:r>
              <w:rPr>
                <w:rFonts w:ascii="Arial" w:cs="Arial" w:eastAsia="Arial" w:hAnsi="Arial"/>
                <w:sz w:val="13"/>
                <w:szCs w:val="13"/>
                <w:color w:val="auto"/>
              </w:rPr>
              <w:t>Amounts</w:t>
            </w:r>
          </w:p>
        </w:tc>
        <w:tc>
          <w:tcPr>
            <w:tcW w:w="8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vMerge w:val="restart"/>
          </w:tcPr>
          <w:p>
            <w:pPr>
              <w:jc w:val="right"/>
              <w:ind w:right="480"/>
              <w:spacing w:after="0"/>
              <w:rPr>
                <w:sz w:val="20"/>
                <w:szCs w:val="20"/>
                <w:color w:val="auto"/>
              </w:rPr>
            </w:pPr>
            <w:r>
              <w:rPr>
                <w:rFonts w:ascii="Arial" w:cs="Arial" w:eastAsia="Arial" w:hAnsi="Arial"/>
                <w:sz w:val="12"/>
                <w:szCs w:val="12"/>
                <w:color w:val="auto"/>
              </w:rPr>
              <w:t>% Over</w:t>
            </w:r>
          </w:p>
        </w:tc>
        <w:tc>
          <w:tcPr>
            <w:tcW w:w="280" w:type="dxa"/>
            <w:vAlign w:val="bottom"/>
            <w:tcBorders>
              <w:bottom w:val="single" w:sz="8" w:color="auto"/>
            </w:tcBorders>
          </w:tcPr>
          <w:p>
            <w:pPr>
              <w:spacing w:after="0"/>
              <w:rPr>
                <w:sz w:val="11"/>
                <w:szCs w:val="11"/>
                <w:color w:val="auto"/>
              </w:rPr>
            </w:pPr>
          </w:p>
        </w:tc>
        <w:tc>
          <w:tcPr>
            <w:tcW w:w="2200" w:type="dxa"/>
            <w:vAlign w:val="bottom"/>
            <w:tcBorders>
              <w:bottom w:val="single" w:sz="8" w:color="auto"/>
            </w:tcBorders>
            <w:gridSpan w:val="4"/>
          </w:tcPr>
          <w:p>
            <w:pPr>
              <w:jc w:val="center"/>
              <w:ind w:right="218"/>
              <w:spacing w:after="0" w:line="129" w:lineRule="exact"/>
              <w:rPr>
                <w:sz w:val="20"/>
                <w:szCs w:val="20"/>
                <w:color w:val="auto"/>
              </w:rPr>
            </w:pPr>
            <w:r>
              <w:rPr>
                <w:rFonts w:ascii="Arial" w:cs="Arial" w:eastAsia="Arial" w:hAnsi="Arial"/>
                <w:sz w:val="13"/>
                <w:szCs w:val="13"/>
                <w:color w:val="auto"/>
                <w:w w:val="96"/>
              </w:rPr>
              <w:t>Percent of Total Sales</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4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jc w:val="right"/>
              <w:ind w:right="317"/>
              <w:spacing w:after="0" w:line="111" w:lineRule="exact"/>
              <w:rPr>
                <w:sz w:val="20"/>
                <w:szCs w:val="20"/>
                <w:color w:val="auto"/>
              </w:rPr>
            </w:pPr>
            <w:r>
              <w:rPr>
                <w:rFonts w:ascii="Arial" w:cs="Arial" w:eastAsia="Arial" w:hAnsi="Arial"/>
                <w:sz w:val="12"/>
                <w:szCs w:val="12"/>
                <w:b w:val="1"/>
                <w:bCs w:val="1"/>
                <w:color w:val="auto"/>
              </w:rPr>
              <w:t>May 3,</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jc w:val="right"/>
              <w:ind w:right="237"/>
              <w:spacing w:after="0" w:line="111" w:lineRule="exact"/>
              <w:rPr>
                <w:sz w:val="20"/>
                <w:szCs w:val="20"/>
                <w:color w:val="auto"/>
              </w:rPr>
            </w:pPr>
            <w:r>
              <w:rPr>
                <w:rFonts w:ascii="Arial" w:cs="Arial" w:eastAsia="Arial" w:hAnsi="Arial"/>
                <w:sz w:val="12"/>
                <w:szCs w:val="12"/>
                <w:color w:val="auto"/>
              </w:rPr>
              <w:t>April 27,</w:t>
            </w:r>
          </w:p>
        </w:tc>
        <w:tc>
          <w:tcPr>
            <w:tcW w:w="20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gridSpan w:val="3"/>
          </w:tcPr>
          <w:p>
            <w:pPr>
              <w:jc w:val="center"/>
              <w:ind w:right="820"/>
              <w:spacing w:after="0" w:line="111" w:lineRule="exact"/>
              <w:rPr>
                <w:sz w:val="20"/>
                <w:szCs w:val="20"/>
                <w:color w:val="auto"/>
              </w:rPr>
            </w:pPr>
            <w:r>
              <w:rPr>
                <w:rFonts w:ascii="Arial" w:cs="Arial" w:eastAsia="Arial" w:hAnsi="Arial"/>
                <w:sz w:val="12"/>
                <w:szCs w:val="12"/>
                <w:b w:val="1"/>
                <w:bCs w:val="1"/>
                <w:color w:val="auto"/>
                <w:w w:val="97"/>
              </w:rPr>
              <w:t>May 3,</w:t>
            </w:r>
          </w:p>
        </w:tc>
        <w:tc>
          <w:tcPr>
            <w:tcW w:w="820" w:type="dxa"/>
            <w:vAlign w:val="bottom"/>
          </w:tcPr>
          <w:p>
            <w:pPr>
              <w:jc w:val="center"/>
              <w:ind w:right="218"/>
              <w:spacing w:after="0" w:line="111" w:lineRule="exact"/>
              <w:rPr>
                <w:sz w:val="20"/>
                <w:szCs w:val="20"/>
                <w:color w:val="auto"/>
              </w:rPr>
            </w:pPr>
            <w:r>
              <w:rPr>
                <w:rFonts w:ascii="Arial" w:cs="Arial" w:eastAsia="Arial" w:hAnsi="Arial"/>
                <w:sz w:val="12"/>
                <w:szCs w:val="12"/>
                <w:color w:val="auto"/>
                <w:w w:val="95"/>
              </w:rPr>
              <w:t>April 27,</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48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Net Sales by Segment</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2026</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color w:val="auto"/>
              </w:rPr>
              <w:t>2025</w:t>
            </w:r>
          </w:p>
        </w:tc>
        <w:tc>
          <w:tcPr>
            <w:tcW w:w="200" w:type="dxa"/>
            <w:vAlign w:val="bottom"/>
          </w:tcPr>
          <w:p>
            <w:pPr>
              <w:spacing w:after="0"/>
              <w:rPr>
                <w:sz w:val="13"/>
                <w:szCs w:val="13"/>
                <w:color w:val="auto"/>
              </w:rPr>
            </w:pPr>
          </w:p>
        </w:tc>
        <w:tc>
          <w:tcPr>
            <w:tcW w:w="78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(Under)</w:t>
            </w:r>
          </w:p>
        </w:tc>
        <w:tc>
          <w:tcPr>
            <w:tcW w:w="2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b w:val="1"/>
                <w:bCs w:val="1"/>
                <w:color w:val="auto"/>
              </w:rPr>
              <w:t>2026</w:t>
            </w:r>
          </w:p>
        </w:tc>
        <w:tc>
          <w:tcPr>
            <w:tcW w:w="2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58"/>
              <w:spacing w:after="0"/>
              <w:rPr>
                <w:sz w:val="20"/>
                <w:szCs w:val="20"/>
                <w:color w:val="auto"/>
              </w:rPr>
            </w:pPr>
            <w:r>
              <w:rPr>
                <w:rFonts w:ascii="Arial" w:cs="Arial" w:eastAsia="Arial" w:hAnsi="Arial"/>
                <w:sz w:val="12"/>
                <w:szCs w:val="12"/>
                <w:color w:val="auto"/>
              </w:rPr>
              <w:t>2025</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4940" w:type="dxa"/>
            <w:vAlign w:val="bottom"/>
            <w:gridSpan w:val="2"/>
            <w:shd w:val="clear" w:color="auto" w:fill="CFF0FC"/>
          </w:tcPr>
          <w:p>
            <w:pPr>
              <w:spacing w:after="0" w:line="129" w:lineRule="exact"/>
              <w:rPr>
                <w:sz w:val="20"/>
                <w:szCs w:val="20"/>
                <w:color w:val="auto"/>
              </w:rPr>
            </w:pPr>
            <w:r>
              <w:rPr>
                <w:rFonts w:ascii="Arial" w:cs="Arial" w:eastAsia="Arial" w:hAnsi="Arial"/>
                <w:sz w:val="12"/>
                <w:szCs w:val="12"/>
                <w:color w:val="auto"/>
              </w:rPr>
              <w:t>Bedding</w:t>
            </w:r>
          </w:p>
        </w:tc>
        <w:tc>
          <w:tcPr>
            <w:tcW w:w="220" w:type="dxa"/>
            <w:vAlign w:val="bottom"/>
            <w:shd w:val="clear" w:color="auto" w:fill="CFF0FC"/>
          </w:tcPr>
          <w:p>
            <w:pPr>
              <w:jc w:val="right"/>
              <w:ind w:right="77"/>
              <w:spacing w:after="0" w:line="129" w:lineRule="exact"/>
              <w:rPr>
                <w:sz w:val="20"/>
                <w:szCs w:val="20"/>
                <w:color w:val="auto"/>
              </w:rPr>
            </w:pPr>
            <w:r>
              <w:rPr>
                <w:rFonts w:ascii="Arial" w:cs="Arial" w:eastAsia="Arial" w:hAnsi="Arial"/>
                <w:sz w:val="13"/>
                <w:szCs w:val="13"/>
                <w:b w:val="1"/>
                <w:bCs w:val="1"/>
                <w:color w:val="auto"/>
                <w:w w:val="82"/>
              </w:rPr>
              <w:t>$</w:t>
            </w:r>
          </w:p>
        </w:tc>
        <w:tc>
          <w:tcPr>
            <w:tcW w:w="9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30,500</w:t>
            </w:r>
          </w:p>
        </w:tc>
        <w:tc>
          <w:tcPr>
            <w:tcW w:w="400" w:type="dxa"/>
            <w:vAlign w:val="bottom"/>
            <w:gridSpan w:val="2"/>
            <w:shd w:val="clear" w:color="auto" w:fill="CFF0FC"/>
          </w:tcPr>
          <w:p>
            <w:pPr>
              <w:jc w:val="right"/>
              <w:ind w:right="68"/>
              <w:spacing w:after="0" w:line="129" w:lineRule="exact"/>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27,114</w:t>
            </w:r>
          </w:p>
        </w:tc>
        <w:tc>
          <w:tcPr>
            <w:tcW w:w="20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80"/>
              <w:spacing w:after="0" w:line="129" w:lineRule="exact"/>
              <w:rPr>
                <w:sz w:val="20"/>
                <w:szCs w:val="20"/>
                <w:color w:val="auto"/>
              </w:rPr>
            </w:pPr>
            <w:r>
              <w:rPr>
                <w:rFonts w:ascii="Arial" w:cs="Arial" w:eastAsia="Arial" w:hAnsi="Arial"/>
                <w:sz w:val="13"/>
                <w:szCs w:val="13"/>
                <w:color w:val="auto"/>
              </w:rPr>
              <w:t>12.5%</w:t>
            </w:r>
          </w:p>
        </w:tc>
        <w:tc>
          <w:tcPr>
            <w:tcW w:w="28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140"/>
              <w:spacing w:after="0" w:line="129" w:lineRule="exact"/>
              <w:rPr>
                <w:sz w:val="20"/>
                <w:szCs w:val="20"/>
                <w:color w:val="auto"/>
              </w:rPr>
            </w:pPr>
            <w:r>
              <w:rPr>
                <w:rFonts w:ascii="Arial" w:cs="Arial" w:eastAsia="Arial" w:hAnsi="Arial"/>
                <w:sz w:val="13"/>
                <w:szCs w:val="13"/>
                <w:b w:val="1"/>
                <w:bCs w:val="1"/>
                <w:color w:val="auto"/>
              </w:rPr>
              <w:t>59.1%</w:t>
            </w:r>
          </w:p>
        </w:tc>
        <w:tc>
          <w:tcPr>
            <w:tcW w:w="28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60"/>
              <w:spacing w:after="0" w:line="129" w:lineRule="exact"/>
              <w:rPr>
                <w:sz w:val="20"/>
                <w:szCs w:val="20"/>
                <w:color w:val="auto"/>
              </w:rPr>
            </w:pPr>
            <w:r>
              <w:rPr>
                <w:rFonts w:ascii="Arial" w:cs="Arial" w:eastAsia="Arial" w:hAnsi="Arial"/>
                <w:sz w:val="13"/>
                <w:szCs w:val="13"/>
                <w:color w:val="auto"/>
              </w:rPr>
              <w:t>55.6%</w:t>
            </w:r>
          </w:p>
        </w:tc>
        <w:tc>
          <w:tcPr>
            <w:tcW w:w="0" w:type="dxa"/>
            <w:vAlign w:val="bottom"/>
          </w:tcPr>
          <w:p>
            <w:pPr>
              <w:spacing w:after="0"/>
              <w:rPr>
                <w:sz w:val="1"/>
                <w:szCs w:val="1"/>
                <w:color w:val="auto"/>
              </w:rPr>
            </w:pPr>
          </w:p>
        </w:tc>
      </w:tr>
      <w:tr>
        <w:trPr>
          <w:trHeight w:val="135"/>
        </w:trPr>
        <w:tc>
          <w:tcPr>
            <w:tcW w:w="4940" w:type="dxa"/>
            <w:vAlign w:val="bottom"/>
            <w:gridSpan w:val="2"/>
          </w:tcPr>
          <w:p>
            <w:pPr>
              <w:spacing w:after="0" w:line="135" w:lineRule="exact"/>
              <w:rPr>
                <w:sz w:val="20"/>
                <w:szCs w:val="20"/>
                <w:color w:val="auto"/>
              </w:rPr>
            </w:pPr>
            <w:r>
              <w:rPr>
                <w:rFonts w:ascii="Arial" w:cs="Arial" w:eastAsia="Arial" w:hAnsi="Arial"/>
                <w:sz w:val="12"/>
                <w:szCs w:val="12"/>
                <w:color w:val="auto"/>
              </w:rPr>
              <w:t>Upholstery</w:t>
            </w:r>
          </w:p>
        </w:tc>
        <w:tc>
          <w:tcPr>
            <w:tcW w:w="22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21,124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21,659</w:t>
            </w:r>
          </w:p>
        </w:tc>
        <w:tc>
          <w:tcPr>
            <w:tcW w:w="200" w:type="dxa"/>
            <w:vAlign w:val="bottom"/>
          </w:tcPr>
          <w:p>
            <w:pPr>
              <w:spacing w:after="0"/>
              <w:rPr>
                <w:sz w:val="11"/>
                <w:szCs w:val="11"/>
                <w:color w:val="auto"/>
              </w:rPr>
            </w:pPr>
          </w:p>
        </w:tc>
        <w:tc>
          <w:tcPr>
            <w:tcW w:w="10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(2.5)%</w:t>
            </w:r>
          </w:p>
        </w:tc>
        <w:tc>
          <w:tcPr>
            <w:tcW w:w="280" w:type="dxa"/>
            <w:vAlign w:val="bottom"/>
          </w:tcPr>
          <w:p>
            <w:pPr>
              <w:spacing w:after="0"/>
              <w:rPr>
                <w:sz w:val="11"/>
                <w:szCs w:val="11"/>
                <w:color w:val="auto"/>
              </w:rPr>
            </w:pPr>
          </w:p>
        </w:tc>
        <w:tc>
          <w:tcPr>
            <w:tcW w:w="1100" w:type="dxa"/>
            <w:vAlign w:val="bottom"/>
            <w:gridSpan w:val="2"/>
          </w:tcPr>
          <w:p>
            <w:pPr>
              <w:jc w:val="right"/>
              <w:ind w:right="140"/>
              <w:spacing w:after="0" w:line="135" w:lineRule="exact"/>
              <w:rPr>
                <w:sz w:val="20"/>
                <w:szCs w:val="20"/>
                <w:color w:val="auto"/>
              </w:rPr>
            </w:pPr>
            <w:r>
              <w:rPr>
                <w:rFonts w:ascii="Arial" w:cs="Arial" w:eastAsia="Arial" w:hAnsi="Arial"/>
                <w:sz w:val="13"/>
                <w:szCs w:val="13"/>
                <w:b w:val="1"/>
                <w:bCs w:val="1"/>
                <w:color w:val="auto"/>
              </w:rPr>
              <w:t>40.9%</w:t>
            </w:r>
          </w:p>
        </w:tc>
        <w:tc>
          <w:tcPr>
            <w:tcW w:w="280" w:type="dxa"/>
            <w:vAlign w:val="bottom"/>
          </w:tcPr>
          <w:p>
            <w:pPr>
              <w:spacing w:after="0"/>
              <w:rPr>
                <w:sz w:val="11"/>
                <w:szCs w:val="11"/>
                <w:color w:val="auto"/>
              </w:rPr>
            </w:pPr>
          </w:p>
        </w:tc>
        <w:tc>
          <w:tcPr>
            <w:tcW w:w="10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44.4%</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940" w:type="dxa"/>
            <w:vAlign w:val="bottom"/>
            <w:gridSpan w:val="2"/>
            <w:shd w:val="clear" w:color="auto" w:fill="CFF0FC"/>
          </w:tcPr>
          <w:p>
            <w:pPr>
              <w:ind w:left="100"/>
              <w:spacing w:after="0" w:line="129" w:lineRule="exact"/>
              <w:rPr>
                <w:sz w:val="20"/>
                <w:szCs w:val="20"/>
                <w:color w:val="auto"/>
              </w:rPr>
            </w:pPr>
            <w:r>
              <w:rPr>
                <w:rFonts w:ascii="Arial" w:cs="Arial" w:eastAsia="Arial" w:hAnsi="Arial"/>
                <w:sz w:val="12"/>
                <w:szCs w:val="12"/>
                <w:color w:val="auto"/>
              </w:rPr>
              <w:t>Net Sales</w:t>
            </w:r>
          </w:p>
        </w:tc>
        <w:tc>
          <w:tcPr>
            <w:tcW w:w="220" w:type="dxa"/>
            <w:vAlign w:val="bottom"/>
            <w:shd w:val="clear" w:color="auto" w:fill="CFF0FC"/>
          </w:tcPr>
          <w:p>
            <w:pPr>
              <w:jc w:val="right"/>
              <w:ind w:right="77"/>
              <w:spacing w:after="0" w:line="115" w:lineRule="exact"/>
              <w:rPr>
                <w:sz w:val="20"/>
                <w:szCs w:val="20"/>
                <w:color w:val="auto"/>
              </w:rPr>
            </w:pPr>
            <w:r>
              <w:rPr>
                <w:rFonts w:ascii="Arial" w:cs="Arial" w:eastAsia="Arial" w:hAnsi="Arial"/>
                <w:sz w:val="13"/>
                <w:szCs w:val="13"/>
                <w:b w:val="1"/>
                <w:bCs w:val="1"/>
                <w:color w:val="auto"/>
                <w:w w:val="82"/>
              </w:rPr>
              <w:t>$</w:t>
            </w:r>
          </w:p>
        </w:tc>
        <w:tc>
          <w:tcPr>
            <w:tcW w:w="920" w:type="dxa"/>
            <w:vAlign w:val="bottom"/>
            <w:shd w:val="clear" w:color="auto" w:fill="CFF0FC"/>
          </w:tcPr>
          <w:p>
            <w:pPr>
              <w:jc w:val="right"/>
              <w:spacing w:after="0" w:line="115" w:lineRule="exact"/>
              <w:rPr>
                <w:sz w:val="20"/>
                <w:szCs w:val="20"/>
                <w:color w:val="auto"/>
              </w:rPr>
            </w:pPr>
            <w:r>
              <w:rPr>
                <w:rFonts w:ascii="Arial" w:cs="Arial" w:eastAsia="Arial" w:hAnsi="Arial"/>
                <w:sz w:val="13"/>
                <w:szCs w:val="13"/>
                <w:b w:val="1"/>
                <w:bCs w:val="1"/>
                <w:color w:val="auto"/>
              </w:rPr>
              <w:t>51,624</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68"/>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FF0FC"/>
          </w:tcPr>
          <w:p>
            <w:pPr>
              <w:jc w:val="right"/>
              <w:spacing w:after="0" w:line="115" w:lineRule="exact"/>
              <w:rPr>
                <w:sz w:val="20"/>
                <w:szCs w:val="20"/>
                <w:color w:val="auto"/>
              </w:rPr>
            </w:pPr>
            <w:r>
              <w:rPr>
                <w:rFonts w:ascii="Arial" w:cs="Arial" w:eastAsia="Arial" w:hAnsi="Arial"/>
                <w:sz w:val="13"/>
                <w:szCs w:val="13"/>
                <w:color w:val="auto"/>
              </w:rPr>
              <w:t>48,773</w:t>
            </w:r>
          </w:p>
        </w:tc>
        <w:tc>
          <w:tcPr>
            <w:tcW w:w="20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80"/>
              <w:spacing w:after="0" w:line="115" w:lineRule="exact"/>
              <w:rPr>
                <w:sz w:val="20"/>
                <w:szCs w:val="20"/>
                <w:color w:val="auto"/>
              </w:rPr>
            </w:pPr>
            <w:r>
              <w:rPr>
                <w:rFonts w:ascii="Arial" w:cs="Arial" w:eastAsia="Arial" w:hAnsi="Arial"/>
                <w:sz w:val="13"/>
                <w:szCs w:val="13"/>
                <w:color w:val="auto"/>
              </w:rPr>
              <w:t>5.8%</w:t>
            </w:r>
          </w:p>
        </w:tc>
        <w:tc>
          <w:tcPr>
            <w:tcW w:w="2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40"/>
              <w:spacing w:after="0" w:line="115" w:lineRule="exact"/>
              <w:rPr>
                <w:sz w:val="20"/>
                <w:szCs w:val="20"/>
                <w:color w:val="auto"/>
              </w:rPr>
            </w:pPr>
            <w:r>
              <w:rPr>
                <w:rFonts w:ascii="Arial" w:cs="Arial" w:eastAsia="Arial" w:hAnsi="Arial"/>
                <w:sz w:val="13"/>
                <w:szCs w:val="13"/>
                <w:b w:val="1"/>
                <w:bCs w:val="1"/>
                <w:color w:val="auto"/>
              </w:rPr>
              <w:t>100.0%</w:t>
            </w:r>
          </w:p>
        </w:tc>
        <w:tc>
          <w:tcPr>
            <w:tcW w:w="2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60"/>
              <w:spacing w:after="0" w:line="115" w:lineRule="exact"/>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20"/>
        </w:trPr>
        <w:tc>
          <w:tcPr>
            <w:tcW w:w="48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8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Gross Profit by Segment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center"/>
              <w:ind w:left="478"/>
              <w:spacing w:after="0"/>
              <w:rPr>
                <w:sz w:val="20"/>
                <w:szCs w:val="20"/>
                <w:color w:val="auto"/>
              </w:rPr>
            </w:pPr>
            <w:r>
              <w:rPr>
                <w:rFonts w:ascii="Arial" w:cs="Arial" w:eastAsia="Arial" w:hAnsi="Arial"/>
                <w:sz w:val="13"/>
                <w:szCs w:val="13"/>
                <w:color w:val="auto"/>
                <w:w w:val="97"/>
              </w:rPr>
              <w:t>Gross Margin</w:t>
            </w:r>
          </w:p>
        </w:tc>
        <w:tc>
          <w:tcPr>
            <w:tcW w:w="82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8"/>
        </w:trPr>
        <w:tc>
          <w:tcPr>
            <w:tcW w:w="4940" w:type="dxa"/>
            <w:vAlign w:val="bottom"/>
            <w:gridSpan w:val="2"/>
            <w:shd w:val="clear" w:color="auto" w:fill="CFF0FC"/>
          </w:tcPr>
          <w:p>
            <w:pPr>
              <w:spacing w:after="0" w:line="129" w:lineRule="exact"/>
              <w:rPr>
                <w:sz w:val="20"/>
                <w:szCs w:val="20"/>
                <w:color w:val="auto"/>
              </w:rPr>
            </w:pPr>
            <w:r>
              <w:rPr>
                <w:rFonts w:ascii="Arial" w:cs="Arial" w:eastAsia="Arial" w:hAnsi="Arial"/>
                <w:sz w:val="12"/>
                <w:szCs w:val="12"/>
                <w:color w:val="auto"/>
              </w:rPr>
              <w:t>Bedding</w:t>
            </w:r>
          </w:p>
        </w:tc>
        <w:tc>
          <w:tcPr>
            <w:tcW w:w="220" w:type="dxa"/>
            <w:vAlign w:val="bottom"/>
            <w:shd w:val="clear" w:color="auto" w:fill="CFF0FC"/>
          </w:tcPr>
          <w:p>
            <w:pPr>
              <w:jc w:val="right"/>
              <w:ind w:right="77"/>
              <w:spacing w:after="0" w:line="129" w:lineRule="exact"/>
              <w:rPr>
                <w:sz w:val="20"/>
                <w:szCs w:val="20"/>
                <w:color w:val="auto"/>
              </w:rPr>
            </w:pPr>
            <w:r>
              <w:rPr>
                <w:rFonts w:ascii="Arial" w:cs="Arial" w:eastAsia="Arial" w:hAnsi="Arial"/>
                <w:sz w:val="13"/>
                <w:szCs w:val="13"/>
                <w:b w:val="1"/>
                <w:bCs w:val="1"/>
                <w:color w:val="auto"/>
                <w:w w:val="82"/>
              </w:rPr>
              <w:t>$</w:t>
            </w:r>
          </w:p>
        </w:tc>
        <w:tc>
          <w:tcPr>
            <w:tcW w:w="9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2,703</w:t>
            </w:r>
          </w:p>
        </w:tc>
        <w:tc>
          <w:tcPr>
            <w:tcW w:w="400" w:type="dxa"/>
            <w:vAlign w:val="bottom"/>
            <w:gridSpan w:val="2"/>
            <w:shd w:val="clear" w:color="auto" w:fill="CFF0FC"/>
          </w:tcPr>
          <w:p>
            <w:pPr>
              <w:jc w:val="right"/>
              <w:ind w:right="68"/>
              <w:spacing w:after="0" w:line="129" w:lineRule="exact"/>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3,075</w:t>
            </w:r>
          </w:p>
        </w:tc>
        <w:tc>
          <w:tcPr>
            <w:tcW w:w="20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20"/>
              <w:spacing w:after="0" w:line="129" w:lineRule="exact"/>
              <w:rPr>
                <w:sz w:val="20"/>
                <w:szCs w:val="20"/>
                <w:color w:val="auto"/>
              </w:rPr>
            </w:pPr>
            <w:r>
              <w:rPr>
                <w:rFonts w:ascii="Arial" w:cs="Arial" w:eastAsia="Arial" w:hAnsi="Arial"/>
                <w:sz w:val="13"/>
                <w:szCs w:val="13"/>
                <w:color w:val="auto"/>
              </w:rPr>
              <w:t>(12.1)%</w:t>
            </w:r>
          </w:p>
        </w:tc>
        <w:tc>
          <w:tcPr>
            <w:tcW w:w="28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140"/>
              <w:spacing w:after="0" w:line="129" w:lineRule="exact"/>
              <w:rPr>
                <w:sz w:val="20"/>
                <w:szCs w:val="20"/>
                <w:color w:val="auto"/>
              </w:rPr>
            </w:pPr>
            <w:r>
              <w:rPr>
                <w:rFonts w:ascii="Arial" w:cs="Arial" w:eastAsia="Arial" w:hAnsi="Arial"/>
                <w:sz w:val="13"/>
                <w:szCs w:val="13"/>
                <w:b w:val="1"/>
                <w:bCs w:val="1"/>
                <w:color w:val="auto"/>
              </w:rPr>
              <w:t>8.9%</w:t>
            </w:r>
          </w:p>
        </w:tc>
        <w:tc>
          <w:tcPr>
            <w:tcW w:w="28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60"/>
              <w:spacing w:after="0" w:line="129" w:lineRule="exact"/>
              <w:rPr>
                <w:sz w:val="20"/>
                <w:szCs w:val="20"/>
                <w:color w:val="auto"/>
              </w:rPr>
            </w:pPr>
            <w:r>
              <w:rPr>
                <w:rFonts w:ascii="Arial" w:cs="Arial" w:eastAsia="Arial" w:hAnsi="Arial"/>
                <w:sz w:val="13"/>
                <w:szCs w:val="13"/>
                <w:color w:val="auto"/>
              </w:rPr>
              <w:t>11.3%</w:t>
            </w:r>
          </w:p>
        </w:tc>
        <w:tc>
          <w:tcPr>
            <w:tcW w:w="0" w:type="dxa"/>
            <w:vAlign w:val="bottom"/>
          </w:tcPr>
          <w:p>
            <w:pPr>
              <w:spacing w:after="0"/>
              <w:rPr>
                <w:sz w:val="1"/>
                <w:szCs w:val="1"/>
                <w:color w:val="auto"/>
              </w:rPr>
            </w:pPr>
          </w:p>
        </w:tc>
      </w:tr>
      <w:tr>
        <w:trPr>
          <w:trHeight w:val="135"/>
        </w:trPr>
        <w:tc>
          <w:tcPr>
            <w:tcW w:w="4940" w:type="dxa"/>
            <w:vAlign w:val="bottom"/>
            <w:gridSpan w:val="2"/>
          </w:tcPr>
          <w:p>
            <w:pPr>
              <w:spacing w:after="0" w:line="135" w:lineRule="exact"/>
              <w:rPr>
                <w:sz w:val="20"/>
                <w:szCs w:val="20"/>
                <w:color w:val="auto"/>
              </w:rPr>
            </w:pPr>
            <w:r>
              <w:rPr>
                <w:rFonts w:ascii="Arial" w:cs="Arial" w:eastAsia="Arial" w:hAnsi="Arial"/>
                <w:sz w:val="12"/>
                <w:szCs w:val="12"/>
                <w:color w:val="auto"/>
              </w:rPr>
              <w:t>Upholstery</w:t>
            </w:r>
          </w:p>
        </w:tc>
        <w:tc>
          <w:tcPr>
            <w:tcW w:w="22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4,124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4,691</w:t>
            </w:r>
          </w:p>
        </w:tc>
        <w:tc>
          <w:tcPr>
            <w:tcW w:w="200" w:type="dxa"/>
            <w:vAlign w:val="bottom"/>
          </w:tcPr>
          <w:p>
            <w:pPr>
              <w:spacing w:after="0"/>
              <w:rPr>
                <w:sz w:val="11"/>
                <w:szCs w:val="11"/>
                <w:color w:val="auto"/>
              </w:rPr>
            </w:pPr>
          </w:p>
        </w:tc>
        <w:tc>
          <w:tcPr>
            <w:tcW w:w="10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(12.1)%</w:t>
            </w:r>
          </w:p>
        </w:tc>
        <w:tc>
          <w:tcPr>
            <w:tcW w:w="280" w:type="dxa"/>
            <w:vAlign w:val="bottom"/>
          </w:tcPr>
          <w:p>
            <w:pPr>
              <w:spacing w:after="0"/>
              <w:rPr>
                <w:sz w:val="11"/>
                <w:szCs w:val="11"/>
                <w:color w:val="auto"/>
              </w:rPr>
            </w:pPr>
          </w:p>
        </w:tc>
        <w:tc>
          <w:tcPr>
            <w:tcW w:w="1100" w:type="dxa"/>
            <w:vAlign w:val="bottom"/>
            <w:gridSpan w:val="2"/>
          </w:tcPr>
          <w:p>
            <w:pPr>
              <w:jc w:val="right"/>
              <w:ind w:right="140"/>
              <w:spacing w:after="0" w:line="135" w:lineRule="exact"/>
              <w:rPr>
                <w:sz w:val="20"/>
                <w:szCs w:val="20"/>
                <w:color w:val="auto"/>
              </w:rPr>
            </w:pPr>
            <w:r>
              <w:rPr>
                <w:rFonts w:ascii="Arial" w:cs="Arial" w:eastAsia="Arial" w:hAnsi="Arial"/>
                <w:sz w:val="13"/>
                <w:szCs w:val="13"/>
                <w:b w:val="1"/>
                <w:bCs w:val="1"/>
                <w:color w:val="auto"/>
              </w:rPr>
              <w:t>19.5%</w:t>
            </w:r>
          </w:p>
        </w:tc>
        <w:tc>
          <w:tcPr>
            <w:tcW w:w="280" w:type="dxa"/>
            <w:vAlign w:val="bottom"/>
          </w:tcPr>
          <w:p>
            <w:pPr>
              <w:spacing w:after="0"/>
              <w:rPr>
                <w:sz w:val="11"/>
                <w:szCs w:val="11"/>
                <w:color w:val="auto"/>
              </w:rPr>
            </w:pPr>
          </w:p>
        </w:tc>
        <w:tc>
          <w:tcPr>
            <w:tcW w:w="10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21.7%</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940" w:type="dxa"/>
            <w:vAlign w:val="bottom"/>
            <w:gridSpan w:val="2"/>
            <w:shd w:val="clear" w:color="auto" w:fill="CFF0FC"/>
          </w:tcPr>
          <w:p>
            <w:pPr>
              <w:ind w:left="100"/>
              <w:spacing w:after="0" w:line="129" w:lineRule="exact"/>
              <w:rPr>
                <w:sz w:val="20"/>
                <w:szCs w:val="20"/>
                <w:color w:val="auto"/>
              </w:rPr>
            </w:pPr>
            <w:r>
              <w:rPr>
                <w:rFonts w:ascii="Arial" w:cs="Arial" w:eastAsia="Arial" w:hAnsi="Arial"/>
                <w:sz w:val="12"/>
                <w:szCs w:val="12"/>
                <w:color w:val="auto"/>
              </w:rPr>
              <w:t>Total Segment Gross Profit</w:t>
            </w:r>
          </w:p>
        </w:tc>
        <w:tc>
          <w:tcPr>
            <w:tcW w:w="22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6,827</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7,766</w:t>
            </w:r>
          </w:p>
        </w:tc>
        <w:tc>
          <w:tcPr>
            <w:tcW w:w="20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20"/>
              <w:spacing w:after="0" w:line="129" w:lineRule="exact"/>
              <w:rPr>
                <w:sz w:val="20"/>
                <w:szCs w:val="20"/>
                <w:color w:val="auto"/>
              </w:rPr>
            </w:pPr>
            <w:r>
              <w:rPr>
                <w:rFonts w:ascii="Arial" w:cs="Arial" w:eastAsia="Arial" w:hAnsi="Arial"/>
                <w:sz w:val="13"/>
                <w:szCs w:val="13"/>
                <w:color w:val="auto"/>
              </w:rPr>
              <w:t>(12.1)%</w:t>
            </w:r>
          </w:p>
        </w:tc>
        <w:tc>
          <w:tcPr>
            <w:tcW w:w="28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140"/>
              <w:spacing w:after="0" w:line="129" w:lineRule="exact"/>
              <w:rPr>
                <w:sz w:val="20"/>
                <w:szCs w:val="20"/>
                <w:color w:val="auto"/>
              </w:rPr>
            </w:pPr>
            <w:r>
              <w:rPr>
                <w:rFonts w:ascii="Arial" w:cs="Arial" w:eastAsia="Arial" w:hAnsi="Arial"/>
                <w:sz w:val="13"/>
                <w:szCs w:val="13"/>
                <w:b w:val="1"/>
                <w:bCs w:val="1"/>
                <w:color w:val="auto"/>
              </w:rPr>
              <w:t>13.2%</w:t>
            </w:r>
          </w:p>
        </w:tc>
        <w:tc>
          <w:tcPr>
            <w:tcW w:w="28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60"/>
              <w:spacing w:after="0" w:line="129" w:lineRule="exact"/>
              <w:rPr>
                <w:sz w:val="20"/>
                <w:szCs w:val="20"/>
                <w:color w:val="auto"/>
              </w:rPr>
            </w:pPr>
            <w:r>
              <w:rPr>
                <w:rFonts w:ascii="Arial" w:cs="Arial" w:eastAsia="Arial" w:hAnsi="Arial"/>
                <w:sz w:val="13"/>
                <w:szCs w:val="13"/>
                <w:color w:val="auto"/>
              </w:rPr>
              <w:t>15.9%</w:t>
            </w:r>
          </w:p>
        </w:tc>
        <w:tc>
          <w:tcPr>
            <w:tcW w:w="0" w:type="dxa"/>
            <w:vAlign w:val="bottom"/>
          </w:tcPr>
          <w:p>
            <w:pPr>
              <w:spacing w:after="0"/>
              <w:rPr>
                <w:sz w:val="1"/>
                <w:szCs w:val="1"/>
                <w:color w:val="auto"/>
              </w:rPr>
            </w:pPr>
          </w:p>
        </w:tc>
      </w:tr>
      <w:tr>
        <w:trPr>
          <w:trHeight w:val="135"/>
        </w:trPr>
        <w:tc>
          <w:tcPr>
            <w:tcW w:w="4940" w:type="dxa"/>
            <w:vAlign w:val="bottom"/>
            <w:gridSpan w:val="2"/>
          </w:tcPr>
          <w:p>
            <w:pPr>
              <w:spacing w:after="0" w:line="135" w:lineRule="exact"/>
              <w:rPr>
                <w:sz w:val="20"/>
                <w:szCs w:val="20"/>
                <w:color w:val="auto"/>
              </w:rPr>
            </w:pPr>
            <w:r>
              <w:rPr>
                <w:rFonts w:ascii="Arial" w:cs="Arial" w:eastAsia="Arial" w:hAnsi="Arial"/>
                <w:sz w:val="12"/>
                <w:szCs w:val="12"/>
                <w:color w:val="auto"/>
              </w:rPr>
              <w:t>Restructuring Related Charge (1)</w:t>
            </w:r>
          </w:p>
        </w:tc>
        <w:tc>
          <w:tcPr>
            <w:tcW w:w="22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(113)</w:t>
            </w:r>
          </w:p>
        </w:tc>
        <w:tc>
          <w:tcPr>
            <w:tcW w:w="10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(100.0)%</w:t>
            </w:r>
          </w:p>
        </w:tc>
        <w:tc>
          <w:tcPr>
            <w:tcW w:w="280" w:type="dxa"/>
            <w:vAlign w:val="bottom"/>
          </w:tcPr>
          <w:p>
            <w:pPr>
              <w:spacing w:after="0"/>
              <w:rPr>
                <w:sz w:val="11"/>
                <w:szCs w:val="11"/>
                <w:color w:val="auto"/>
              </w:rPr>
            </w:pPr>
          </w:p>
        </w:tc>
        <w:tc>
          <w:tcPr>
            <w:tcW w:w="1100" w:type="dxa"/>
            <w:vAlign w:val="bottom"/>
            <w:gridSpan w:val="2"/>
          </w:tcPr>
          <w:p>
            <w:pPr>
              <w:jc w:val="right"/>
              <w:ind w:right="140"/>
              <w:spacing w:after="0" w:line="135" w:lineRule="exact"/>
              <w:rPr>
                <w:sz w:val="20"/>
                <w:szCs w:val="20"/>
                <w:color w:val="auto"/>
              </w:rPr>
            </w:pPr>
            <w:r>
              <w:rPr>
                <w:rFonts w:ascii="Arial" w:cs="Arial" w:eastAsia="Arial" w:hAnsi="Arial"/>
                <w:sz w:val="13"/>
                <w:szCs w:val="13"/>
                <w:b w:val="1"/>
                <w:bCs w:val="1"/>
                <w:color w:val="auto"/>
              </w:rPr>
              <w:t>0.0%</w:t>
            </w:r>
          </w:p>
        </w:tc>
        <w:tc>
          <w:tcPr>
            <w:tcW w:w="280" w:type="dxa"/>
            <w:vAlign w:val="bottom"/>
          </w:tcPr>
          <w:p>
            <w:pPr>
              <w:spacing w:after="0"/>
              <w:rPr>
                <w:sz w:val="11"/>
                <w:szCs w:val="11"/>
                <w:color w:val="auto"/>
              </w:rPr>
            </w:pPr>
          </w:p>
        </w:tc>
        <w:tc>
          <w:tcPr>
            <w:tcW w:w="10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940" w:type="dxa"/>
            <w:vAlign w:val="bottom"/>
            <w:gridSpan w:val="2"/>
            <w:shd w:val="clear" w:color="auto" w:fill="CFF0FC"/>
          </w:tcPr>
          <w:p>
            <w:pPr>
              <w:ind w:left="100"/>
              <w:spacing w:after="0" w:line="129" w:lineRule="exact"/>
              <w:rPr>
                <w:sz w:val="20"/>
                <w:szCs w:val="20"/>
                <w:color w:val="auto"/>
              </w:rPr>
            </w:pPr>
            <w:r>
              <w:rPr>
                <w:rFonts w:ascii="Arial" w:cs="Arial" w:eastAsia="Arial" w:hAnsi="Arial"/>
                <w:sz w:val="12"/>
                <w:szCs w:val="12"/>
                <w:color w:val="auto"/>
              </w:rPr>
              <w:t>Gross Profit</w:t>
            </w:r>
          </w:p>
        </w:tc>
        <w:tc>
          <w:tcPr>
            <w:tcW w:w="220" w:type="dxa"/>
            <w:vAlign w:val="bottom"/>
            <w:shd w:val="clear" w:color="auto" w:fill="CFF0FC"/>
          </w:tcPr>
          <w:p>
            <w:pPr>
              <w:jc w:val="right"/>
              <w:ind w:right="77"/>
              <w:spacing w:after="0" w:line="129" w:lineRule="exact"/>
              <w:rPr>
                <w:sz w:val="20"/>
                <w:szCs w:val="20"/>
                <w:color w:val="auto"/>
              </w:rPr>
            </w:pPr>
            <w:r>
              <w:rPr>
                <w:rFonts w:ascii="Arial" w:cs="Arial" w:eastAsia="Arial" w:hAnsi="Arial"/>
                <w:sz w:val="13"/>
                <w:szCs w:val="13"/>
                <w:b w:val="1"/>
                <w:bCs w:val="1"/>
                <w:color w:val="auto"/>
                <w:w w:val="82"/>
              </w:rPr>
              <w:t>$</w:t>
            </w:r>
          </w:p>
        </w:tc>
        <w:tc>
          <w:tcPr>
            <w:tcW w:w="9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6,827</w:t>
            </w:r>
          </w:p>
        </w:tc>
        <w:tc>
          <w:tcPr>
            <w:tcW w:w="400" w:type="dxa"/>
            <w:vAlign w:val="bottom"/>
            <w:gridSpan w:val="2"/>
            <w:shd w:val="clear" w:color="auto" w:fill="CFF0FC"/>
          </w:tcPr>
          <w:p>
            <w:pPr>
              <w:jc w:val="right"/>
              <w:ind w:right="68"/>
              <w:spacing w:after="0" w:line="129" w:lineRule="exact"/>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7,653</w:t>
            </w:r>
          </w:p>
        </w:tc>
        <w:tc>
          <w:tcPr>
            <w:tcW w:w="20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20"/>
              <w:spacing w:after="0" w:line="129" w:lineRule="exact"/>
              <w:rPr>
                <w:sz w:val="20"/>
                <w:szCs w:val="20"/>
                <w:color w:val="auto"/>
              </w:rPr>
            </w:pPr>
            <w:r>
              <w:rPr>
                <w:rFonts w:ascii="Arial" w:cs="Arial" w:eastAsia="Arial" w:hAnsi="Arial"/>
                <w:sz w:val="13"/>
                <w:szCs w:val="13"/>
                <w:color w:val="auto"/>
              </w:rPr>
              <w:t>(10.8)%</w:t>
            </w:r>
          </w:p>
        </w:tc>
        <w:tc>
          <w:tcPr>
            <w:tcW w:w="2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40"/>
              <w:spacing w:after="0" w:line="129" w:lineRule="exact"/>
              <w:rPr>
                <w:sz w:val="20"/>
                <w:szCs w:val="20"/>
                <w:color w:val="auto"/>
              </w:rPr>
            </w:pPr>
            <w:r>
              <w:rPr>
                <w:rFonts w:ascii="Arial" w:cs="Arial" w:eastAsia="Arial" w:hAnsi="Arial"/>
                <w:sz w:val="13"/>
                <w:szCs w:val="13"/>
                <w:b w:val="1"/>
                <w:bCs w:val="1"/>
                <w:color w:val="auto"/>
              </w:rPr>
              <w:t>13.2%</w:t>
            </w:r>
          </w:p>
        </w:tc>
        <w:tc>
          <w:tcPr>
            <w:tcW w:w="2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60"/>
              <w:spacing w:after="0" w:line="129" w:lineRule="exact"/>
              <w:rPr>
                <w:sz w:val="20"/>
                <w:szCs w:val="20"/>
                <w:color w:val="auto"/>
              </w:rPr>
            </w:pPr>
            <w:r>
              <w:rPr>
                <w:rFonts w:ascii="Arial" w:cs="Arial" w:eastAsia="Arial" w:hAnsi="Arial"/>
                <w:sz w:val="13"/>
                <w:szCs w:val="13"/>
                <w:color w:val="auto"/>
              </w:rPr>
              <w:t>15.7%</w:t>
            </w:r>
          </w:p>
        </w:tc>
        <w:tc>
          <w:tcPr>
            <w:tcW w:w="0" w:type="dxa"/>
            <w:vAlign w:val="bottom"/>
          </w:tcPr>
          <w:p>
            <w:pPr>
              <w:spacing w:after="0"/>
              <w:rPr>
                <w:sz w:val="1"/>
                <w:szCs w:val="1"/>
                <w:color w:val="auto"/>
              </w:rPr>
            </w:pPr>
          </w:p>
        </w:tc>
      </w:tr>
      <w:tr>
        <w:trPr>
          <w:trHeight w:val="20"/>
        </w:trPr>
        <w:tc>
          <w:tcPr>
            <w:tcW w:w="48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-676910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-659130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-676910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-659130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-676910</wp:posOffset>
            </wp:positionV>
            <wp:extent cx="1111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-659130</wp:posOffset>
            </wp:positionV>
            <wp:extent cx="1111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-676910</wp:posOffset>
            </wp:positionV>
            <wp:extent cx="857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-659130</wp:posOffset>
            </wp:positionV>
            <wp:extent cx="857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-676910</wp:posOffset>
            </wp:positionV>
            <wp:extent cx="1117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-659130</wp:posOffset>
            </wp:positionV>
            <wp:extent cx="1117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-25400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-25400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-25400</wp:posOffset>
            </wp:positionV>
            <wp:extent cx="1111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1111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-25400</wp:posOffset>
            </wp:positionV>
            <wp:extent cx="857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857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-25400</wp:posOffset>
            </wp:positionV>
            <wp:extent cx="1117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2" w:lineRule="exact"/>
        <w:rPr>
          <w:sz w:val="20"/>
          <w:szCs w:val="20"/>
          <w:color w:val="auto"/>
        </w:rPr>
      </w:pPr>
    </w:p>
    <w:p>
      <w:pPr>
        <w:ind w:left="260" w:hanging="252"/>
        <w:spacing w:after="0" w:line="286" w:lineRule="auto"/>
        <w:tabs>
          <w:tab w:leader="none" w:pos="276"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See page 11 for details regarding restructuring related charges included in cost of sales and gross profit and a Reconciliation of Selected Income Statement Information to Adjusted Results for the three months ended May 3, 2026, and April 27, 2025.</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5"/>
          </w:tcPr>
          <w:p>
            <w:pPr>
              <w:ind w:left="760"/>
              <w:spacing w:after="0"/>
              <w:rPr>
                <w:sz w:val="20"/>
                <w:szCs w:val="20"/>
                <w:color w:val="auto"/>
              </w:rPr>
            </w:pPr>
            <w:r>
              <w:rPr>
                <w:rFonts w:ascii="Arial" w:cs="Arial" w:eastAsia="Arial" w:hAnsi="Arial"/>
                <w:sz w:val="13"/>
                <w:szCs w:val="13"/>
                <w:b w:val="1"/>
                <w:bCs w:val="1"/>
                <w:color w:val="auto"/>
                <w:w w:val="99"/>
              </w:rPr>
              <w:t>TWELVE MONTHS ENDED</w:t>
            </w:r>
          </w:p>
        </w:tc>
        <w:tc>
          <w:tcPr>
            <w:tcW w:w="8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4"/>
          </w:tcPr>
          <w:p>
            <w:pPr>
              <w:jc w:val="right"/>
              <w:ind w:right="48"/>
              <w:spacing w:after="0" w:line="129" w:lineRule="exact"/>
              <w:rPr>
                <w:sz w:val="20"/>
                <w:szCs w:val="20"/>
                <w:color w:val="auto"/>
              </w:rPr>
            </w:pPr>
            <w:r>
              <w:rPr>
                <w:rFonts w:ascii="Arial" w:cs="Arial" w:eastAsia="Arial" w:hAnsi="Arial"/>
                <w:sz w:val="13"/>
                <w:szCs w:val="13"/>
                <w:color w:val="auto"/>
              </w:rPr>
              <w:t>Amounts</w:t>
            </w:r>
          </w:p>
        </w:tc>
        <w:tc>
          <w:tcPr>
            <w:tcW w:w="8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vMerge w:val="restart"/>
          </w:tcPr>
          <w:p>
            <w:pPr>
              <w:jc w:val="right"/>
              <w:ind w:right="460"/>
              <w:spacing w:after="0"/>
              <w:rPr>
                <w:sz w:val="20"/>
                <w:szCs w:val="20"/>
                <w:color w:val="auto"/>
              </w:rPr>
            </w:pPr>
            <w:r>
              <w:rPr>
                <w:rFonts w:ascii="Arial" w:cs="Arial" w:eastAsia="Arial" w:hAnsi="Arial"/>
                <w:sz w:val="13"/>
                <w:szCs w:val="13"/>
                <w:color w:val="auto"/>
              </w:rPr>
              <w:t>% Over</w:t>
            </w:r>
          </w:p>
        </w:tc>
        <w:tc>
          <w:tcPr>
            <w:tcW w:w="30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gridSpan w:val="4"/>
          </w:tcPr>
          <w:p>
            <w:pPr>
              <w:jc w:val="center"/>
              <w:ind w:right="238"/>
              <w:spacing w:after="0" w:line="129" w:lineRule="exact"/>
              <w:rPr>
                <w:sz w:val="20"/>
                <w:szCs w:val="20"/>
                <w:color w:val="auto"/>
              </w:rPr>
            </w:pPr>
            <w:r>
              <w:rPr>
                <w:rFonts w:ascii="Arial" w:cs="Arial" w:eastAsia="Arial" w:hAnsi="Arial"/>
                <w:sz w:val="13"/>
                <w:szCs w:val="13"/>
                <w:color w:val="auto"/>
                <w:w w:val="96"/>
              </w:rPr>
              <w:t>Percent of Total Sales</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4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gridSpan w:val="2"/>
          </w:tcPr>
          <w:p>
            <w:pPr>
              <w:jc w:val="right"/>
              <w:ind w:right="520"/>
              <w:spacing w:after="0" w:line="111" w:lineRule="exact"/>
              <w:rPr>
                <w:sz w:val="20"/>
                <w:szCs w:val="20"/>
                <w:color w:val="auto"/>
              </w:rPr>
            </w:pPr>
            <w:r>
              <w:rPr>
                <w:rFonts w:ascii="Arial" w:cs="Arial" w:eastAsia="Arial" w:hAnsi="Arial"/>
                <w:sz w:val="12"/>
                <w:szCs w:val="12"/>
                <w:b w:val="1"/>
                <w:bCs w:val="1"/>
                <w:color w:val="auto"/>
              </w:rPr>
              <w:t>May 3,</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jc w:val="right"/>
              <w:ind w:right="237"/>
              <w:spacing w:after="0" w:line="111" w:lineRule="exact"/>
              <w:rPr>
                <w:sz w:val="20"/>
                <w:szCs w:val="20"/>
                <w:color w:val="auto"/>
              </w:rPr>
            </w:pPr>
            <w:r>
              <w:rPr>
                <w:rFonts w:ascii="Arial" w:cs="Arial" w:eastAsia="Arial" w:hAnsi="Arial"/>
                <w:sz w:val="12"/>
                <w:szCs w:val="12"/>
                <w:color w:val="auto"/>
              </w:rPr>
              <w:t>April 27,</w:t>
            </w:r>
          </w:p>
        </w:tc>
        <w:tc>
          <w:tcPr>
            <w:tcW w:w="20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400" w:type="dxa"/>
            <w:vAlign w:val="bottom"/>
            <w:gridSpan w:val="3"/>
          </w:tcPr>
          <w:p>
            <w:pPr>
              <w:jc w:val="center"/>
              <w:ind w:right="880"/>
              <w:spacing w:after="0" w:line="111" w:lineRule="exact"/>
              <w:rPr>
                <w:sz w:val="20"/>
                <w:szCs w:val="20"/>
                <w:color w:val="auto"/>
              </w:rPr>
            </w:pPr>
            <w:r>
              <w:rPr>
                <w:rFonts w:ascii="Arial" w:cs="Arial" w:eastAsia="Arial" w:hAnsi="Arial"/>
                <w:sz w:val="12"/>
                <w:szCs w:val="12"/>
                <w:b w:val="1"/>
                <w:bCs w:val="1"/>
                <w:color w:val="auto"/>
                <w:w w:val="97"/>
              </w:rPr>
              <w:t>May 3,</w:t>
            </w:r>
          </w:p>
        </w:tc>
        <w:tc>
          <w:tcPr>
            <w:tcW w:w="820" w:type="dxa"/>
            <w:vAlign w:val="bottom"/>
          </w:tcPr>
          <w:p>
            <w:pPr>
              <w:jc w:val="center"/>
              <w:ind w:right="218"/>
              <w:spacing w:after="0" w:line="111" w:lineRule="exact"/>
              <w:rPr>
                <w:sz w:val="20"/>
                <w:szCs w:val="20"/>
                <w:color w:val="auto"/>
              </w:rPr>
            </w:pPr>
            <w:r>
              <w:rPr>
                <w:rFonts w:ascii="Arial" w:cs="Arial" w:eastAsia="Arial" w:hAnsi="Arial"/>
                <w:sz w:val="12"/>
                <w:szCs w:val="12"/>
                <w:color w:val="auto"/>
                <w:w w:val="95"/>
              </w:rPr>
              <w:t>April 27,</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48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Net Sales by Segment</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b w:val="1"/>
                <w:bCs w:val="1"/>
                <w:color w:val="auto"/>
              </w:rPr>
              <w:t>2026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color w:val="auto"/>
              </w:rPr>
              <w:t>2025</w:t>
            </w:r>
          </w:p>
        </w:tc>
        <w:tc>
          <w:tcPr>
            <w:tcW w:w="200" w:type="dxa"/>
            <w:vAlign w:val="bottom"/>
          </w:tcPr>
          <w:p>
            <w:pPr>
              <w:spacing w:after="0"/>
              <w:rPr>
                <w:sz w:val="13"/>
                <w:szCs w:val="13"/>
                <w:color w:val="auto"/>
              </w:rPr>
            </w:pPr>
          </w:p>
        </w:tc>
        <w:tc>
          <w:tcPr>
            <w:tcW w:w="7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(Under)</w:t>
            </w:r>
          </w:p>
        </w:tc>
        <w:tc>
          <w:tcPr>
            <w:tcW w:w="2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b w:val="1"/>
                <w:bCs w:val="1"/>
                <w:color w:val="auto"/>
              </w:rPr>
              <w:t>2026</w:t>
            </w:r>
          </w:p>
        </w:tc>
        <w:tc>
          <w:tcPr>
            <w:tcW w:w="2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58"/>
              <w:spacing w:after="0"/>
              <w:rPr>
                <w:sz w:val="20"/>
                <w:szCs w:val="20"/>
                <w:color w:val="auto"/>
              </w:rPr>
            </w:pPr>
            <w:r>
              <w:rPr>
                <w:rFonts w:ascii="Arial" w:cs="Arial" w:eastAsia="Arial" w:hAnsi="Arial"/>
                <w:sz w:val="12"/>
                <w:szCs w:val="12"/>
                <w:color w:val="auto"/>
              </w:rPr>
              <w:t>2025</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4920" w:type="dxa"/>
            <w:vAlign w:val="bottom"/>
            <w:gridSpan w:val="2"/>
            <w:shd w:val="clear" w:color="auto" w:fill="CFF0FC"/>
          </w:tcPr>
          <w:p>
            <w:pPr>
              <w:spacing w:after="0" w:line="129" w:lineRule="exact"/>
              <w:rPr>
                <w:sz w:val="20"/>
                <w:szCs w:val="20"/>
                <w:color w:val="auto"/>
              </w:rPr>
            </w:pPr>
            <w:r>
              <w:rPr>
                <w:rFonts w:ascii="Arial" w:cs="Arial" w:eastAsia="Arial" w:hAnsi="Arial"/>
                <w:sz w:val="13"/>
                <w:szCs w:val="13"/>
                <w:color w:val="auto"/>
              </w:rPr>
              <w:t>Bedding</w:t>
            </w:r>
          </w:p>
        </w:tc>
        <w:tc>
          <w:tcPr>
            <w:tcW w:w="220" w:type="dxa"/>
            <w:vAlign w:val="bottom"/>
            <w:shd w:val="clear" w:color="auto" w:fill="CFF0FC"/>
          </w:tcPr>
          <w:p>
            <w:pPr>
              <w:jc w:val="right"/>
              <w:ind w:right="77"/>
              <w:spacing w:after="0" w:line="129" w:lineRule="exact"/>
              <w:rPr>
                <w:sz w:val="20"/>
                <w:szCs w:val="20"/>
                <w:color w:val="auto"/>
              </w:rPr>
            </w:pPr>
            <w:r>
              <w:rPr>
                <w:rFonts w:ascii="Arial" w:cs="Arial" w:eastAsia="Arial" w:hAnsi="Arial"/>
                <w:sz w:val="13"/>
                <w:szCs w:val="13"/>
                <w:b w:val="1"/>
                <w:bCs w:val="1"/>
                <w:color w:val="auto"/>
                <w:w w:val="82"/>
              </w:rPr>
              <w:t>$</w:t>
            </w:r>
          </w:p>
        </w:tc>
        <w:tc>
          <w:tcPr>
            <w:tcW w:w="9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116,593</w:t>
            </w:r>
          </w:p>
        </w:tc>
        <w:tc>
          <w:tcPr>
            <w:tcW w:w="140" w:type="dxa"/>
            <w:vAlign w:val="bottom"/>
            <w:shd w:val="clear" w:color="auto" w:fill="CFF0FC"/>
          </w:tcPr>
          <w:p>
            <w:pPr>
              <w:spacing w:after="0"/>
              <w:rPr>
                <w:sz w:val="11"/>
                <w:szCs w:val="11"/>
                <w:color w:val="auto"/>
              </w:rPr>
            </w:pPr>
          </w:p>
        </w:tc>
        <w:tc>
          <w:tcPr>
            <w:tcW w:w="260" w:type="dxa"/>
            <w:vAlign w:val="bottom"/>
            <w:gridSpan w:val="2"/>
            <w:shd w:val="clear" w:color="auto" w:fill="CFF0FC"/>
          </w:tcPr>
          <w:p>
            <w:pPr>
              <w:jc w:val="right"/>
              <w:ind w:right="68"/>
              <w:spacing w:after="0" w:line="129" w:lineRule="exact"/>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113,906</w:t>
            </w:r>
          </w:p>
        </w:tc>
        <w:tc>
          <w:tcPr>
            <w:tcW w:w="20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80"/>
              <w:spacing w:after="0" w:line="129" w:lineRule="exact"/>
              <w:rPr>
                <w:sz w:val="20"/>
                <w:szCs w:val="20"/>
                <w:color w:val="auto"/>
              </w:rPr>
            </w:pPr>
            <w:r>
              <w:rPr>
                <w:rFonts w:ascii="Arial" w:cs="Arial" w:eastAsia="Arial" w:hAnsi="Arial"/>
                <w:sz w:val="13"/>
                <w:szCs w:val="13"/>
                <w:color w:val="auto"/>
              </w:rPr>
              <w:t>2.4%</w:t>
            </w:r>
          </w:p>
        </w:tc>
        <w:tc>
          <w:tcPr>
            <w:tcW w:w="300" w:type="dxa"/>
            <w:vAlign w:val="bottom"/>
            <w:shd w:val="clear" w:color="auto" w:fill="CFF0FC"/>
          </w:tcPr>
          <w:p>
            <w:pPr>
              <w:spacing w:after="0"/>
              <w:rPr>
                <w:sz w:val="11"/>
                <w:szCs w:val="11"/>
                <w:color w:val="auto"/>
              </w:rPr>
            </w:pPr>
          </w:p>
        </w:tc>
        <w:tc>
          <w:tcPr>
            <w:tcW w:w="1120" w:type="dxa"/>
            <w:vAlign w:val="bottom"/>
            <w:gridSpan w:val="2"/>
            <w:shd w:val="clear" w:color="auto" w:fill="CFF0FC"/>
          </w:tcPr>
          <w:p>
            <w:pPr>
              <w:jc w:val="right"/>
              <w:ind w:right="180"/>
              <w:spacing w:after="0" w:line="129" w:lineRule="exact"/>
              <w:rPr>
                <w:sz w:val="20"/>
                <w:szCs w:val="20"/>
                <w:color w:val="auto"/>
              </w:rPr>
            </w:pPr>
            <w:r>
              <w:rPr>
                <w:rFonts w:ascii="Arial" w:cs="Arial" w:eastAsia="Arial" w:hAnsi="Arial"/>
                <w:sz w:val="13"/>
                <w:szCs w:val="13"/>
                <w:b w:val="1"/>
                <w:bCs w:val="1"/>
                <w:color w:val="auto"/>
              </w:rPr>
              <w:t>57.3%</w:t>
            </w:r>
          </w:p>
        </w:tc>
        <w:tc>
          <w:tcPr>
            <w:tcW w:w="28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60"/>
              <w:spacing w:after="0" w:line="129" w:lineRule="exact"/>
              <w:rPr>
                <w:sz w:val="20"/>
                <w:szCs w:val="20"/>
                <w:color w:val="auto"/>
              </w:rPr>
            </w:pPr>
            <w:r>
              <w:rPr>
                <w:rFonts w:ascii="Arial" w:cs="Arial" w:eastAsia="Arial" w:hAnsi="Arial"/>
                <w:sz w:val="13"/>
                <w:szCs w:val="13"/>
                <w:color w:val="auto"/>
              </w:rPr>
              <w:t>53.4%</w:t>
            </w:r>
          </w:p>
        </w:tc>
        <w:tc>
          <w:tcPr>
            <w:tcW w:w="0" w:type="dxa"/>
            <w:vAlign w:val="bottom"/>
          </w:tcPr>
          <w:p>
            <w:pPr>
              <w:spacing w:after="0"/>
              <w:rPr>
                <w:sz w:val="1"/>
                <w:szCs w:val="1"/>
                <w:color w:val="auto"/>
              </w:rPr>
            </w:pPr>
          </w:p>
        </w:tc>
      </w:tr>
      <w:tr>
        <w:trPr>
          <w:trHeight w:val="135"/>
        </w:trPr>
        <w:tc>
          <w:tcPr>
            <w:tcW w:w="4920" w:type="dxa"/>
            <w:vAlign w:val="bottom"/>
            <w:gridSpan w:val="2"/>
          </w:tcPr>
          <w:p>
            <w:pPr>
              <w:spacing w:after="0" w:line="135" w:lineRule="exact"/>
              <w:rPr>
                <w:sz w:val="20"/>
                <w:szCs w:val="20"/>
                <w:color w:val="auto"/>
              </w:rPr>
            </w:pPr>
            <w:r>
              <w:rPr>
                <w:rFonts w:ascii="Arial" w:cs="Arial" w:eastAsia="Arial" w:hAnsi="Arial"/>
                <w:sz w:val="13"/>
                <w:szCs w:val="13"/>
                <w:color w:val="auto"/>
              </w:rPr>
              <w:t>Upholstery</w:t>
            </w:r>
          </w:p>
        </w:tc>
        <w:tc>
          <w:tcPr>
            <w:tcW w:w="2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86,889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99,331</w:t>
            </w:r>
          </w:p>
        </w:tc>
        <w:tc>
          <w:tcPr>
            <w:tcW w:w="200" w:type="dxa"/>
            <w:vAlign w:val="bottom"/>
          </w:tcPr>
          <w:p>
            <w:pPr>
              <w:spacing w:after="0"/>
              <w:rPr>
                <w:sz w:val="11"/>
                <w:szCs w:val="11"/>
                <w:color w:val="auto"/>
              </w:rPr>
            </w:pPr>
          </w:p>
        </w:tc>
        <w:tc>
          <w:tcPr>
            <w:tcW w:w="10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(12.5)%</w:t>
            </w:r>
          </w:p>
        </w:tc>
        <w:tc>
          <w:tcPr>
            <w:tcW w:w="300" w:type="dxa"/>
            <w:vAlign w:val="bottom"/>
          </w:tcPr>
          <w:p>
            <w:pPr>
              <w:spacing w:after="0"/>
              <w:rPr>
                <w:sz w:val="11"/>
                <w:szCs w:val="11"/>
                <w:color w:val="auto"/>
              </w:rPr>
            </w:pPr>
          </w:p>
        </w:tc>
        <w:tc>
          <w:tcPr>
            <w:tcW w:w="112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rPr>
              <w:t>42.7%</w:t>
            </w:r>
          </w:p>
        </w:tc>
        <w:tc>
          <w:tcPr>
            <w:tcW w:w="280" w:type="dxa"/>
            <w:vAlign w:val="bottom"/>
          </w:tcPr>
          <w:p>
            <w:pPr>
              <w:spacing w:after="0"/>
              <w:rPr>
                <w:sz w:val="11"/>
                <w:szCs w:val="11"/>
                <w:color w:val="auto"/>
              </w:rPr>
            </w:pPr>
          </w:p>
        </w:tc>
        <w:tc>
          <w:tcPr>
            <w:tcW w:w="10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46.6%</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920" w:type="dxa"/>
            <w:vAlign w:val="bottom"/>
            <w:gridSpan w:val="2"/>
            <w:shd w:val="clear" w:color="auto" w:fill="CFF0FC"/>
          </w:tcPr>
          <w:p>
            <w:pPr>
              <w:ind w:left="100"/>
              <w:spacing w:after="0" w:line="129" w:lineRule="exact"/>
              <w:rPr>
                <w:sz w:val="20"/>
                <w:szCs w:val="20"/>
                <w:color w:val="auto"/>
              </w:rPr>
            </w:pPr>
            <w:r>
              <w:rPr>
                <w:rFonts w:ascii="Arial" w:cs="Arial" w:eastAsia="Arial" w:hAnsi="Arial"/>
                <w:sz w:val="13"/>
                <w:szCs w:val="13"/>
                <w:color w:val="auto"/>
              </w:rPr>
              <w:t>Net Sales</w:t>
            </w:r>
          </w:p>
        </w:tc>
        <w:tc>
          <w:tcPr>
            <w:tcW w:w="220" w:type="dxa"/>
            <w:vAlign w:val="bottom"/>
            <w:shd w:val="clear" w:color="auto" w:fill="CFF0FC"/>
          </w:tcPr>
          <w:p>
            <w:pPr>
              <w:jc w:val="right"/>
              <w:ind w:right="77"/>
              <w:spacing w:after="0" w:line="115" w:lineRule="exact"/>
              <w:rPr>
                <w:sz w:val="20"/>
                <w:szCs w:val="20"/>
                <w:color w:val="auto"/>
              </w:rPr>
            </w:pPr>
            <w:r>
              <w:rPr>
                <w:rFonts w:ascii="Arial" w:cs="Arial" w:eastAsia="Arial" w:hAnsi="Arial"/>
                <w:sz w:val="13"/>
                <w:szCs w:val="13"/>
                <w:b w:val="1"/>
                <w:bCs w:val="1"/>
                <w:color w:val="auto"/>
                <w:w w:val="82"/>
              </w:rPr>
              <w:t>$</w:t>
            </w:r>
          </w:p>
        </w:tc>
        <w:tc>
          <w:tcPr>
            <w:tcW w:w="900" w:type="dxa"/>
            <w:vAlign w:val="bottom"/>
            <w:shd w:val="clear" w:color="auto" w:fill="CFF0FC"/>
          </w:tcPr>
          <w:p>
            <w:pPr>
              <w:jc w:val="right"/>
              <w:spacing w:after="0" w:line="115" w:lineRule="exact"/>
              <w:rPr>
                <w:sz w:val="20"/>
                <w:szCs w:val="20"/>
                <w:color w:val="auto"/>
              </w:rPr>
            </w:pPr>
            <w:r>
              <w:rPr>
                <w:rFonts w:ascii="Arial" w:cs="Arial" w:eastAsia="Arial" w:hAnsi="Arial"/>
                <w:sz w:val="13"/>
                <w:szCs w:val="13"/>
                <w:b w:val="1"/>
                <w:bCs w:val="1"/>
                <w:color w:val="auto"/>
              </w:rPr>
              <w:t>203,482</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68"/>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FF0FC"/>
          </w:tcPr>
          <w:p>
            <w:pPr>
              <w:jc w:val="right"/>
              <w:spacing w:after="0" w:line="115" w:lineRule="exact"/>
              <w:rPr>
                <w:sz w:val="20"/>
                <w:szCs w:val="20"/>
                <w:color w:val="auto"/>
              </w:rPr>
            </w:pPr>
            <w:r>
              <w:rPr>
                <w:rFonts w:ascii="Arial" w:cs="Arial" w:eastAsia="Arial" w:hAnsi="Arial"/>
                <w:sz w:val="13"/>
                <w:szCs w:val="13"/>
                <w:color w:val="auto"/>
              </w:rPr>
              <w:t>213,237</w:t>
            </w:r>
          </w:p>
        </w:tc>
        <w:tc>
          <w:tcPr>
            <w:tcW w:w="20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20"/>
              <w:spacing w:after="0" w:line="115" w:lineRule="exact"/>
              <w:rPr>
                <w:sz w:val="20"/>
                <w:szCs w:val="20"/>
                <w:color w:val="auto"/>
              </w:rPr>
            </w:pPr>
            <w:r>
              <w:rPr>
                <w:rFonts w:ascii="Arial" w:cs="Arial" w:eastAsia="Arial" w:hAnsi="Arial"/>
                <w:sz w:val="13"/>
                <w:szCs w:val="13"/>
                <w:color w:val="auto"/>
              </w:rPr>
              <w:t>(4.6)%</w:t>
            </w:r>
          </w:p>
        </w:tc>
        <w:tc>
          <w:tcPr>
            <w:tcW w:w="3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80"/>
              <w:spacing w:after="0" w:line="115" w:lineRule="exact"/>
              <w:rPr>
                <w:sz w:val="20"/>
                <w:szCs w:val="20"/>
                <w:color w:val="auto"/>
              </w:rPr>
            </w:pPr>
            <w:r>
              <w:rPr>
                <w:rFonts w:ascii="Arial" w:cs="Arial" w:eastAsia="Arial" w:hAnsi="Arial"/>
                <w:sz w:val="13"/>
                <w:szCs w:val="13"/>
                <w:b w:val="1"/>
                <w:bCs w:val="1"/>
                <w:color w:val="auto"/>
              </w:rPr>
              <w:t>100.0%</w:t>
            </w:r>
          </w:p>
        </w:tc>
        <w:tc>
          <w:tcPr>
            <w:tcW w:w="2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60"/>
              <w:spacing w:after="0" w:line="115" w:lineRule="exact"/>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Gross Profit by Segment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3"/>
                <w:szCs w:val="13"/>
                <w:color w:val="auto"/>
                <w:w w:val="97"/>
              </w:rPr>
              <w:t>Gross Margin</w:t>
            </w:r>
          </w:p>
        </w:tc>
        <w:tc>
          <w:tcPr>
            <w:tcW w:w="82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8"/>
        </w:trPr>
        <w:tc>
          <w:tcPr>
            <w:tcW w:w="4920" w:type="dxa"/>
            <w:vAlign w:val="bottom"/>
            <w:gridSpan w:val="2"/>
            <w:shd w:val="clear" w:color="auto" w:fill="CFF0FC"/>
          </w:tcPr>
          <w:p>
            <w:pPr>
              <w:spacing w:after="0" w:line="129" w:lineRule="exact"/>
              <w:rPr>
                <w:sz w:val="20"/>
                <w:szCs w:val="20"/>
                <w:color w:val="auto"/>
              </w:rPr>
            </w:pPr>
            <w:r>
              <w:rPr>
                <w:rFonts w:ascii="Arial" w:cs="Arial" w:eastAsia="Arial" w:hAnsi="Arial"/>
                <w:sz w:val="13"/>
                <w:szCs w:val="13"/>
                <w:color w:val="auto"/>
              </w:rPr>
              <w:t>Bedding</w:t>
            </w:r>
          </w:p>
        </w:tc>
        <w:tc>
          <w:tcPr>
            <w:tcW w:w="220" w:type="dxa"/>
            <w:vAlign w:val="bottom"/>
            <w:shd w:val="clear" w:color="auto" w:fill="CFF0FC"/>
          </w:tcPr>
          <w:p>
            <w:pPr>
              <w:jc w:val="right"/>
              <w:ind w:right="77"/>
              <w:spacing w:after="0" w:line="129" w:lineRule="exact"/>
              <w:rPr>
                <w:sz w:val="20"/>
                <w:szCs w:val="20"/>
                <w:color w:val="auto"/>
              </w:rPr>
            </w:pPr>
            <w:r>
              <w:rPr>
                <w:rFonts w:ascii="Arial" w:cs="Arial" w:eastAsia="Arial" w:hAnsi="Arial"/>
                <w:sz w:val="13"/>
                <w:szCs w:val="13"/>
                <w:b w:val="1"/>
                <w:bCs w:val="1"/>
                <w:color w:val="auto"/>
                <w:w w:val="82"/>
              </w:rPr>
              <w:t>$</w:t>
            </w:r>
          </w:p>
        </w:tc>
        <w:tc>
          <w:tcPr>
            <w:tcW w:w="9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10,704</w:t>
            </w:r>
          </w:p>
        </w:tc>
        <w:tc>
          <w:tcPr>
            <w:tcW w:w="140" w:type="dxa"/>
            <w:vAlign w:val="bottom"/>
            <w:shd w:val="clear" w:color="auto" w:fill="CFF0FC"/>
          </w:tcPr>
          <w:p>
            <w:pPr>
              <w:spacing w:after="0"/>
              <w:rPr>
                <w:sz w:val="11"/>
                <w:szCs w:val="11"/>
                <w:color w:val="auto"/>
              </w:rPr>
            </w:pPr>
          </w:p>
        </w:tc>
        <w:tc>
          <w:tcPr>
            <w:tcW w:w="260" w:type="dxa"/>
            <w:vAlign w:val="bottom"/>
            <w:gridSpan w:val="2"/>
            <w:shd w:val="clear" w:color="auto" w:fill="CFF0FC"/>
          </w:tcPr>
          <w:p>
            <w:pPr>
              <w:jc w:val="right"/>
              <w:ind w:right="68"/>
              <w:spacing w:after="0" w:line="129" w:lineRule="exact"/>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7,936</w:t>
            </w:r>
          </w:p>
        </w:tc>
        <w:tc>
          <w:tcPr>
            <w:tcW w:w="20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80"/>
              <w:spacing w:after="0" w:line="129" w:lineRule="exact"/>
              <w:rPr>
                <w:sz w:val="20"/>
                <w:szCs w:val="20"/>
                <w:color w:val="auto"/>
              </w:rPr>
            </w:pPr>
            <w:r>
              <w:rPr>
                <w:rFonts w:ascii="Arial" w:cs="Arial" w:eastAsia="Arial" w:hAnsi="Arial"/>
                <w:sz w:val="13"/>
                <w:szCs w:val="13"/>
                <w:color w:val="auto"/>
              </w:rPr>
              <w:t>34.9%</w:t>
            </w:r>
          </w:p>
        </w:tc>
        <w:tc>
          <w:tcPr>
            <w:tcW w:w="300" w:type="dxa"/>
            <w:vAlign w:val="bottom"/>
            <w:shd w:val="clear" w:color="auto" w:fill="CFF0FC"/>
          </w:tcPr>
          <w:p>
            <w:pPr>
              <w:spacing w:after="0"/>
              <w:rPr>
                <w:sz w:val="11"/>
                <w:szCs w:val="11"/>
                <w:color w:val="auto"/>
              </w:rPr>
            </w:pPr>
          </w:p>
        </w:tc>
        <w:tc>
          <w:tcPr>
            <w:tcW w:w="1120" w:type="dxa"/>
            <w:vAlign w:val="bottom"/>
            <w:gridSpan w:val="2"/>
            <w:shd w:val="clear" w:color="auto" w:fill="CFF0FC"/>
          </w:tcPr>
          <w:p>
            <w:pPr>
              <w:jc w:val="right"/>
              <w:ind w:right="180"/>
              <w:spacing w:after="0" w:line="129" w:lineRule="exact"/>
              <w:rPr>
                <w:sz w:val="20"/>
                <w:szCs w:val="20"/>
                <w:color w:val="auto"/>
              </w:rPr>
            </w:pPr>
            <w:r>
              <w:rPr>
                <w:rFonts w:ascii="Arial" w:cs="Arial" w:eastAsia="Arial" w:hAnsi="Arial"/>
                <w:sz w:val="13"/>
                <w:szCs w:val="13"/>
                <w:b w:val="1"/>
                <w:bCs w:val="1"/>
                <w:color w:val="auto"/>
              </w:rPr>
              <w:t>9.2%</w:t>
            </w:r>
          </w:p>
        </w:tc>
        <w:tc>
          <w:tcPr>
            <w:tcW w:w="28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60"/>
              <w:spacing w:after="0" w:line="129" w:lineRule="exact"/>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135"/>
        </w:trPr>
        <w:tc>
          <w:tcPr>
            <w:tcW w:w="4920" w:type="dxa"/>
            <w:vAlign w:val="bottom"/>
            <w:gridSpan w:val="2"/>
          </w:tcPr>
          <w:p>
            <w:pPr>
              <w:spacing w:after="0" w:line="135" w:lineRule="exact"/>
              <w:rPr>
                <w:sz w:val="20"/>
                <w:szCs w:val="20"/>
                <w:color w:val="auto"/>
              </w:rPr>
            </w:pPr>
            <w:r>
              <w:rPr>
                <w:rFonts w:ascii="Arial" w:cs="Arial" w:eastAsia="Arial" w:hAnsi="Arial"/>
                <w:sz w:val="13"/>
                <w:szCs w:val="13"/>
                <w:color w:val="auto"/>
              </w:rPr>
              <w:t>Upholstery</w:t>
            </w:r>
          </w:p>
        </w:tc>
        <w:tc>
          <w:tcPr>
            <w:tcW w:w="2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15,387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18,752</w:t>
            </w:r>
          </w:p>
        </w:tc>
        <w:tc>
          <w:tcPr>
            <w:tcW w:w="200" w:type="dxa"/>
            <w:vAlign w:val="bottom"/>
          </w:tcPr>
          <w:p>
            <w:pPr>
              <w:spacing w:after="0"/>
              <w:rPr>
                <w:sz w:val="11"/>
                <w:szCs w:val="11"/>
                <w:color w:val="auto"/>
              </w:rPr>
            </w:pPr>
          </w:p>
        </w:tc>
        <w:tc>
          <w:tcPr>
            <w:tcW w:w="10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(17.9)%</w:t>
            </w:r>
          </w:p>
        </w:tc>
        <w:tc>
          <w:tcPr>
            <w:tcW w:w="300" w:type="dxa"/>
            <w:vAlign w:val="bottom"/>
          </w:tcPr>
          <w:p>
            <w:pPr>
              <w:spacing w:after="0"/>
              <w:rPr>
                <w:sz w:val="11"/>
                <w:szCs w:val="11"/>
                <w:color w:val="auto"/>
              </w:rPr>
            </w:pPr>
          </w:p>
        </w:tc>
        <w:tc>
          <w:tcPr>
            <w:tcW w:w="112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rPr>
              <w:t>17.7%</w:t>
            </w:r>
          </w:p>
        </w:tc>
        <w:tc>
          <w:tcPr>
            <w:tcW w:w="280" w:type="dxa"/>
            <w:vAlign w:val="bottom"/>
          </w:tcPr>
          <w:p>
            <w:pPr>
              <w:spacing w:after="0"/>
              <w:rPr>
                <w:sz w:val="11"/>
                <w:szCs w:val="11"/>
                <w:color w:val="auto"/>
              </w:rPr>
            </w:pPr>
          </w:p>
        </w:tc>
        <w:tc>
          <w:tcPr>
            <w:tcW w:w="10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18.9%</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920" w:type="dxa"/>
            <w:vAlign w:val="bottom"/>
            <w:gridSpan w:val="2"/>
            <w:shd w:val="clear" w:color="auto" w:fill="CFF0FC"/>
          </w:tcPr>
          <w:p>
            <w:pPr>
              <w:ind w:left="100"/>
              <w:spacing w:after="0" w:line="129" w:lineRule="exact"/>
              <w:rPr>
                <w:sz w:val="20"/>
                <w:szCs w:val="20"/>
                <w:color w:val="auto"/>
              </w:rPr>
            </w:pPr>
            <w:r>
              <w:rPr>
                <w:rFonts w:ascii="Arial" w:cs="Arial" w:eastAsia="Arial" w:hAnsi="Arial"/>
                <w:sz w:val="13"/>
                <w:szCs w:val="13"/>
                <w:color w:val="auto"/>
              </w:rPr>
              <w:t>Total Segment Gross Profit</w:t>
            </w: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26,091</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26,688</w:t>
            </w:r>
          </w:p>
        </w:tc>
        <w:tc>
          <w:tcPr>
            <w:tcW w:w="20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20"/>
              <w:spacing w:after="0" w:line="129" w:lineRule="exact"/>
              <w:rPr>
                <w:sz w:val="20"/>
                <w:szCs w:val="20"/>
                <w:color w:val="auto"/>
              </w:rPr>
            </w:pPr>
            <w:r>
              <w:rPr>
                <w:rFonts w:ascii="Arial" w:cs="Arial" w:eastAsia="Arial" w:hAnsi="Arial"/>
                <w:sz w:val="13"/>
                <w:szCs w:val="13"/>
                <w:color w:val="auto"/>
              </w:rPr>
              <w:t>(2.2)%</w:t>
            </w:r>
          </w:p>
        </w:tc>
        <w:tc>
          <w:tcPr>
            <w:tcW w:w="300" w:type="dxa"/>
            <w:vAlign w:val="bottom"/>
            <w:shd w:val="clear" w:color="auto" w:fill="CFF0FC"/>
          </w:tcPr>
          <w:p>
            <w:pPr>
              <w:spacing w:after="0"/>
              <w:rPr>
                <w:sz w:val="11"/>
                <w:szCs w:val="11"/>
                <w:color w:val="auto"/>
              </w:rPr>
            </w:pPr>
          </w:p>
        </w:tc>
        <w:tc>
          <w:tcPr>
            <w:tcW w:w="1120" w:type="dxa"/>
            <w:vAlign w:val="bottom"/>
            <w:gridSpan w:val="2"/>
            <w:shd w:val="clear" w:color="auto" w:fill="CFF0FC"/>
          </w:tcPr>
          <w:p>
            <w:pPr>
              <w:jc w:val="right"/>
              <w:ind w:right="180"/>
              <w:spacing w:after="0" w:line="129" w:lineRule="exact"/>
              <w:rPr>
                <w:sz w:val="20"/>
                <w:szCs w:val="20"/>
                <w:color w:val="auto"/>
              </w:rPr>
            </w:pPr>
            <w:r>
              <w:rPr>
                <w:rFonts w:ascii="Arial" w:cs="Arial" w:eastAsia="Arial" w:hAnsi="Arial"/>
                <w:sz w:val="13"/>
                <w:szCs w:val="13"/>
                <w:b w:val="1"/>
                <w:bCs w:val="1"/>
                <w:color w:val="auto"/>
              </w:rPr>
              <w:t>12.8%</w:t>
            </w:r>
          </w:p>
        </w:tc>
        <w:tc>
          <w:tcPr>
            <w:tcW w:w="28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60"/>
              <w:spacing w:after="0" w:line="129" w:lineRule="exact"/>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135"/>
        </w:trPr>
        <w:tc>
          <w:tcPr>
            <w:tcW w:w="4920" w:type="dxa"/>
            <w:vAlign w:val="bottom"/>
            <w:gridSpan w:val="2"/>
          </w:tcPr>
          <w:p>
            <w:pPr>
              <w:spacing w:after="0" w:line="135" w:lineRule="exact"/>
              <w:rPr>
                <w:sz w:val="20"/>
                <w:szCs w:val="20"/>
                <w:color w:val="auto"/>
              </w:rPr>
            </w:pPr>
            <w:r>
              <w:rPr>
                <w:rFonts w:ascii="Arial" w:cs="Arial" w:eastAsia="Arial" w:hAnsi="Arial"/>
                <w:sz w:val="13"/>
                <w:szCs w:val="13"/>
                <w:color w:val="auto"/>
              </w:rPr>
              <w:t>Restructuring Related Charge (1)</w:t>
            </w:r>
          </w:p>
        </w:tc>
        <w:tc>
          <w:tcPr>
            <w:tcW w:w="220" w:type="dxa"/>
            <w:vAlign w:val="bottom"/>
          </w:tcPr>
          <w:p>
            <w:pPr>
              <w:spacing w:after="0"/>
              <w:rPr>
                <w:sz w:val="11"/>
                <w:szCs w:val="11"/>
                <w:color w:val="auto"/>
              </w:rPr>
            </w:pPr>
          </w:p>
        </w:tc>
        <w:tc>
          <w:tcPr>
            <w:tcW w:w="104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(931)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(1,621)</w:t>
            </w:r>
          </w:p>
        </w:tc>
        <w:tc>
          <w:tcPr>
            <w:tcW w:w="10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(42.6)%</w:t>
            </w:r>
          </w:p>
        </w:tc>
        <w:tc>
          <w:tcPr>
            <w:tcW w:w="300" w:type="dxa"/>
            <w:vAlign w:val="bottom"/>
          </w:tcPr>
          <w:p>
            <w:pPr>
              <w:spacing w:after="0"/>
              <w:rPr>
                <w:sz w:val="11"/>
                <w:szCs w:val="11"/>
                <w:color w:val="auto"/>
              </w:rPr>
            </w:pPr>
          </w:p>
        </w:tc>
        <w:tc>
          <w:tcPr>
            <w:tcW w:w="1120" w:type="dxa"/>
            <w:vAlign w:val="bottom"/>
            <w:gridSpan w:val="2"/>
          </w:tcPr>
          <w:p>
            <w:pPr>
              <w:jc w:val="right"/>
              <w:ind w:right="140"/>
              <w:spacing w:after="0" w:line="135" w:lineRule="exact"/>
              <w:rPr>
                <w:sz w:val="20"/>
                <w:szCs w:val="20"/>
                <w:color w:val="auto"/>
              </w:rPr>
            </w:pPr>
            <w:r>
              <w:rPr>
                <w:rFonts w:ascii="Arial" w:cs="Arial" w:eastAsia="Arial" w:hAnsi="Arial"/>
                <w:sz w:val="13"/>
                <w:szCs w:val="13"/>
                <w:b w:val="1"/>
                <w:bCs w:val="1"/>
                <w:color w:val="auto"/>
              </w:rPr>
              <w:t>(0.5)%</w:t>
            </w:r>
          </w:p>
        </w:tc>
        <w:tc>
          <w:tcPr>
            <w:tcW w:w="280" w:type="dxa"/>
            <w:vAlign w:val="bottom"/>
          </w:tcPr>
          <w:p>
            <w:pPr>
              <w:spacing w:after="0"/>
              <w:rPr>
                <w:sz w:val="11"/>
                <w:szCs w:val="11"/>
                <w:color w:val="auto"/>
              </w:rPr>
            </w:pPr>
          </w:p>
        </w:tc>
        <w:tc>
          <w:tcPr>
            <w:tcW w:w="10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920" w:type="dxa"/>
            <w:vAlign w:val="bottom"/>
            <w:gridSpan w:val="2"/>
            <w:shd w:val="clear" w:color="auto" w:fill="CFF0FC"/>
          </w:tcPr>
          <w:p>
            <w:pPr>
              <w:ind w:left="280"/>
              <w:spacing w:after="0" w:line="129" w:lineRule="exact"/>
              <w:rPr>
                <w:sz w:val="20"/>
                <w:szCs w:val="20"/>
                <w:color w:val="auto"/>
              </w:rPr>
            </w:pPr>
            <w:r>
              <w:rPr>
                <w:rFonts w:ascii="Arial" w:cs="Arial" w:eastAsia="Arial" w:hAnsi="Arial"/>
                <w:sz w:val="13"/>
                <w:szCs w:val="13"/>
                <w:color w:val="auto"/>
              </w:rPr>
              <w:t>Gross Profit</w:t>
            </w:r>
          </w:p>
        </w:tc>
        <w:tc>
          <w:tcPr>
            <w:tcW w:w="220" w:type="dxa"/>
            <w:vAlign w:val="bottom"/>
            <w:shd w:val="clear" w:color="auto" w:fill="CFF0FC"/>
          </w:tcPr>
          <w:p>
            <w:pPr>
              <w:jc w:val="right"/>
              <w:ind w:right="77"/>
              <w:spacing w:after="0" w:line="129" w:lineRule="exact"/>
              <w:rPr>
                <w:sz w:val="20"/>
                <w:szCs w:val="20"/>
                <w:color w:val="auto"/>
              </w:rPr>
            </w:pPr>
            <w:r>
              <w:rPr>
                <w:rFonts w:ascii="Arial" w:cs="Arial" w:eastAsia="Arial" w:hAnsi="Arial"/>
                <w:sz w:val="13"/>
                <w:szCs w:val="13"/>
                <w:b w:val="1"/>
                <w:bCs w:val="1"/>
                <w:color w:val="auto"/>
                <w:w w:val="82"/>
              </w:rPr>
              <w:t>$</w:t>
            </w:r>
          </w:p>
        </w:tc>
        <w:tc>
          <w:tcPr>
            <w:tcW w:w="9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25,160</w:t>
            </w:r>
          </w:p>
        </w:tc>
        <w:tc>
          <w:tcPr>
            <w:tcW w:w="14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68"/>
              <w:spacing w:after="0" w:line="129" w:lineRule="exact"/>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25,067</w:t>
            </w:r>
          </w:p>
        </w:tc>
        <w:tc>
          <w:tcPr>
            <w:tcW w:w="20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80"/>
              <w:spacing w:after="0" w:line="129" w:lineRule="exact"/>
              <w:rPr>
                <w:sz w:val="20"/>
                <w:szCs w:val="20"/>
                <w:color w:val="auto"/>
              </w:rPr>
            </w:pPr>
            <w:r>
              <w:rPr>
                <w:rFonts w:ascii="Arial" w:cs="Arial" w:eastAsia="Arial" w:hAnsi="Arial"/>
                <w:sz w:val="13"/>
                <w:szCs w:val="13"/>
                <w:color w:val="auto"/>
              </w:rPr>
              <w:t>0.4%</w:t>
            </w:r>
          </w:p>
        </w:tc>
        <w:tc>
          <w:tcPr>
            <w:tcW w:w="3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80"/>
              <w:spacing w:after="0" w:line="129" w:lineRule="exact"/>
              <w:rPr>
                <w:sz w:val="20"/>
                <w:szCs w:val="20"/>
                <w:color w:val="auto"/>
              </w:rPr>
            </w:pPr>
            <w:r>
              <w:rPr>
                <w:rFonts w:ascii="Arial" w:cs="Arial" w:eastAsia="Arial" w:hAnsi="Arial"/>
                <w:sz w:val="13"/>
                <w:szCs w:val="13"/>
                <w:b w:val="1"/>
                <w:bCs w:val="1"/>
                <w:color w:val="auto"/>
              </w:rPr>
              <w:t>12.4%</w:t>
            </w:r>
          </w:p>
        </w:tc>
        <w:tc>
          <w:tcPr>
            <w:tcW w:w="2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60"/>
              <w:spacing w:after="0" w:line="129" w:lineRule="exact"/>
              <w:rPr>
                <w:sz w:val="20"/>
                <w:szCs w:val="20"/>
                <w:color w:val="auto"/>
              </w:rPr>
            </w:pPr>
            <w:r>
              <w:rPr>
                <w:rFonts w:ascii="Arial" w:cs="Arial" w:eastAsia="Arial" w:hAnsi="Arial"/>
                <w:sz w:val="13"/>
                <w:szCs w:val="13"/>
                <w:color w:val="auto"/>
              </w:rPr>
              <w:t>11.8%</w:t>
            </w: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-676275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-659130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-676275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-659130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-676275</wp:posOffset>
            </wp:positionV>
            <wp:extent cx="1111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-659130</wp:posOffset>
            </wp:positionV>
            <wp:extent cx="1111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-676275</wp:posOffset>
            </wp:positionV>
            <wp:extent cx="1111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-659130</wp:posOffset>
            </wp:positionV>
            <wp:extent cx="1111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-676275</wp:posOffset>
            </wp:positionV>
            <wp:extent cx="1117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-659130</wp:posOffset>
            </wp:positionV>
            <wp:extent cx="1117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-24765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-24765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-24765</wp:posOffset>
            </wp:positionV>
            <wp:extent cx="1111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-7620</wp:posOffset>
            </wp:positionV>
            <wp:extent cx="1111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1111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1111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1117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5" w:lineRule="exact"/>
        <w:rPr>
          <w:sz w:val="20"/>
          <w:szCs w:val="20"/>
          <w:color w:val="auto"/>
        </w:rPr>
      </w:pPr>
    </w:p>
    <w:p>
      <w:pPr>
        <w:ind w:left="260" w:hanging="252"/>
        <w:spacing w:after="0" w:line="286" w:lineRule="auto"/>
        <w:tabs>
          <w:tab w:leader="none" w:pos="276"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See page 11 for details regarding restructuring related charges included in cost of sales and gross profit and a Reconciliation of Selected Income Statement Information to Adjusted Results for the twelve months ended May 3, 2026, and April 27, 2025.</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CULP Announces Results for Fourth Quarter Fiscal 2026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10</w:t>
      </w:r>
    </w:p>
    <w:p>
      <w:pPr>
        <w:spacing w:after="0"/>
        <w:rPr>
          <w:sz w:val="20"/>
          <w:szCs w:val="20"/>
          <w:color w:val="auto"/>
        </w:rPr>
      </w:pPr>
      <w:r>
        <w:rPr>
          <w:rFonts w:ascii="Arial" w:cs="Arial" w:eastAsia="Arial" w:hAnsi="Arial"/>
          <w:sz w:val="18"/>
          <w:szCs w:val="18"/>
          <w:color w:val="auto"/>
        </w:rPr>
        <w:t>July 1, 2026</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CULP,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RECONCILIATIONS OF NON-GAAP FINANCIAL MEASURES</w:t>
      </w: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OF NET (DEBT) CASH</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Amounts</w:t>
            </w:r>
          </w:p>
        </w:tc>
        <w:tc>
          <w:tcPr>
            <w:tcW w:w="12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7720" w:type="dxa"/>
            <w:vAlign w:val="bottom"/>
          </w:tcPr>
          <w:p>
            <w:pPr>
              <w:spacing w:after="0"/>
              <w:rPr>
                <w:sz w:val="12"/>
                <w:szCs w:val="12"/>
                <w:color w:val="auto"/>
              </w:rPr>
            </w:pPr>
          </w:p>
        </w:tc>
        <w:tc>
          <w:tcPr>
            <w:tcW w:w="104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May 3,</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tcPr>
          <w:p>
            <w:pPr>
              <w:jc w:val="right"/>
              <w:ind w:right="408"/>
              <w:spacing w:after="0" w:line="147" w:lineRule="exact"/>
              <w:rPr>
                <w:sz w:val="20"/>
                <w:szCs w:val="20"/>
                <w:color w:val="auto"/>
              </w:rPr>
            </w:pPr>
            <w:r>
              <w:rPr>
                <w:rFonts w:ascii="Arial" w:cs="Arial" w:eastAsia="Arial" w:hAnsi="Arial"/>
                <w:sz w:val="14"/>
                <w:szCs w:val="14"/>
                <w:color w:val="auto"/>
              </w:rPr>
              <w:t>April 27, *</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2026</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2025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i w:val="1"/>
                <w:iCs w:val="1"/>
                <w:color w:val="auto"/>
              </w:rPr>
              <w:t>Cash:</w:t>
            </w:r>
          </w:p>
        </w:tc>
        <w:tc>
          <w:tcPr>
            <w:tcW w:w="10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40"/>
              <w:spacing w:after="0"/>
              <w:rPr>
                <w:sz w:val="20"/>
                <w:szCs w:val="20"/>
                <w:color w:val="auto"/>
              </w:rPr>
            </w:pPr>
            <w:r>
              <w:rPr>
                <w:rFonts w:ascii="Arial" w:cs="Arial" w:eastAsia="Arial" w:hAnsi="Arial"/>
                <w:sz w:val="14"/>
                <w:szCs w:val="14"/>
                <w:color w:val="auto"/>
              </w:rPr>
              <w:t>Cash and cash equivalents</w:t>
            </w:r>
          </w:p>
        </w:tc>
        <w:tc>
          <w:tcPr>
            <w:tcW w:w="1040" w:type="dxa"/>
            <w:vAlign w:val="bottom"/>
          </w:tcPr>
          <w:p>
            <w:pPr>
              <w:jc w:val="right"/>
              <w:ind w:right="868"/>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8,273</w:t>
            </w:r>
          </w:p>
        </w:tc>
        <w:tc>
          <w:tcPr>
            <w:tcW w:w="160" w:type="dxa"/>
            <w:vAlign w:val="bottom"/>
          </w:tcPr>
          <w:p>
            <w:pPr>
              <w:spacing w:after="0"/>
              <w:rPr>
                <w:sz w:val="14"/>
                <w:szCs w:val="14"/>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5,629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b w:val="1"/>
                <w:bCs w:val="1"/>
                <w:i w:val="1"/>
                <w:iCs w:val="1"/>
                <w:color w:val="auto"/>
              </w:rPr>
              <w:t>Less Debt:</w:t>
            </w:r>
          </w:p>
        </w:tc>
        <w:tc>
          <w:tcPr>
            <w:tcW w:w="10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40"/>
              <w:spacing w:after="0"/>
              <w:rPr>
                <w:sz w:val="20"/>
                <w:szCs w:val="20"/>
                <w:color w:val="auto"/>
              </w:rPr>
            </w:pPr>
            <w:r>
              <w:rPr>
                <w:rFonts w:ascii="Arial" w:cs="Arial" w:eastAsia="Arial" w:hAnsi="Arial"/>
                <w:sz w:val="14"/>
                <w:szCs w:val="14"/>
                <w:color w:val="auto"/>
              </w:rPr>
              <w:t>Lines of credit - current</w:t>
            </w:r>
          </w:p>
        </w:tc>
        <w:tc>
          <w:tcPr>
            <w:tcW w:w="10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12,129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8,114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4"/>
                <w:szCs w:val="14"/>
                <w:color w:val="auto"/>
              </w:rPr>
              <w:t>Lines of credit - long-term</w:t>
            </w:r>
          </w:p>
        </w:tc>
        <w:tc>
          <w:tcPr>
            <w:tcW w:w="104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7,000</w:t>
            </w:r>
          </w:p>
        </w:tc>
        <w:tc>
          <w:tcPr>
            <w:tcW w:w="1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4,600</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Pr>
          <w:p>
            <w:pPr>
              <w:spacing w:after="0" w:line="155" w:lineRule="exact"/>
              <w:rPr>
                <w:sz w:val="20"/>
                <w:szCs w:val="20"/>
                <w:color w:val="auto"/>
              </w:rPr>
            </w:pPr>
            <w:r>
              <w:rPr>
                <w:rFonts w:ascii="Arial" w:cs="Arial" w:eastAsia="Arial" w:hAnsi="Arial"/>
                <w:sz w:val="14"/>
                <w:szCs w:val="14"/>
                <w:b w:val="1"/>
                <w:bCs w:val="1"/>
                <w:i w:val="1"/>
                <w:iCs w:val="1"/>
                <w:color w:val="auto"/>
              </w:rPr>
              <w:t>Net (debt) cash position</w:t>
            </w:r>
          </w:p>
        </w:tc>
        <w:tc>
          <w:tcPr>
            <w:tcW w:w="1040" w:type="dxa"/>
            <w:vAlign w:val="bottom"/>
          </w:tcPr>
          <w:p>
            <w:pPr>
              <w:jc w:val="right"/>
              <w:ind w:right="868"/>
              <w:spacing w:after="0" w:line="155"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(10,856)</w:t>
            </w:r>
          </w:p>
        </w:tc>
        <w:tc>
          <w:tcPr>
            <w:tcW w:w="44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(7,085)</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4"/>
                <w:szCs w:val="14"/>
                <w:i w:val="1"/>
                <w:iCs w:val="1"/>
                <w:color w:val="auto"/>
              </w:rPr>
              <w:t>* Derived from audited financial statements</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77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-354330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-354330</wp:posOffset>
            </wp:positionV>
            <wp:extent cx="7747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OF ADJUSTED FREE CASH FLOW</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00" w:type="dxa"/>
            <w:vAlign w:val="bottom"/>
          </w:tcPr>
          <w:p>
            <w:pPr>
              <w:spacing w:after="0"/>
              <w:rPr>
                <w:sz w:val="17"/>
                <w:szCs w:val="17"/>
                <w:color w:val="auto"/>
              </w:rPr>
            </w:pPr>
          </w:p>
        </w:tc>
        <w:tc>
          <w:tcPr>
            <w:tcW w:w="3340" w:type="dxa"/>
            <w:vAlign w:val="bottom"/>
            <w:gridSpan w:val="7"/>
          </w:tcPr>
          <w:p>
            <w:pPr>
              <w:jc w:val="right"/>
              <w:ind w:right="840"/>
              <w:spacing w:after="0"/>
              <w:rPr>
                <w:sz w:val="20"/>
                <w:szCs w:val="20"/>
                <w:color w:val="auto"/>
              </w:rPr>
            </w:pPr>
            <w:r>
              <w:rPr>
                <w:rFonts w:ascii="Arial" w:cs="Arial" w:eastAsia="Arial" w:hAnsi="Arial"/>
                <w:sz w:val="14"/>
                <w:szCs w:val="14"/>
                <w:b w:val="1"/>
                <w:bCs w:val="1"/>
                <w:color w:val="auto"/>
              </w:rPr>
              <w:t>TWELVE MONTHS ENDED</w:t>
            </w:r>
          </w:p>
        </w:tc>
      </w:tr>
      <w:tr>
        <w:trPr>
          <w:trHeight w:val="178"/>
        </w:trPr>
        <w:tc>
          <w:tcPr>
            <w:tcW w:w="790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rPr>
              <w:t>Amounts</w:t>
            </w: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0"/>
        </w:trPr>
        <w:tc>
          <w:tcPr>
            <w:tcW w:w="79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May 3,</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4"/>
                <w:szCs w:val="14"/>
                <w:color w:val="auto"/>
              </w:rPr>
              <w:t>April 27,</w:t>
            </w:r>
          </w:p>
        </w:tc>
      </w:tr>
      <w:tr>
        <w:trPr>
          <w:trHeight w:val="171"/>
        </w:trPr>
        <w:tc>
          <w:tcPr>
            <w:tcW w:w="7900" w:type="dxa"/>
            <w:vAlign w:val="bottom"/>
          </w:tcPr>
          <w:p>
            <w:pPr>
              <w:spacing w:after="0"/>
              <w:rPr>
                <w:sz w:val="14"/>
                <w:szCs w:val="1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2026</w:t>
            </w:r>
          </w:p>
        </w:tc>
        <w:tc>
          <w:tcPr>
            <w:tcW w:w="4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4"/>
                <w:szCs w:val="14"/>
                <w:color w:val="auto"/>
              </w:rPr>
            </w:pPr>
          </w:p>
        </w:tc>
      </w:tr>
      <w:tr>
        <w:trPr>
          <w:trHeight w:val="156"/>
        </w:trPr>
        <w:tc>
          <w:tcPr>
            <w:tcW w:w="79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cash used in operating activities</w:t>
            </w:r>
          </w:p>
        </w:tc>
        <w:tc>
          <w:tcPr>
            <w:tcW w:w="1020" w:type="dxa"/>
            <w:vAlign w:val="bottom"/>
            <w:shd w:val="clear" w:color="auto" w:fill="CFF0FC"/>
          </w:tcPr>
          <w:p>
            <w:pPr>
              <w:jc w:val="right"/>
              <w:ind w:right="868"/>
              <w:spacing w:after="0" w:line="155" w:lineRule="exact"/>
              <w:rPr>
                <w:sz w:val="20"/>
                <w:szCs w:val="20"/>
                <w:color w:val="auto"/>
              </w:rPr>
            </w:pPr>
            <w:r>
              <w:rPr>
                <w:rFonts w:ascii="Arial" w:cs="Arial" w:eastAsia="Arial" w:hAnsi="Arial"/>
                <w:sz w:val="14"/>
                <w:szCs w:val="14"/>
                <w:b w:val="1"/>
                <w:bCs w:val="1"/>
                <w:color w:val="auto"/>
                <w:w w:val="76"/>
              </w:rPr>
              <w:t>$</w:t>
            </w:r>
          </w:p>
        </w:tc>
        <w:tc>
          <w:tcPr>
            <w:tcW w:w="62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b w:val="1"/>
                <w:bCs w:val="1"/>
                <w:color w:val="auto"/>
              </w:rPr>
              <w:t>(9,371)</w:t>
            </w:r>
          </w:p>
        </w:tc>
        <w:tc>
          <w:tcPr>
            <w:tcW w:w="440" w:type="dxa"/>
            <w:vAlign w:val="bottom"/>
            <w:gridSpan w:val="2"/>
            <w:shd w:val="clear" w:color="auto" w:fill="CFF0FC"/>
          </w:tcPr>
          <w:p>
            <w:pPr>
              <w:jc w:val="right"/>
              <w:ind w:right="168"/>
              <w:spacing w:after="0" w:line="155"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(17,650)</w:t>
            </w:r>
          </w:p>
        </w:tc>
      </w:tr>
      <w:tr>
        <w:trPr>
          <w:trHeight w:val="162"/>
        </w:trPr>
        <w:tc>
          <w:tcPr>
            <w:tcW w:w="7900" w:type="dxa"/>
            <w:vAlign w:val="bottom"/>
          </w:tcPr>
          <w:p>
            <w:pPr>
              <w:spacing w:after="0"/>
              <w:rPr>
                <w:sz w:val="20"/>
                <w:szCs w:val="20"/>
                <w:color w:val="auto"/>
              </w:rPr>
            </w:pPr>
            <w:r>
              <w:rPr>
                <w:rFonts w:ascii="Arial" w:cs="Arial" w:eastAsia="Arial" w:hAnsi="Arial"/>
                <w:sz w:val="14"/>
                <w:szCs w:val="14"/>
                <w:color w:val="auto"/>
              </w:rPr>
              <w:t>Minus: Capital expenditures</w:t>
            </w:r>
          </w:p>
        </w:tc>
        <w:tc>
          <w:tcPr>
            <w:tcW w:w="102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(596)</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(2,947)</w:t>
            </w:r>
          </w:p>
        </w:tc>
      </w:tr>
      <w:tr>
        <w:trPr>
          <w:trHeight w:val="155"/>
        </w:trPr>
        <w:tc>
          <w:tcPr>
            <w:tcW w:w="7900" w:type="dxa"/>
            <w:vAlign w:val="bottom"/>
          </w:tcPr>
          <w:p>
            <w:pPr>
              <w:ind w:left="280"/>
              <w:spacing w:after="0" w:line="155" w:lineRule="exact"/>
              <w:rPr>
                <w:sz w:val="20"/>
                <w:szCs w:val="20"/>
                <w:color w:val="auto"/>
              </w:rPr>
            </w:pPr>
            <w:r>
              <w:rPr>
                <w:rFonts w:ascii="Arial" w:cs="Arial" w:eastAsia="Arial" w:hAnsi="Arial"/>
                <w:sz w:val="14"/>
                <w:szCs w:val="14"/>
                <w:color w:val="auto"/>
              </w:rPr>
              <w:t>Free Cash Flow</w:t>
            </w:r>
          </w:p>
        </w:tc>
        <w:tc>
          <w:tcPr>
            <w:tcW w:w="10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(9,967)</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(20,597)</w:t>
            </w:r>
          </w:p>
        </w:tc>
        <w:tc>
          <w:tcPr>
            <w:tcW w:w="100" w:type="dxa"/>
            <w:vAlign w:val="bottom"/>
          </w:tcPr>
          <w:p>
            <w:pPr>
              <w:spacing w:after="0"/>
              <w:rPr>
                <w:sz w:val="13"/>
                <w:szCs w:val="13"/>
                <w:color w:val="auto"/>
              </w:rPr>
            </w:pPr>
          </w:p>
        </w:tc>
      </w:tr>
      <w:tr>
        <w:trPr>
          <w:trHeight w:val="162"/>
        </w:trPr>
        <w:tc>
          <w:tcPr>
            <w:tcW w:w="7900" w:type="dxa"/>
            <w:vAlign w:val="bottom"/>
            <w:shd w:val="clear" w:color="auto" w:fill="CFF0FC"/>
          </w:tcPr>
          <w:p>
            <w:pPr>
              <w:spacing w:after="0"/>
              <w:rPr>
                <w:sz w:val="20"/>
                <w:szCs w:val="20"/>
                <w:color w:val="auto"/>
              </w:rPr>
            </w:pPr>
            <w:r>
              <w:rPr>
                <w:rFonts w:ascii="Arial" w:cs="Arial" w:eastAsia="Arial" w:hAnsi="Arial"/>
                <w:sz w:val="14"/>
                <w:szCs w:val="14"/>
                <w:color w:val="auto"/>
              </w:rPr>
              <w:t>Plus: Proceeds from the sale of property, plant, and equipment</w:t>
            </w:r>
          </w:p>
        </w:tc>
        <w:tc>
          <w:tcPr>
            <w:tcW w:w="102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1,103</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1,945</w:t>
            </w:r>
          </w:p>
        </w:tc>
        <w:tc>
          <w:tcPr>
            <w:tcW w:w="100" w:type="dxa"/>
            <w:vAlign w:val="bottom"/>
            <w:shd w:val="clear" w:color="auto" w:fill="CFF0FC"/>
          </w:tcPr>
          <w:p>
            <w:pPr>
              <w:spacing w:after="0"/>
              <w:rPr>
                <w:sz w:val="14"/>
                <w:szCs w:val="14"/>
                <w:color w:val="auto"/>
              </w:rPr>
            </w:pPr>
          </w:p>
        </w:tc>
      </w:tr>
      <w:tr>
        <w:trPr>
          <w:trHeight w:val="162"/>
        </w:trPr>
        <w:tc>
          <w:tcPr>
            <w:tcW w:w="7900" w:type="dxa"/>
            <w:vAlign w:val="bottom"/>
          </w:tcPr>
          <w:p>
            <w:pPr>
              <w:spacing w:after="0"/>
              <w:rPr>
                <w:sz w:val="20"/>
                <w:szCs w:val="20"/>
                <w:color w:val="auto"/>
              </w:rPr>
            </w:pPr>
            <w:r>
              <w:rPr>
                <w:rFonts w:ascii="Arial" w:cs="Arial" w:eastAsia="Arial" w:hAnsi="Arial"/>
                <w:sz w:val="14"/>
                <w:szCs w:val="14"/>
                <w:color w:val="auto"/>
              </w:rPr>
              <w:t>Plus: Proceeds from note receivable</w:t>
            </w:r>
          </w:p>
        </w:tc>
        <w:tc>
          <w:tcPr>
            <w:tcW w:w="10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5,093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610</w:t>
            </w:r>
          </w:p>
        </w:tc>
        <w:tc>
          <w:tcPr>
            <w:tcW w:w="100" w:type="dxa"/>
            <w:vAlign w:val="bottom"/>
          </w:tcPr>
          <w:p>
            <w:pPr>
              <w:spacing w:after="0"/>
              <w:rPr>
                <w:sz w:val="14"/>
                <w:szCs w:val="14"/>
                <w:color w:val="auto"/>
              </w:rPr>
            </w:pPr>
          </w:p>
        </w:tc>
      </w:tr>
      <w:tr>
        <w:trPr>
          <w:trHeight w:val="162"/>
        </w:trPr>
        <w:tc>
          <w:tcPr>
            <w:tcW w:w="7900" w:type="dxa"/>
            <w:vAlign w:val="bottom"/>
            <w:shd w:val="clear" w:color="auto" w:fill="CCECFF"/>
          </w:tcPr>
          <w:p>
            <w:pPr>
              <w:spacing w:after="0"/>
              <w:rPr>
                <w:sz w:val="20"/>
                <w:szCs w:val="20"/>
                <w:color w:val="auto"/>
              </w:rPr>
            </w:pPr>
            <w:r>
              <w:rPr>
                <w:rFonts w:ascii="Arial" w:cs="Arial" w:eastAsia="Arial" w:hAnsi="Arial"/>
                <w:sz w:val="14"/>
                <w:szCs w:val="14"/>
                <w:color w:val="auto"/>
              </w:rPr>
              <w:t>Plus: Proceeds from the sale of investments (rabbi trust)</w:t>
            </w:r>
          </w:p>
        </w:tc>
        <w:tc>
          <w:tcPr>
            <w:tcW w:w="1020" w:type="dxa"/>
            <w:vAlign w:val="bottom"/>
            <w:shd w:val="clear" w:color="auto" w:fill="CCECFF"/>
          </w:tcPr>
          <w:p>
            <w:pPr>
              <w:spacing w:after="0"/>
              <w:rPr>
                <w:sz w:val="14"/>
                <w:szCs w:val="14"/>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4"/>
                <w:szCs w:val="14"/>
                <w:b w:val="1"/>
                <w:bCs w:val="1"/>
                <w:color w:val="auto"/>
              </w:rPr>
              <w:t>1,413</w:t>
            </w:r>
          </w:p>
        </w:tc>
        <w:tc>
          <w:tcPr>
            <w:tcW w:w="1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1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1,725</w:t>
            </w:r>
          </w:p>
        </w:tc>
        <w:tc>
          <w:tcPr>
            <w:tcW w:w="100" w:type="dxa"/>
            <w:vAlign w:val="bottom"/>
            <w:shd w:val="clear" w:color="auto" w:fill="CCECFF"/>
          </w:tcPr>
          <w:p>
            <w:pPr>
              <w:spacing w:after="0"/>
              <w:rPr>
                <w:sz w:val="14"/>
                <w:szCs w:val="14"/>
                <w:color w:val="auto"/>
              </w:rPr>
            </w:pPr>
          </w:p>
        </w:tc>
      </w:tr>
      <w:tr>
        <w:trPr>
          <w:trHeight w:val="162"/>
        </w:trPr>
        <w:tc>
          <w:tcPr>
            <w:tcW w:w="7900" w:type="dxa"/>
            <w:vAlign w:val="bottom"/>
          </w:tcPr>
          <w:p>
            <w:pPr>
              <w:spacing w:after="0"/>
              <w:rPr>
                <w:sz w:val="20"/>
                <w:szCs w:val="20"/>
                <w:color w:val="auto"/>
              </w:rPr>
            </w:pPr>
            <w:r>
              <w:rPr>
                <w:rFonts w:ascii="Arial" w:cs="Arial" w:eastAsia="Arial" w:hAnsi="Arial"/>
                <w:sz w:val="14"/>
                <w:szCs w:val="14"/>
                <w:color w:val="auto"/>
              </w:rPr>
              <w:t>Minus: Purchase of investments (rabbi trust)</w:t>
            </w:r>
          </w:p>
        </w:tc>
        <w:tc>
          <w:tcPr>
            <w:tcW w:w="102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(631)</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(735)</w:t>
            </w:r>
          </w:p>
        </w:tc>
      </w:tr>
      <w:tr>
        <w:trPr>
          <w:trHeight w:val="162"/>
        </w:trPr>
        <w:tc>
          <w:tcPr>
            <w:tcW w:w="7900" w:type="dxa"/>
            <w:vAlign w:val="bottom"/>
            <w:shd w:val="clear" w:color="auto" w:fill="CFF0FC"/>
          </w:tcPr>
          <w:p>
            <w:pPr>
              <w:spacing w:after="0"/>
              <w:rPr>
                <w:sz w:val="20"/>
                <w:szCs w:val="20"/>
                <w:color w:val="auto"/>
              </w:rPr>
            </w:pPr>
            <w:r>
              <w:rPr>
                <w:rFonts w:ascii="Arial" w:cs="Arial" w:eastAsia="Arial" w:hAnsi="Arial"/>
                <w:sz w:val="14"/>
                <w:szCs w:val="14"/>
                <w:color w:val="auto"/>
              </w:rPr>
              <w:t>Effects of foreign currency exchange rate changes on cash and cash equivalents</w:t>
            </w:r>
          </w:p>
        </w:tc>
        <w:tc>
          <w:tcPr>
            <w:tcW w:w="102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150</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w:t>
            </w:r>
          </w:p>
        </w:tc>
      </w:tr>
      <w:tr>
        <w:trPr>
          <w:trHeight w:val="155"/>
        </w:trPr>
        <w:tc>
          <w:tcPr>
            <w:tcW w:w="7900" w:type="dxa"/>
            <w:vAlign w:val="bottom"/>
            <w:tcBorders>
              <w:top w:val="single" w:sz="8" w:color="CFF0FC"/>
              <w:bottom w:val="single" w:sz="8" w:color="CFF0FC"/>
            </w:tcBorders>
          </w:tcPr>
          <w:p>
            <w:pPr>
              <w:ind w:left="160"/>
              <w:spacing w:after="0" w:line="155" w:lineRule="exact"/>
              <w:rPr>
                <w:sz w:val="20"/>
                <w:szCs w:val="20"/>
                <w:color w:val="auto"/>
              </w:rPr>
            </w:pPr>
            <w:r>
              <w:rPr>
                <w:rFonts w:ascii="Arial" w:cs="Arial" w:eastAsia="Arial" w:hAnsi="Arial"/>
                <w:sz w:val="14"/>
                <w:szCs w:val="14"/>
                <w:color w:val="auto"/>
              </w:rPr>
              <w:t>Adjusted Free Cash Flow</w:t>
            </w:r>
          </w:p>
        </w:tc>
        <w:tc>
          <w:tcPr>
            <w:tcW w:w="1020" w:type="dxa"/>
            <w:vAlign w:val="bottom"/>
            <w:tcBorders>
              <w:top w:val="single" w:sz="8" w:color="auto"/>
              <w:bottom w:val="single" w:sz="8" w:color="auto"/>
            </w:tcBorders>
          </w:tcPr>
          <w:p>
            <w:pPr>
              <w:jc w:val="right"/>
              <w:ind w:right="868"/>
              <w:spacing w:after="0" w:line="142" w:lineRule="exact"/>
              <w:rPr>
                <w:sz w:val="20"/>
                <w:szCs w:val="20"/>
                <w:color w:val="auto"/>
              </w:rPr>
            </w:pPr>
            <w:r>
              <w:rPr>
                <w:rFonts w:ascii="Arial" w:cs="Arial" w:eastAsia="Arial" w:hAnsi="Arial"/>
                <w:sz w:val="14"/>
                <w:szCs w:val="14"/>
                <w:b w:val="1"/>
                <w:bCs w:val="1"/>
                <w:color w:val="auto"/>
                <w:w w:val="76"/>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(2,839)</w:t>
            </w:r>
          </w:p>
        </w:tc>
        <w:tc>
          <w:tcPr>
            <w:tcW w:w="140" w:type="dxa"/>
            <w:vAlign w:val="bottom"/>
            <w:tcBorders>
              <w:top w:val="single" w:sz="8" w:color="CFF0FC"/>
              <w:bottom w:val="single" w:sz="8" w:color="CFF0FC"/>
            </w:tcBorders>
          </w:tcPr>
          <w:p>
            <w:pPr>
              <w:spacing w:after="0"/>
              <w:rPr>
                <w:sz w:val="13"/>
                <w:szCs w:val="13"/>
                <w:color w:val="auto"/>
              </w:rPr>
            </w:pPr>
          </w:p>
        </w:tc>
        <w:tc>
          <w:tcPr>
            <w:tcW w:w="120" w:type="dxa"/>
            <w:vAlign w:val="bottom"/>
            <w:tcBorders>
              <w:top w:val="single" w:sz="8" w:color="CFF0FC"/>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(17,056)</w:t>
            </w:r>
          </w:p>
        </w:tc>
        <w:tc>
          <w:tcPr>
            <w:tcW w:w="100" w:type="dxa"/>
            <w:vAlign w:val="bottom"/>
            <w:tcBorders>
              <w:top w:val="single" w:sz="8" w:color="CFF0FC"/>
              <w:bottom w:val="single" w:sz="8" w:color="CFF0FC"/>
            </w:tcBorders>
          </w:tcPr>
          <w:p>
            <w:pPr>
              <w:spacing w:after="0"/>
              <w:rPr>
                <w:sz w:val="13"/>
                <w:szCs w:val="13"/>
                <w:color w:val="auto"/>
              </w:rPr>
            </w:pPr>
          </w:p>
        </w:tc>
      </w:tr>
      <w:tr>
        <w:trPr>
          <w:trHeight w:val="20"/>
        </w:trPr>
        <w:tc>
          <w:tcPr>
            <w:tcW w:w="79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-136525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CULP Announces Results for Fourth Quarter Fiscal 2026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11</w:t>
      </w:r>
    </w:p>
    <w:p>
      <w:pPr>
        <w:spacing w:after="0"/>
        <w:rPr>
          <w:sz w:val="20"/>
          <w:szCs w:val="20"/>
          <w:color w:val="auto"/>
        </w:rPr>
      </w:pPr>
      <w:r>
        <w:rPr>
          <w:rFonts w:ascii="Arial" w:cs="Arial" w:eastAsia="Arial" w:hAnsi="Arial"/>
          <w:sz w:val="18"/>
          <w:szCs w:val="18"/>
          <w:color w:val="auto"/>
        </w:rPr>
        <w:t>July 1, 2026</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CULP,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RECONCILIATIONS OF NON-GAAP FINANCIAL MEASURES (CONTINUED)</w:t>
      </w: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OF SELECTED INCOME STATEMENT INFORMATION TO ADJUSTED RESULTS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May 3, 2026</w:t>
            </w:r>
          </w:p>
        </w:tc>
        <w:tc>
          <w:tcPr>
            <w:tcW w:w="1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6180" w:type="dxa"/>
            <w:vAlign w:val="bottom"/>
          </w:tcPr>
          <w:p>
            <w:pPr>
              <w:spacing w:after="0"/>
              <w:rPr>
                <w:sz w:val="12"/>
                <w:szCs w:val="12"/>
                <w:color w:val="auto"/>
              </w:rPr>
            </w:pPr>
          </w:p>
        </w:tc>
        <w:tc>
          <w:tcPr>
            <w:tcW w:w="1720" w:type="dxa"/>
            <w:vAlign w:val="bottom"/>
            <w:gridSpan w:val="3"/>
          </w:tcPr>
          <w:p>
            <w:pPr>
              <w:jc w:val="center"/>
              <w:ind w:right="260"/>
              <w:spacing w:after="0" w:line="147" w:lineRule="exact"/>
              <w:rPr>
                <w:sz w:val="20"/>
                <w:szCs w:val="20"/>
                <w:color w:val="auto"/>
              </w:rPr>
            </w:pPr>
            <w:r>
              <w:rPr>
                <w:rFonts w:ascii="Arial" w:cs="Arial" w:eastAsia="Arial" w:hAnsi="Arial"/>
                <w:sz w:val="14"/>
                <w:szCs w:val="14"/>
                <w:b w:val="1"/>
                <w:bCs w:val="1"/>
                <w:color w:val="auto"/>
              </w:rPr>
              <w:t>As Reported</w:t>
            </w:r>
          </w:p>
        </w:tc>
        <w:tc>
          <w:tcPr>
            <w:tcW w:w="1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ind w:right="108"/>
              <w:spacing w:after="0" w:line="147" w:lineRule="exact"/>
              <w:rPr>
                <w:sz w:val="20"/>
                <w:szCs w:val="20"/>
                <w:color w:val="auto"/>
              </w:rPr>
            </w:pPr>
            <w:r>
              <w:rPr>
                <w:rFonts w:ascii="Arial" w:cs="Arial" w:eastAsia="Arial" w:hAnsi="Arial"/>
                <w:sz w:val="14"/>
                <w:szCs w:val="14"/>
                <w:color w:val="auto"/>
              </w:rPr>
              <w:t>Adjusted Results</w:t>
            </w:r>
          </w:p>
        </w:tc>
        <w:tc>
          <w:tcPr>
            <w:tcW w:w="100" w:type="dxa"/>
            <w:vAlign w:val="bottom"/>
          </w:tcPr>
          <w:p>
            <w:pPr>
              <w:spacing w:after="0"/>
              <w:rPr>
                <w:sz w:val="12"/>
                <w:szCs w:val="12"/>
                <w:color w:val="auto"/>
              </w:rPr>
            </w:pPr>
          </w:p>
        </w:tc>
      </w:tr>
      <w:tr>
        <w:trPr>
          <w:trHeight w:val="162"/>
        </w:trPr>
        <w:tc>
          <w:tcPr>
            <w:tcW w:w="6180" w:type="dxa"/>
            <w:vAlign w:val="bottom"/>
          </w:tcPr>
          <w:p>
            <w:pPr>
              <w:spacing w:after="0"/>
              <w:rPr>
                <w:sz w:val="14"/>
                <w:szCs w:val="14"/>
                <w:color w:val="auto"/>
              </w:rPr>
            </w:pPr>
          </w:p>
        </w:tc>
        <w:tc>
          <w:tcPr>
            <w:tcW w:w="960" w:type="dxa"/>
            <w:vAlign w:val="bottom"/>
          </w:tcPr>
          <w:p>
            <w:pPr>
              <w:jc w:val="center"/>
              <w:ind w:left="408"/>
              <w:spacing w:after="0"/>
              <w:rPr>
                <w:sz w:val="20"/>
                <w:szCs w:val="20"/>
                <w:color w:val="auto"/>
              </w:rPr>
            </w:pPr>
            <w:r>
              <w:rPr>
                <w:rFonts w:ascii="Arial" w:cs="Arial" w:eastAsia="Arial" w:hAnsi="Arial"/>
                <w:sz w:val="14"/>
                <w:szCs w:val="14"/>
                <w:b w:val="1"/>
                <w:bCs w:val="1"/>
                <w:color w:val="auto"/>
              </w:rPr>
              <w:t>May 3,</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color w:val="auto"/>
                <w:w w:val="99"/>
              </w:rPr>
              <w:t>May 3,</w:t>
            </w:r>
          </w:p>
        </w:tc>
      </w:tr>
      <w:tr>
        <w:trPr>
          <w:trHeight w:val="171"/>
        </w:trPr>
        <w:tc>
          <w:tcPr>
            <w:tcW w:w="6180" w:type="dxa"/>
            <w:vAlign w:val="bottom"/>
          </w:tcPr>
          <w:p>
            <w:pPr>
              <w:spacing w:after="0"/>
              <w:rPr>
                <w:sz w:val="14"/>
                <w:szCs w:val="14"/>
                <w:color w:val="auto"/>
              </w:rPr>
            </w:pPr>
          </w:p>
        </w:tc>
        <w:tc>
          <w:tcPr>
            <w:tcW w:w="960" w:type="dxa"/>
            <w:vAlign w:val="bottom"/>
            <w:tcBorders>
              <w:bottom w:val="single" w:sz="8" w:color="auto"/>
            </w:tcBorders>
          </w:tcPr>
          <w:p>
            <w:pPr>
              <w:jc w:val="center"/>
              <w:ind w:left="408"/>
              <w:spacing w:after="0"/>
              <w:rPr>
                <w:sz w:val="20"/>
                <w:szCs w:val="20"/>
                <w:color w:val="auto"/>
              </w:rPr>
            </w:pPr>
            <w:r>
              <w:rPr>
                <w:rFonts w:ascii="Arial" w:cs="Arial" w:eastAsia="Arial" w:hAnsi="Arial"/>
                <w:sz w:val="14"/>
                <w:szCs w:val="14"/>
                <w:b w:val="1"/>
                <w:bCs w:val="1"/>
                <w:color w:val="auto"/>
              </w:rPr>
              <w:t>2026</w:t>
            </w:r>
          </w:p>
        </w:tc>
        <w:tc>
          <w:tcPr>
            <w:tcW w:w="5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Adjustments</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color w:val="auto"/>
              </w:rPr>
              <w:t>2026</w:t>
            </w:r>
          </w:p>
        </w:tc>
        <w:tc>
          <w:tcPr>
            <w:tcW w:w="100" w:type="dxa"/>
            <w:vAlign w:val="bottom"/>
          </w:tcPr>
          <w:p>
            <w:pPr>
              <w:spacing w:after="0"/>
              <w:rPr>
                <w:sz w:val="14"/>
                <w:szCs w:val="14"/>
                <w:color w:val="auto"/>
              </w:rPr>
            </w:pPr>
          </w:p>
        </w:tc>
      </w:tr>
      <w:tr>
        <w:trPr>
          <w:trHeight w:val="156"/>
        </w:trPr>
        <w:tc>
          <w:tcPr>
            <w:tcW w:w="6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6180" w:type="dxa"/>
            <w:vAlign w:val="bottom"/>
            <w:shd w:val="clear" w:color="auto" w:fill="CFF0FC"/>
          </w:tcPr>
          <w:p>
            <w:pPr>
              <w:spacing w:after="0"/>
              <w:rPr>
                <w:sz w:val="20"/>
                <w:szCs w:val="20"/>
                <w:color w:val="auto"/>
              </w:rPr>
            </w:pPr>
            <w:r>
              <w:rPr>
                <w:rFonts w:ascii="Arial" w:cs="Arial" w:eastAsia="Arial" w:hAnsi="Arial"/>
                <w:sz w:val="14"/>
                <w:szCs w:val="14"/>
                <w:color w:val="auto"/>
              </w:rPr>
              <w:t>Net sales</w:t>
            </w:r>
          </w:p>
        </w:tc>
        <w:tc>
          <w:tcPr>
            <w:tcW w:w="960" w:type="dxa"/>
            <w:vAlign w:val="bottom"/>
            <w:shd w:val="clear" w:color="auto" w:fill="CFF0FC"/>
          </w:tcPr>
          <w:p>
            <w:pPr>
              <w:jc w:val="right"/>
              <w:ind w:right="808"/>
              <w:spacing w:after="0"/>
              <w:rPr>
                <w:sz w:val="20"/>
                <w:szCs w:val="20"/>
                <w:color w:val="auto"/>
              </w:rPr>
            </w:pPr>
            <w:r>
              <w:rPr>
                <w:rFonts w:ascii="Arial" w:cs="Arial" w:eastAsia="Arial" w:hAnsi="Arial"/>
                <w:sz w:val="14"/>
                <w:szCs w:val="14"/>
                <w:b w:val="1"/>
                <w:bCs w:val="1"/>
                <w:color w:val="auto"/>
                <w:w w:val="76"/>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51,624</w:t>
            </w:r>
          </w:p>
        </w:tc>
        <w:tc>
          <w:tcPr>
            <w:tcW w:w="26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51,624</w:t>
            </w:r>
          </w:p>
        </w:tc>
        <w:tc>
          <w:tcPr>
            <w:tcW w:w="100" w:type="dxa"/>
            <w:vAlign w:val="bottom"/>
            <w:shd w:val="clear" w:color="auto" w:fill="CFF0FC"/>
          </w:tcPr>
          <w:p>
            <w:pPr>
              <w:spacing w:after="0"/>
              <w:rPr>
                <w:sz w:val="14"/>
                <w:szCs w:val="14"/>
                <w:color w:val="auto"/>
              </w:rPr>
            </w:pPr>
          </w:p>
        </w:tc>
      </w:tr>
      <w:tr>
        <w:trPr>
          <w:trHeight w:val="162"/>
        </w:trPr>
        <w:tc>
          <w:tcPr>
            <w:tcW w:w="6180" w:type="dxa"/>
            <w:vAlign w:val="bottom"/>
          </w:tcPr>
          <w:p>
            <w:pPr>
              <w:spacing w:after="0"/>
              <w:rPr>
                <w:sz w:val="20"/>
                <w:szCs w:val="20"/>
                <w:color w:val="auto"/>
              </w:rPr>
            </w:pPr>
            <w:r>
              <w:rPr>
                <w:rFonts w:ascii="Arial" w:cs="Arial" w:eastAsia="Arial" w:hAnsi="Arial"/>
                <w:sz w:val="14"/>
                <w:szCs w:val="14"/>
                <w:color w:val="auto"/>
              </w:rPr>
              <w:t>Cost of sales</w:t>
            </w:r>
          </w:p>
        </w:tc>
        <w:tc>
          <w:tcPr>
            <w:tcW w:w="96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(44,797)</w:t>
            </w: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4"/>
                <w:szCs w:val="14"/>
                <w:color w:val="auto"/>
              </w:rPr>
              <w:t>(44,797)</w:t>
            </w:r>
          </w:p>
        </w:tc>
      </w:tr>
      <w:tr>
        <w:trPr>
          <w:trHeight w:val="155"/>
        </w:trPr>
        <w:tc>
          <w:tcPr>
            <w:tcW w:w="61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Gross profit</w:t>
            </w:r>
          </w:p>
        </w:tc>
        <w:tc>
          <w:tcPr>
            <w:tcW w:w="96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6,827</w:t>
            </w:r>
          </w:p>
        </w:tc>
        <w:tc>
          <w:tcPr>
            <w:tcW w:w="260" w:type="dxa"/>
            <w:vAlign w:val="bottom"/>
            <w:shd w:val="clear" w:color="auto" w:fill="CFF0FC"/>
          </w:tcPr>
          <w:p>
            <w:pPr>
              <w:spacing w:after="0"/>
              <w:rPr>
                <w:sz w:val="13"/>
                <w:szCs w:val="13"/>
                <w:color w:val="auto"/>
              </w:rPr>
            </w:pPr>
          </w:p>
        </w:tc>
        <w:tc>
          <w:tcPr>
            <w:tcW w:w="15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3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6,827</w:t>
            </w:r>
          </w:p>
        </w:tc>
        <w:tc>
          <w:tcPr>
            <w:tcW w:w="100" w:type="dxa"/>
            <w:vAlign w:val="bottom"/>
            <w:shd w:val="clear" w:color="auto" w:fill="CFF0FC"/>
          </w:tcPr>
          <w:p>
            <w:pPr>
              <w:spacing w:after="0"/>
              <w:rPr>
                <w:sz w:val="13"/>
                <w:szCs w:val="13"/>
                <w:color w:val="auto"/>
              </w:rPr>
            </w:pPr>
          </w:p>
        </w:tc>
      </w:tr>
      <w:tr>
        <w:trPr>
          <w:trHeight w:val="153"/>
        </w:trPr>
        <w:tc>
          <w:tcPr>
            <w:tcW w:w="6180" w:type="dxa"/>
            <w:vAlign w:val="bottom"/>
          </w:tcPr>
          <w:p>
            <w:pPr>
              <w:spacing w:after="0" w:line="153" w:lineRule="exact"/>
              <w:rPr>
                <w:sz w:val="20"/>
                <w:szCs w:val="20"/>
                <w:color w:val="auto"/>
              </w:rPr>
            </w:pPr>
            <w:r>
              <w:rPr>
                <w:rFonts w:ascii="Arial" w:cs="Arial" w:eastAsia="Arial" w:hAnsi="Arial"/>
                <w:sz w:val="14"/>
                <w:szCs w:val="14"/>
                <w:color w:val="auto"/>
              </w:rPr>
              <w:t>Selling, general and administrative</w:t>
            </w: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6180" w:type="dxa"/>
            <w:vAlign w:val="bottom"/>
          </w:tcPr>
          <w:p>
            <w:pPr>
              <w:ind w:left="120"/>
              <w:spacing w:after="0"/>
              <w:rPr>
                <w:sz w:val="20"/>
                <w:szCs w:val="20"/>
                <w:color w:val="auto"/>
              </w:rPr>
            </w:pPr>
            <w:r>
              <w:rPr>
                <w:rFonts w:ascii="Arial" w:cs="Arial" w:eastAsia="Arial" w:hAnsi="Arial"/>
                <w:sz w:val="14"/>
                <w:szCs w:val="14"/>
                <w:color w:val="auto"/>
              </w:rPr>
              <w:t>expenses</w:t>
            </w:r>
          </w:p>
        </w:tc>
        <w:tc>
          <w:tcPr>
            <w:tcW w:w="96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(8,347)</w:t>
            </w: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4"/>
                <w:szCs w:val="14"/>
                <w:color w:val="auto"/>
              </w:rPr>
              <w:t>(8,347)</w:t>
            </w:r>
          </w:p>
        </w:tc>
      </w:tr>
      <w:tr>
        <w:trPr>
          <w:trHeight w:val="162"/>
        </w:trPr>
        <w:tc>
          <w:tcPr>
            <w:tcW w:w="6180" w:type="dxa"/>
            <w:vAlign w:val="bottom"/>
            <w:shd w:val="clear" w:color="auto" w:fill="CFF0FC"/>
          </w:tcPr>
          <w:p>
            <w:pPr>
              <w:spacing w:after="0"/>
              <w:rPr>
                <w:sz w:val="20"/>
                <w:szCs w:val="20"/>
                <w:color w:val="auto"/>
              </w:rPr>
            </w:pPr>
            <w:r>
              <w:rPr>
                <w:rFonts w:ascii="Arial" w:cs="Arial" w:eastAsia="Arial" w:hAnsi="Arial"/>
                <w:sz w:val="14"/>
                <w:szCs w:val="14"/>
                <w:color w:val="auto"/>
              </w:rPr>
              <w:t>Restructuring expense (1)</w:t>
            </w:r>
          </w:p>
        </w:tc>
        <w:tc>
          <w:tcPr>
            <w:tcW w:w="9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b w:val="1"/>
                <w:bCs w:val="1"/>
                <w:color w:val="auto"/>
              </w:rPr>
              <w:t>(102)</w:t>
            </w: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56"/>
        </w:trPr>
        <w:tc>
          <w:tcPr>
            <w:tcW w:w="6180" w:type="dxa"/>
            <w:vAlign w:val="bottom"/>
            <w:tcBorders>
              <w:top w:val="single" w:sz="8" w:color="CFF0FC"/>
              <w:bottom w:val="single" w:sz="8" w:color="CFF0FC"/>
            </w:tcBorders>
          </w:tcPr>
          <w:p>
            <w:pPr>
              <w:spacing w:after="0" w:line="155" w:lineRule="exact"/>
              <w:rPr>
                <w:sz w:val="20"/>
                <w:szCs w:val="20"/>
                <w:color w:val="auto"/>
              </w:rPr>
            </w:pPr>
            <w:r>
              <w:rPr>
                <w:rFonts w:ascii="Arial" w:cs="Arial" w:eastAsia="Arial" w:hAnsi="Arial"/>
                <w:sz w:val="14"/>
                <w:szCs w:val="14"/>
                <w:color w:val="auto"/>
              </w:rPr>
              <w:t>Loss from operations</w:t>
            </w:r>
          </w:p>
        </w:tc>
        <w:tc>
          <w:tcPr>
            <w:tcW w:w="960" w:type="dxa"/>
            <w:vAlign w:val="bottom"/>
            <w:tcBorders>
              <w:top w:val="single" w:sz="8" w:color="auto"/>
              <w:bottom w:val="single" w:sz="8" w:color="auto"/>
            </w:tcBorders>
          </w:tcPr>
          <w:p>
            <w:pPr>
              <w:jc w:val="right"/>
              <w:ind w:right="808"/>
              <w:spacing w:after="0" w:line="142" w:lineRule="exact"/>
              <w:rPr>
                <w:sz w:val="20"/>
                <w:szCs w:val="20"/>
                <w:color w:val="auto"/>
              </w:rPr>
            </w:pPr>
            <w:r>
              <w:rPr>
                <w:rFonts w:ascii="Arial" w:cs="Arial" w:eastAsia="Arial" w:hAnsi="Arial"/>
                <w:sz w:val="14"/>
                <w:szCs w:val="14"/>
                <w:b w:val="1"/>
                <w:bCs w:val="1"/>
                <w:color w:val="auto"/>
                <w:w w:val="76"/>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(1,622)</w:t>
            </w:r>
          </w:p>
        </w:tc>
        <w:tc>
          <w:tcPr>
            <w:tcW w:w="260" w:type="dxa"/>
            <w:vAlign w:val="bottom"/>
            <w:tcBorders>
              <w:top w:val="single" w:sz="8" w:color="CFF0FC"/>
              <w:bottom w:val="single" w:sz="8" w:color="CFF0FC"/>
            </w:tcBorders>
          </w:tcPr>
          <w:p>
            <w:pPr>
              <w:spacing w:after="0"/>
              <w:rPr>
                <w:sz w:val="13"/>
                <w:szCs w:val="13"/>
                <w:color w:val="auto"/>
              </w:rPr>
            </w:pPr>
          </w:p>
        </w:tc>
        <w:tc>
          <w:tcPr>
            <w:tcW w:w="1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102</w:t>
            </w:r>
          </w:p>
        </w:tc>
        <w:tc>
          <w:tcPr>
            <w:tcW w:w="240" w:type="dxa"/>
            <w:vAlign w:val="bottom"/>
            <w:tcBorders>
              <w:top w:val="single" w:sz="8" w:color="CFF0FC"/>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(1,520)</w:t>
            </w:r>
          </w:p>
        </w:tc>
        <w:tc>
          <w:tcPr>
            <w:tcW w:w="100" w:type="dxa"/>
            <w:vAlign w:val="bottom"/>
            <w:tcBorders>
              <w:top w:val="single" w:sz="8" w:color="CFF0FC"/>
              <w:bottom w:val="single" w:sz="8" w:color="CFF0FC"/>
            </w:tcBorders>
          </w:tcPr>
          <w:p>
            <w:pPr>
              <w:spacing w:after="0"/>
              <w:rPr>
                <w:sz w:val="13"/>
                <w:szCs w:val="13"/>
                <w:color w:val="auto"/>
              </w:rPr>
            </w:pPr>
          </w:p>
        </w:tc>
      </w:tr>
      <w:tr>
        <w:trPr>
          <w:trHeight w:val="20"/>
        </w:trPr>
        <w:tc>
          <w:tcPr>
            <w:tcW w:w="6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-136525</wp:posOffset>
            </wp:positionV>
            <wp:extent cx="774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-136525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0" w:lineRule="exact"/>
        <w:rPr>
          <w:sz w:val="20"/>
          <w:szCs w:val="20"/>
          <w:color w:val="auto"/>
        </w:rPr>
      </w:pPr>
    </w:p>
    <w:p>
      <w:pPr>
        <w:ind w:left="300" w:hanging="292"/>
        <w:spacing w:after="0" w:line="264" w:lineRule="auto"/>
        <w:tabs>
          <w:tab w:leader="none" w:pos="258" w:val="left"/>
        </w:tabs>
        <w:numPr>
          <w:ilvl w:val="0"/>
          <w:numId w:val="14"/>
        </w:numPr>
        <w:rPr>
          <w:rFonts w:ascii="Arial" w:cs="Arial" w:eastAsia="Arial" w:hAnsi="Arial"/>
          <w:sz w:val="15"/>
          <w:szCs w:val="15"/>
          <w:color w:val="auto"/>
        </w:rPr>
      </w:pPr>
      <w:r>
        <w:rPr>
          <w:rFonts w:ascii="Arial" w:cs="Arial" w:eastAsia="Arial" w:hAnsi="Arial"/>
          <w:sz w:val="15"/>
          <w:szCs w:val="15"/>
          <w:color w:val="auto"/>
        </w:rPr>
        <w:t>During the three-month period ended May 3, 2026, restructuring expense mostly represented charges related to transforming our operating model and the consolidation of certain facilities to further reduce fixed costs.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500" w:type="dxa"/>
            <w:vAlign w:val="bottom"/>
            <w:gridSpan w:val="7"/>
          </w:tcPr>
          <w:p>
            <w:pPr>
              <w:jc w:val="right"/>
              <w:ind w:right="1200"/>
              <w:spacing w:after="0"/>
              <w:rPr>
                <w:sz w:val="20"/>
                <w:szCs w:val="20"/>
                <w:color w:val="auto"/>
              </w:rPr>
            </w:pPr>
            <w:r>
              <w:rPr>
                <w:rFonts w:ascii="Arial" w:cs="Arial" w:eastAsia="Arial" w:hAnsi="Arial"/>
                <w:sz w:val="14"/>
                <w:szCs w:val="14"/>
                <w:b w:val="1"/>
                <w:bCs w:val="1"/>
                <w:color w:val="auto"/>
              </w:rPr>
              <w:t>Three Months Ended April 27, 2025</w:t>
            </w:r>
          </w:p>
        </w:tc>
      </w:tr>
      <w:tr>
        <w:trPr>
          <w:trHeight w:val="146"/>
        </w:trPr>
        <w:tc>
          <w:tcPr>
            <w:tcW w:w="65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rPr>
              <w:t>As Reported</w:t>
            </w:r>
          </w:p>
        </w:tc>
        <w:tc>
          <w:tcPr>
            <w:tcW w:w="13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center"/>
              <w:ind w:right="48"/>
              <w:spacing w:after="0" w:line="147" w:lineRule="exact"/>
              <w:rPr>
                <w:sz w:val="20"/>
                <w:szCs w:val="20"/>
                <w:color w:val="auto"/>
              </w:rPr>
            </w:pPr>
            <w:r>
              <w:rPr>
                <w:rFonts w:ascii="Arial" w:cs="Arial" w:eastAsia="Arial" w:hAnsi="Arial"/>
                <w:sz w:val="14"/>
                <w:szCs w:val="14"/>
                <w:color w:val="auto"/>
              </w:rPr>
              <w:t>Adjusted Results</w:t>
            </w:r>
          </w:p>
        </w:tc>
        <w:tc>
          <w:tcPr>
            <w:tcW w:w="100" w:type="dxa"/>
            <w:vAlign w:val="bottom"/>
          </w:tcPr>
          <w:p>
            <w:pPr>
              <w:spacing w:after="0"/>
              <w:rPr>
                <w:sz w:val="12"/>
                <w:szCs w:val="12"/>
                <w:color w:val="auto"/>
              </w:rPr>
            </w:pPr>
          </w:p>
        </w:tc>
      </w:tr>
      <w:tr>
        <w:trPr>
          <w:trHeight w:val="162"/>
        </w:trPr>
        <w:tc>
          <w:tcPr>
            <w:tcW w:w="6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April 27,</w:t>
            </w: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color w:val="auto"/>
              </w:rPr>
              <w:t>April 27,</w:t>
            </w:r>
          </w:p>
        </w:tc>
      </w:tr>
      <w:tr>
        <w:trPr>
          <w:trHeight w:val="171"/>
        </w:trPr>
        <w:tc>
          <w:tcPr>
            <w:tcW w:w="6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2025</w:t>
            </w:r>
          </w:p>
        </w:tc>
        <w:tc>
          <w:tcPr>
            <w:tcW w:w="240" w:type="dxa"/>
            <w:vAlign w:val="bottom"/>
          </w:tcPr>
          <w:p>
            <w:pPr>
              <w:spacing w:after="0"/>
              <w:rPr>
                <w:sz w:val="14"/>
                <w:szCs w:val="14"/>
                <w:color w:val="auto"/>
              </w:rPr>
            </w:pPr>
          </w:p>
        </w:tc>
        <w:tc>
          <w:tcPr>
            <w:tcW w:w="13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Adjustments</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4"/>
                <w:szCs w:val="14"/>
                <w:color w:val="auto"/>
              </w:rPr>
            </w:pPr>
          </w:p>
        </w:tc>
      </w:tr>
      <w:tr>
        <w:trPr>
          <w:trHeight w:val="155"/>
        </w:trPr>
        <w:tc>
          <w:tcPr>
            <w:tcW w:w="6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6580" w:type="dxa"/>
            <w:vAlign w:val="bottom"/>
            <w:shd w:val="clear" w:color="auto" w:fill="CFF0FC"/>
          </w:tcPr>
          <w:p>
            <w:pPr>
              <w:spacing w:after="0"/>
              <w:rPr>
                <w:sz w:val="20"/>
                <w:szCs w:val="20"/>
                <w:color w:val="auto"/>
              </w:rPr>
            </w:pPr>
            <w:r>
              <w:rPr>
                <w:rFonts w:ascii="Arial" w:cs="Arial" w:eastAsia="Arial" w:hAnsi="Arial"/>
                <w:sz w:val="14"/>
                <w:szCs w:val="14"/>
                <w:color w:val="auto"/>
              </w:rPr>
              <w:t>Net sales</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48,773</w:t>
            </w:r>
          </w:p>
        </w:tc>
        <w:tc>
          <w:tcPr>
            <w:tcW w:w="24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48,773</w:t>
            </w:r>
          </w:p>
        </w:tc>
        <w:tc>
          <w:tcPr>
            <w:tcW w:w="100" w:type="dxa"/>
            <w:vAlign w:val="bottom"/>
            <w:shd w:val="clear" w:color="auto" w:fill="CFF0FC"/>
          </w:tcPr>
          <w:p>
            <w:pPr>
              <w:spacing w:after="0"/>
              <w:rPr>
                <w:sz w:val="14"/>
                <w:szCs w:val="14"/>
                <w:color w:val="auto"/>
              </w:rPr>
            </w:pPr>
          </w:p>
        </w:tc>
      </w:tr>
      <w:tr>
        <w:trPr>
          <w:trHeight w:val="162"/>
        </w:trPr>
        <w:tc>
          <w:tcPr>
            <w:tcW w:w="6580" w:type="dxa"/>
            <w:vAlign w:val="bottom"/>
          </w:tcPr>
          <w:p>
            <w:pPr>
              <w:spacing w:after="0"/>
              <w:rPr>
                <w:sz w:val="20"/>
                <w:szCs w:val="20"/>
                <w:color w:val="auto"/>
              </w:rPr>
            </w:pPr>
            <w:r>
              <w:rPr>
                <w:rFonts w:ascii="Arial" w:cs="Arial" w:eastAsia="Arial" w:hAnsi="Arial"/>
                <w:sz w:val="14"/>
                <w:szCs w:val="14"/>
                <w:color w:val="auto"/>
              </w:rPr>
              <w:t>Cost of sales (1)</w:t>
            </w:r>
          </w:p>
        </w:tc>
        <w:tc>
          <w:tcPr>
            <w:tcW w:w="160" w:type="dxa"/>
            <w:vAlign w:val="bottom"/>
          </w:tcPr>
          <w:p>
            <w:pPr>
              <w:spacing w:after="0"/>
              <w:rPr>
                <w:sz w:val="14"/>
                <w:szCs w:val="1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(41,120)</w:t>
            </w:r>
          </w:p>
        </w:tc>
        <w:tc>
          <w:tcPr>
            <w:tcW w:w="1360" w:type="dxa"/>
            <w:vAlign w:val="bottom"/>
          </w:tcPr>
          <w:p>
            <w:pPr>
              <w:jc w:val="right"/>
              <w:spacing w:after="0"/>
              <w:rPr>
                <w:sz w:val="20"/>
                <w:szCs w:val="20"/>
                <w:color w:val="auto"/>
              </w:rPr>
            </w:pPr>
            <w:r>
              <w:rPr>
                <w:rFonts w:ascii="Arial" w:cs="Arial" w:eastAsia="Arial" w:hAnsi="Arial"/>
                <w:sz w:val="14"/>
                <w:szCs w:val="14"/>
                <w:color w:val="auto"/>
              </w:rPr>
              <w:t>113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4"/>
                <w:szCs w:val="14"/>
                <w:color w:val="auto"/>
              </w:rPr>
              <w:t>(41,007)</w:t>
            </w:r>
          </w:p>
        </w:tc>
      </w:tr>
      <w:tr>
        <w:trPr>
          <w:trHeight w:val="155"/>
        </w:trPr>
        <w:tc>
          <w:tcPr>
            <w:tcW w:w="65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Gross profit</w:t>
            </w:r>
          </w:p>
        </w:tc>
        <w:tc>
          <w:tcPr>
            <w:tcW w:w="160" w:type="dxa"/>
            <w:vAlign w:val="bottom"/>
            <w:tcBorders>
              <w:top w:val="single" w:sz="8" w:color="auto"/>
            </w:tcBorders>
            <w:shd w:val="clear" w:color="auto" w:fill="CFF0FC"/>
          </w:tcPr>
          <w:p>
            <w:pPr>
              <w:spacing w:after="0"/>
              <w:rPr>
                <w:sz w:val="13"/>
                <w:szCs w:val="13"/>
                <w:color w:val="auto"/>
              </w:rPr>
            </w:pPr>
          </w:p>
        </w:tc>
        <w:tc>
          <w:tcPr>
            <w:tcW w:w="11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7,653</w:t>
            </w:r>
          </w:p>
        </w:tc>
        <w:tc>
          <w:tcPr>
            <w:tcW w:w="240" w:type="dxa"/>
            <w:vAlign w:val="bottom"/>
            <w:shd w:val="clear" w:color="auto" w:fill="CFF0FC"/>
          </w:tcPr>
          <w:p>
            <w:pPr>
              <w:spacing w:after="0"/>
              <w:rPr>
                <w:sz w:val="13"/>
                <w:szCs w:val="13"/>
                <w:color w:val="auto"/>
              </w:rPr>
            </w:pPr>
          </w:p>
        </w:tc>
        <w:tc>
          <w:tcPr>
            <w:tcW w:w="13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113</w:t>
            </w:r>
          </w:p>
        </w:tc>
        <w:tc>
          <w:tcPr>
            <w:tcW w:w="24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2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7,766</w:t>
            </w:r>
          </w:p>
        </w:tc>
        <w:tc>
          <w:tcPr>
            <w:tcW w:w="100" w:type="dxa"/>
            <w:vAlign w:val="bottom"/>
            <w:shd w:val="clear" w:color="auto" w:fill="CFF0FC"/>
          </w:tcPr>
          <w:p>
            <w:pPr>
              <w:spacing w:after="0"/>
              <w:rPr>
                <w:sz w:val="13"/>
                <w:szCs w:val="13"/>
                <w:color w:val="auto"/>
              </w:rPr>
            </w:pPr>
          </w:p>
        </w:tc>
      </w:tr>
      <w:tr>
        <w:trPr>
          <w:trHeight w:val="153"/>
        </w:trPr>
        <w:tc>
          <w:tcPr>
            <w:tcW w:w="6580" w:type="dxa"/>
            <w:vAlign w:val="bottom"/>
          </w:tcPr>
          <w:p>
            <w:pPr>
              <w:spacing w:after="0" w:line="153" w:lineRule="exact"/>
              <w:rPr>
                <w:sz w:val="20"/>
                <w:szCs w:val="20"/>
                <w:color w:val="auto"/>
              </w:rPr>
            </w:pPr>
            <w:r>
              <w:rPr>
                <w:rFonts w:ascii="Arial" w:cs="Arial" w:eastAsia="Arial" w:hAnsi="Arial"/>
                <w:sz w:val="14"/>
                <w:szCs w:val="14"/>
                <w:color w:val="auto"/>
              </w:rPr>
              <w:t>Selling, general and administrative</w:t>
            </w: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6580" w:type="dxa"/>
            <w:vAlign w:val="bottom"/>
          </w:tcPr>
          <w:p>
            <w:pPr>
              <w:ind w:left="120"/>
              <w:spacing w:after="0"/>
              <w:rPr>
                <w:sz w:val="20"/>
                <w:szCs w:val="20"/>
                <w:color w:val="auto"/>
              </w:rPr>
            </w:pPr>
            <w:r>
              <w:rPr>
                <w:rFonts w:ascii="Arial" w:cs="Arial" w:eastAsia="Arial" w:hAnsi="Arial"/>
                <w:sz w:val="14"/>
                <w:szCs w:val="14"/>
                <w:color w:val="auto"/>
              </w:rPr>
              <w:t>expenses</w:t>
            </w:r>
          </w:p>
        </w:tc>
        <w:tc>
          <w:tcPr>
            <w:tcW w:w="160" w:type="dxa"/>
            <w:vAlign w:val="bottom"/>
          </w:tcPr>
          <w:p>
            <w:pPr>
              <w:spacing w:after="0"/>
              <w:rPr>
                <w:sz w:val="14"/>
                <w:szCs w:val="1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(8,470)</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4"/>
                <w:szCs w:val="14"/>
                <w:color w:val="auto"/>
              </w:rPr>
              <w:t>(8,470)</w:t>
            </w:r>
          </w:p>
        </w:tc>
      </w:tr>
      <w:tr>
        <w:trPr>
          <w:trHeight w:val="162"/>
        </w:trPr>
        <w:tc>
          <w:tcPr>
            <w:tcW w:w="6580" w:type="dxa"/>
            <w:vAlign w:val="bottom"/>
            <w:shd w:val="clear" w:color="auto" w:fill="CFF0FC"/>
          </w:tcPr>
          <w:p>
            <w:pPr>
              <w:spacing w:after="0"/>
              <w:rPr>
                <w:sz w:val="20"/>
                <w:szCs w:val="20"/>
                <w:color w:val="auto"/>
              </w:rPr>
            </w:pPr>
            <w:r>
              <w:rPr>
                <w:rFonts w:ascii="Arial" w:cs="Arial" w:eastAsia="Arial" w:hAnsi="Arial"/>
                <w:sz w:val="14"/>
                <w:szCs w:val="14"/>
                <w:color w:val="auto"/>
              </w:rPr>
              <w:t>Restructuring expense (2)</w:t>
            </w:r>
          </w:p>
        </w:tc>
        <w:tc>
          <w:tcPr>
            <w:tcW w:w="16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b w:val="1"/>
                <w:bCs w:val="1"/>
                <w:color w:val="auto"/>
              </w:rPr>
              <w:t>(1,422)</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1,422</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56"/>
        </w:trPr>
        <w:tc>
          <w:tcPr>
            <w:tcW w:w="6580" w:type="dxa"/>
            <w:vAlign w:val="bottom"/>
            <w:tcBorders>
              <w:top w:val="single" w:sz="8" w:color="CFF0FC"/>
              <w:bottom w:val="single" w:sz="8" w:color="CFF0FC"/>
            </w:tcBorders>
          </w:tcPr>
          <w:p>
            <w:pPr>
              <w:spacing w:after="0" w:line="155" w:lineRule="exact"/>
              <w:rPr>
                <w:sz w:val="20"/>
                <w:szCs w:val="20"/>
                <w:color w:val="auto"/>
              </w:rPr>
            </w:pPr>
            <w:r>
              <w:rPr>
                <w:rFonts w:ascii="Arial" w:cs="Arial" w:eastAsia="Arial" w:hAnsi="Arial"/>
                <w:sz w:val="14"/>
                <w:szCs w:val="14"/>
                <w:color w:val="auto"/>
              </w:rPr>
              <w:t>Loss from operations</w:t>
            </w:r>
          </w:p>
        </w:tc>
        <w:tc>
          <w:tcPr>
            <w:tcW w:w="16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w w:val="76"/>
              </w:rPr>
              <w:t>$</w:t>
            </w: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(2,239)</w:t>
            </w:r>
          </w:p>
        </w:tc>
        <w:tc>
          <w:tcPr>
            <w:tcW w:w="240" w:type="dxa"/>
            <w:vAlign w:val="bottom"/>
            <w:tcBorders>
              <w:top w:val="single" w:sz="8" w:color="CFF0FC"/>
              <w:bottom w:val="single" w:sz="8" w:color="CFF0FC"/>
            </w:tcBorders>
          </w:tcPr>
          <w:p>
            <w:pPr>
              <w:spacing w:after="0"/>
              <w:rPr>
                <w:sz w:val="13"/>
                <w:szCs w:val="13"/>
                <w:color w:val="auto"/>
              </w:rPr>
            </w:pPr>
          </w:p>
        </w:tc>
        <w:tc>
          <w:tcPr>
            <w:tcW w:w="1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1,535</w:t>
            </w:r>
          </w:p>
        </w:tc>
        <w:tc>
          <w:tcPr>
            <w:tcW w:w="240" w:type="dxa"/>
            <w:vAlign w:val="bottom"/>
            <w:tcBorders>
              <w:top w:val="single" w:sz="8" w:color="CFF0FC"/>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(704)</w:t>
            </w:r>
          </w:p>
        </w:tc>
        <w:tc>
          <w:tcPr>
            <w:tcW w:w="100" w:type="dxa"/>
            <w:vAlign w:val="bottom"/>
            <w:tcBorders>
              <w:top w:val="single" w:sz="8" w:color="CFF0FC"/>
              <w:bottom w:val="single" w:sz="8" w:color="CFF0FC"/>
            </w:tcBorders>
          </w:tcPr>
          <w:p>
            <w:pPr>
              <w:spacing w:after="0"/>
              <w:rPr>
                <w:sz w:val="13"/>
                <w:szCs w:val="13"/>
                <w:color w:val="auto"/>
              </w:rPr>
            </w:pPr>
          </w:p>
        </w:tc>
      </w:tr>
      <w:tr>
        <w:trPr>
          <w:trHeight w:val="20"/>
        </w:trPr>
        <w:tc>
          <w:tcPr>
            <w:tcW w:w="6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-136525</wp:posOffset>
            </wp:positionV>
            <wp:extent cx="768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-136525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4" w:lineRule="exact"/>
        <w:rPr>
          <w:sz w:val="20"/>
          <w:szCs w:val="20"/>
          <w:color w:val="auto"/>
        </w:rPr>
      </w:pPr>
    </w:p>
    <w:p>
      <w:pPr>
        <w:ind w:left="300" w:hanging="292"/>
        <w:spacing w:after="0" w:line="264" w:lineRule="auto"/>
        <w:tabs>
          <w:tab w:leader="none" w:pos="231" w:val="left"/>
        </w:tabs>
        <w:numPr>
          <w:ilvl w:val="0"/>
          <w:numId w:val="15"/>
        </w:numPr>
        <w:rPr>
          <w:rFonts w:ascii="Arial" w:cs="Arial" w:eastAsia="Arial" w:hAnsi="Arial"/>
          <w:sz w:val="15"/>
          <w:szCs w:val="15"/>
          <w:color w:val="auto"/>
        </w:rPr>
      </w:pPr>
      <w:r>
        <w:rPr>
          <w:rFonts w:ascii="Arial" w:cs="Arial" w:eastAsia="Arial" w:hAnsi="Arial"/>
          <w:sz w:val="15"/>
          <w:szCs w:val="15"/>
          <w:color w:val="auto"/>
        </w:rPr>
        <w:t>During the three-month period ended April 27, 2025, restructuring related charges recorded in cost of sales represented losses on the disposal of inventory related to the closure of the bedding manufacturing facility in Quebec, Canada.</w:t>
      </w:r>
    </w:p>
    <w:p>
      <w:pPr>
        <w:spacing w:after="0" w:line="106" w:lineRule="exact"/>
        <w:rPr>
          <w:rFonts w:ascii="Arial" w:cs="Arial" w:eastAsia="Arial" w:hAnsi="Arial"/>
          <w:sz w:val="15"/>
          <w:szCs w:val="15"/>
          <w:color w:val="auto"/>
        </w:rPr>
      </w:pPr>
    </w:p>
    <w:p>
      <w:pPr>
        <w:ind w:left="300" w:hanging="292"/>
        <w:spacing w:after="0" w:line="244" w:lineRule="auto"/>
        <w:tabs>
          <w:tab w:leader="none" w:pos="231" w:val="left"/>
        </w:tabs>
        <w:numPr>
          <w:ilvl w:val="0"/>
          <w:numId w:val="15"/>
        </w:numPr>
        <w:rPr>
          <w:rFonts w:ascii="Arial" w:cs="Arial" w:eastAsia="Arial" w:hAnsi="Arial"/>
          <w:sz w:val="15"/>
          <w:szCs w:val="15"/>
          <w:color w:val="auto"/>
        </w:rPr>
      </w:pPr>
      <w:r>
        <w:rPr>
          <w:rFonts w:ascii="Arial" w:cs="Arial" w:eastAsia="Arial" w:hAnsi="Arial"/>
          <w:sz w:val="15"/>
          <w:szCs w:val="15"/>
          <w:color w:val="auto"/>
        </w:rPr>
        <w:t>During the three-month period ended April 27, 2025, restructuring expense mostly represented charges related to the consolidation of our North American bedding manufacturing platform and the closure of the bedding manufacturing facility in Quebec, Canada, as well as initial costs related to transforming our operating model and the consolidation of certain facilities to further reduce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CULP Announces Results for Fourth Quarter Fiscal 2026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12</w:t>
      </w:r>
    </w:p>
    <w:p>
      <w:pPr>
        <w:spacing w:after="0"/>
        <w:rPr>
          <w:sz w:val="20"/>
          <w:szCs w:val="20"/>
          <w:color w:val="auto"/>
        </w:rPr>
      </w:pPr>
      <w:r>
        <w:rPr>
          <w:rFonts w:ascii="Arial" w:cs="Arial" w:eastAsia="Arial" w:hAnsi="Arial"/>
          <w:sz w:val="18"/>
          <w:szCs w:val="18"/>
          <w:color w:val="auto"/>
        </w:rPr>
        <w:t>July 1, 2026</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CULP,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RECONCILIATIONS OF NON-GAAP FINANCIAL MEASURES (CONTINUED)</w:t>
      </w: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OF SELECTED INCOME STATEMENT INFORMATION TO ADJUSTED RESULTS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6"/>
          </w:tcPr>
          <w:p>
            <w:pPr>
              <w:jc w:val="center"/>
              <w:ind w:left="508"/>
              <w:spacing w:after="0"/>
              <w:rPr>
                <w:sz w:val="20"/>
                <w:szCs w:val="20"/>
                <w:color w:val="auto"/>
              </w:rPr>
            </w:pPr>
            <w:r>
              <w:rPr>
                <w:rFonts w:ascii="Arial" w:cs="Arial" w:eastAsia="Arial" w:hAnsi="Arial"/>
                <w:sz w:val="14"/>
                <w:szCs w:val="14"/>
                <w:b w:val="1"/>
                <w:bCs w:val="1"/>
                <w:color w:val="auto"/>
              </w:rPr>
              <w:t>Twelve Months Ended May 3, 2026</w:t>
            </w:r>
          </w:p>
        </w:tc>
        <w:tc>
          <w:tcPr>
            <w:tcW w:w="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240" w:type="dxa"/>
            <w:vAlign w:val="bottom"/>
          </w:tcPr>
          <w:p>
            <w:pPr>
              <w:spacing w:after="0"/>
              <w:rPr>
                <w:sz w:val="12"/>
                <w:szCs w:val="12"/>
                <w:color w:val="auto"/>
              </w:rPr>
            </w:pPr>
          </w:p>
        </w:tc>
        <w:tc>
          <w:tcPr>
            <w:tcW w:w="2000" w:type="dxa"/>
            <w:vAlign w:val="bottom"/>
            <w:gridSpan w:val="4"/>
          </w:tcPr>
          <w:p>
            <w:pPr>
              <w:jc w:val="center"/>
              <w:ind w:right="220"/>
              <w:spacing w:after="0" w:line="147" w:lineRule="exact"/>
              <w:rPr>
                <w:sz w:val="20"/>
                <w:szCs w:val="20"/>
                <w:color w:val="auto"/>
              </w:rPr>
            </w:pPr>
            <w:r>
              <w:rPr>
                <w:rFonts w:ascii="Arial" w:cs="Arial" w:eastAsia="Arial" w:hAnsi="Arial"/>
                <w:sz w:val="14"/>
                <w:szCs w:val="14"/>
                <w:b w:val="1"/>
                <w:bCs w:val="1"/>
                <w:color w:val="auto"/>
              </w:rPr>
              <w:t>As Reported</w:t>
            </w:r>
          </w:p>
        </w:tc>
        <w:tc>
          <w:tcPr>
            <w:tcW w:w="1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jc w:val="center"/>
              <w:ind w:right="168"/>
              <w:spacing w:after="0" w:line="147" w:lineRule="exact"/>
              <w:rPr>
                <w:sz w:val="20"/>
                <w:szCs w:val="20"/>
                <w:color w:val="auto"/>
              </w:rPr>
            </w:pPr>
            <w:r>
              <w:rPr>
                <w:rFonts w:ascii="Arial" w:cs="Arial" w:eastAsia="Arial" w:hAnsi="Arial"/>
                <w:sz w:val="14"/>
                <w:szCs w:val="14"/>
                <w:color w:val="auto"/>
              </w:rPr>
              <w:t>Adjusted Results</w:t>
            </w:r>
          </w:p>
        </w:tc>
        <w:tc>
          <w:tcPr>
            <w:tcW w:w="100" w:type="dxa"/>
            <w:vAlign w:val="bottom"/>
          </w:tcPr>
          <w:p>
            <w:pPr>
              <w:spacing w:after="0"/>
              <w:rPr>
                <w:sz w:val="12"/>
                <w:szCs w:val="12"/>
                <w:color w:val="auto"/>
              </w:rPr>
            </w:pPr>
          </w:p>
        </w:tc>
      </w:tr>
      <w:tr>
        <w:trPr>
          <w:trHeight w:val="162"/>
        </w:trPr>
        <w:tc>
          <w:tcPr>
            <w:tcW w:w="5240" w:type="dxa"/>
            <w:vAlign w:val="bottom"/>
          </w:tcPr>
          <w:p>
            <w:pPr>
              <w:spacing w:after="0"/>
              <w:rPr>
                <w:sz w:val="14"/>
                <w:szCs w:val="14"/>
                <w:color w:val="auto"/>
              </w:rPr>
            </w:pPr>
          </w:p>
        </w:tc>
        <w:tc>
          <w:tcPr>
            <w:tcW w:w="1160" w:type="dxa"/>
            <w:vAlign w:val="bottom"/>
          </w:tcPr>
          <w:p>
            <w:pPr>
              <w:jc w:val="center"/>
              <w:ind w:left="568"/>
              <w:spacing w:after="0"/>
              <w:rPr>
                <w:sz w:val="20"/>
                <w:szCs w:val="20"/>
                <w:color w:val="auto"/>
              </w:rPr>
            </w:pPr>
            <w:r>
              <w:rPr>
                <w:rFonts w:ascii="Arial" w:cs="Arial" w:eastAsia="Arial" w:hAnsi="Arial"/>
                <w:sz w:val="14"/>
                <w:szCs w:val="14"/>
                <w:b w:val="1"/>
                <w:bCs w:val="1"/>
                <w:color w:val="auto"/>
              </w:rPr>
              <w:t>May 3,</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4"/>
                <w:szCs w:val="14"/>
                <w:color w:val="auto"/>
                <w:w w:val="99"/>
              </w:rPr>
              <w:t>May 3,</w:t>
            </w:r>
          </w:p>
        </w:tc>
      </w:tr>
      <w:tr>
        <w:trPr>
          <w:trHeight w:val="171"/>
        </w:trPr>
        <w:tc>
          <w:tcPr>
            <w:tcW w:w="5240" w:type="dxa"/>
            <w:vAlign w:val="bottom"/>
          </w:tcPr>
          <w:p>
            <w:pPr>
              <w:spacing w:after="0"/>
              <w:rPr>
                <w:sz w:val="14"/>
                <w:szCs w:val="14"/>
                <w:color w:val="auto"/>
              </w:rPr>
            </w:pPr>
          </w:p>
        </w:tc>
        <w:tc>
          <w:tcPr>
            <w:tcW w:w="1160" w:type="dxa"/>
            <w:vAlign w:val="bottom"/>
          </w:tcPr>
          <w:p>
            <w:pPr>
              <w:jc w:val="center"/>
              <w:ind w:left="568"/>
              <w:spacing w:after="0"/>
              <w:rPr>
                <w:sz w:val="20"/>
                <w:szCs w:val="20"/>
                <w:color w:val="auto"/>
              </w:rPr>
            </w:pPr>
            <w:r>
              <w:rPr>
                <w:rFonts w:ascii="Arial" w:cs="Arial" w:eastAsia="Arial" w:hAnsi="Arial"/>
                <w:sz w:val="14"/>
                <w:szCs w:val="14"/>
                <w:b w:val="1"/>
                <w:bCs w:val="1"/>
                <w:color w:val="auto"/>
              </w:rPr>
              <w:t>2026</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3"/>
          </w:tcPr>
          <w:p>
            <w:pPr>
              <w:jc w:val="center"/>
              <w:ind w:right="280"/>
              <w:spacing w:after="0"/>
              <w:rPr>
                <w:sz w:val="20"/>
                <w:szCs w:val="20"/>
                <w:color w:val="auto"/>
              </w:rPr>
            </w:pPr>
            <w:r>
              <w:rPr>
                <w:rFonts w:ascii="Arial" w:cs="Arial" w:eastAsia="Arial" w:hAnsi="Arial"/>
                <w:sz w:val="14"/>
                <w:szCs w:val="14"/>
                <w:color w:val="auto"/>
              </w:rPr>
              <w:t>Adjustments</w:t>
            </w:r>
          </w:p>
        </w:tc>
        <w:tc>
          <w:tcPr>
            <w:tcW w:w="200" w:type="dxa"/>
            <w:vAlign w:val="bottom"/>
          </w:tcPr>
          <w:p>
            <w:pPr>
              <w:spacing w:after="0"/>
              <w:rPr>
                <w:sz w:val="14"/>
                <w:szCs w:val="14"/>
                <w:color w:val="auto"/>
              </w:rPr>
            </w:pPr>
          </w:p>
        </w:tc>
        <w:tc>
          <w:tcPr>
            <w:tcW w:w="1560" w:type="dxa"/>
            <w:vAlign w:val="bottom"/>
          </w:tcPr>
          <w:p>
            <w:pPr>
              <w:jc w:val="center"/>
              <w:ind w:right="168"/>
              <w:spacing w:after="0"/>
              <w:rPr>
                <w:sz w:val="20"/>
                <w:szCs w:val="20"/>
                <w:color w:val="auto"/>
              </w:rPr>
            </w:pPr>
            <w:r>
              <w:rPr>
                <w:rFonts w:ascii="Arial" w:cs="Arial" w:eastAsia="Arial" w:hAnsi="Arial"/>
                <w:sz w:val="14"/>
                <w:szCs w:val="14"/>
                <w:color w:val="auto"/>
              </w:rPr>
              <w:t>2026</w:t>
            </w:r>
          </w:p>
        </w:tc>
        <w:tc>
          <w:tcPr>
            <w:tcW w:w="100" w:type="dxa"/>
            <w:vAlign w:val="bottom"/>
          </w:tcPr>
          <w:p>
            <w:pPr>
              <w:spacing w:after="0"/>
              <w:rPr>
                <w:sz w:val="14"/>
                <w:szCs w:val="14"/>
                <w:color w:val="auto"/>
              </w:rPr>
            </w:pPr>
          </w:p>
        </w:tc>
      </w:tr>
      <w:tr>
        <w:trPr>
          <w:trHeight w:val="155"/>
        </w:trPr>
        <w:tc>
          <w:tcPr>
            <w:tcW w:w="524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5240" w:type="dxa"/>
            <w:vAlign w:val="bottom"/>
            <w:shd w:val="clear" w:color="auto" w:fill="CFF0FC"/>
          </w:tcPr>
          <w:p>
            <w:pPr>
              <w:spacing w:after="0"/>
              <w:rPr>
                <w:sz w:val="20"/>
                <w:szCs w:val="20"/>
                <w:color w:val="auto"/>
              </w:rPr>
            </w:pPr>
            <w:r>
              <w:rPr>
                <w:rFonts w:ascii="Arial" w:cs="Arial" w:eastAsia="Arial" w:hAnsi="Arial"/>
                <w:sz w:val="14"/>
                <w:szCs w:val="14"/>
                <w:color w:val="auto"/>
              </w:rPr>
              <w:t>Net sales</w:t>
            </w:r>
          </w:p>
        </w:tc>
        <w:tc>
          <w:tcPr>
            <w:tcW w:w="1160" w:type="dxa"/>
            <w:vAlign w:val="bottom"/>
            <w:shd w:val="clear" w:color="auto" w:fill="CFF0FC"/>
          </w:tcPr>
          <w:p>
            <w:pPr>
              <w:jc w:val="right"/>
              <w:ind w:right="1008"/>
              <w:spacing w:after="0"/>
              <w:rPr>
                <w:sz w:val="20"/>
                <w:szCs w:val="20"/>
                <w:color w:val="auto"/>
              </w:rPr>
            </w:pPr>
            <w:r>
              <w:rPr>
                <w:rFonts w:ascii="Arial" w:cs="Arial" w:eastAsia="Arial" w:hAnsi="Arial"/>
                <w:sz w:val="14"/>
                <w:szCs w:val="14"/>
                <w:b w:val="1"/>
                <w:bCs w:val="1"/>
                <w:color w:val="auto"/>
                <w:w w:val="76"/>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203,482</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140" w:type="dxa"/>
            <w:vAlign w:val="bottom"/>
            <w:gridSpan w:val="3"/>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203,482</w:t>
            </w:r>
          </w:p>
        </w:tc>
        <w:tc>
          <w:tcPr>
            <w:tcW w:w="100" w:type="dxa"/>
            <w:vAlign w:val="bottom"/>
            <w:shd w:val="clear" w:color="auto" w:fill="CFF0FC"/>
          </w:tcPr>
          <w:p>
            <w:pPr>
              <w:spacing w:after="0"/>
              <w:rPr>
                <w:sz w:val="14"/>
                <w:szCs w:val="14"/>
                <w:color w:val="auto"/>
              </w:rPr>
            </w:pPr>
          </w:p>
        </w:tc>
      </w:tr>
      <w:tr>
        <w:trPr>
          <w:trHeight w:val="162"/>
        </w:trPr>
        <w:tc>
          <w:tcPr>
            <w:tcW w:w="5240" w:type="dxa"/>
            <w:vAlign w:val="bottom"/>
          </w:tcPr>
          <w:p>
            <w:pPr>
              <w:spacing w:after="0"/>
              <w:rPr>
                <w:sz w:val="20"/>
                <w:szCs w:val="20"/>
                <w:color w:val="auto"/>
              </w:rPr>
            </w:pPr>
            <w:r>
              <w:rPr>
                <w:rFonts w:ascii="Arial" w:cs="Arial" w:eastAsia="Arial" w:hAnsi="Arial"/>
                <w:sz w:val="14"/>
                <w:szCs w:val="14"/>
                <w:color w:val="auto"/>
              </w:rPr>
              <w:t>Cost of sales (1)</w:t>
            </w:r>
          </w:p>
        </w:tc>
        <w:tc>
          <w:tcPr>
            <w:tcW w:w="116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(178,322)</w:t>
            </w:r>
          </w:p>
        </w:tc>
        <w:tc>
          <w:tcPr>
            <w:tcW w:w="10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931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4"/>
                <w:szCs w:val="14"/>
                <w:color w:val="auto"/>
              </w:rPr>
              <w:t>(177,391)</w:t>
            </w:r>
          </w:p>
        </w:tc>
      </w:tr>
      <w:tr>
        <w:trPr>
          <w:trHeight w:val="156"/>
        </w:trPr>
        <w:tc>
          <w:tcPr>
            <w:tcW w:w="52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Gross profit</w:t>
            </w:r>
          </w:p>
        </w:tc>
        <w:tc>
          <w:tcPr>
            <w:tcW w:w="116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25,160</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931</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5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26,091</w:t>
            </w:r>
          </w:p>
        </w:tc>
        <w:tc>
          <w:tcPr>
            <w:tcW w:w="100" w:type="dxa"/>
            <w:vAlign w:val="bottom"/>
            <w:shd w:val="clear" w:color="auto" w:fill="CFF0FC"/>
          </w:tcPr>
          <w:p>
            <w:pPr>
              <w:spacing w:after="0"/>
              <w:rPr>
                <w:sz w:val="13"/>
                <w:szCs w:val="13"/>
                <w:color w:val="auto"/>
              </w:rPr>
            </w:pPr>
          </w:p>
        </w:tc>
      </w:tr>
      <w:tr>
        <w:trPr>
          <w:trHeight w:val="153"/>
        </w:trPr>
        <w:tc>
          <w:tcPr>
            <w:tcW w:w="5240" w:type="dxa"/>
            <w:vAlign w:val="bottom"/>
          </w:tcPr>
          <w:p>
            <w:pPr>
              <w:spacing w:after="0" w:line="153" w:lineRule="exact"/>
              <w:rPr>
                <w:sz w:val="20"/>
                <w:szCs w:val="20"/>
                <w:color w:val="auto"/>
              </w:rPr>
            </w:pPr>
            <w:r>
              <w:rPr>
                <w:rFonts w:ascii="Arial" w:cs="Arial" w:eastAsia="Arial" w:hAnsi="Arial"/>
                <w:sz w:val="14"/>
                <w:szCs w:val="14"/>
                <w:color w:val="auto"/>
              </w:rPr>
              <w:t>Selling, general and administrative</w:t>
            </w:r>
          </w:p>
        </w:tc>
        <w:tc>
          <w:tcPr>
            <w:tcW w:w="1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5240" w:type="dxa"/>
            <w:vAlign w:val="bottom"/>
          </w:tcPr>
          <w:p>
            <w:pPr>
              <w:ind w:left="120"/>
              <w:spacing w:after="0"/>
              <w:rPr>
                <w:sz w:val="20"/>
                <w:szCs w:val="20"/>
                <w:color w:val="auto"/>
              </w:rPr>
            </w:pPr>
            <w:r>
              <w:rPr>
                <w:rFonts w:ascii="Arial" w:cs="Arial" w:eastAsia="Arial" w:hAnsi="Arial"/>
                <w:sz w:val="14"/>
                <w:szCs w:val="14"/>
                <w:color w:val="auto"/>
              </w:rPr>
              <w:t>expenses</w:t>
            </w:r>
          </w:p>
        </w:tc>
        <w:tc>
          <w:tcPr>
            <w:tcW w:w="116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(34,668)</w:t>
            </w:r>
          </w:p>
        </w:tc>
        <w:tc>
          <w:tcPr>
            <w:tcW w:w="100" w:type="dxa"/>
            <w:vAlign w:val="bottom"/>
          </w:tcPr>
          <w:p>
            <w:pPr>
              <w:spacing w:after="0"/>
              <w:rPr>
                <w:sz w:val="14"/>
                <w:szCs w:val="14"/>
                <w:color w:val="auto"/>
              </w:rPr>
            </w:pPr>
          </w:p>
        </w:tc>
        <w:tc>
          <w:tcPr>
            <w:tcW w:w="214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4"/>
                <w:szCs w:val="14"/>
                <w:color w:val="auto"/>
              </w:rPr>
              <w:t>(34,668)</w:t>
            </w:r>
          </w:p>
        </w:tc>
      </w:tr>
      <w:tr>
        <w:trPr>
          <w:trHeight w:val="162"/>
        </w:trPr>
        <w:tc>
          <w:tcPr>
            <w:tcW w:w="5240" w:type="dxa"/>
            <w:vAlign w:val="bottom"/>
            <w:shd w:val="clear" w:color="auto" w:fill="CFF0FC"/>
          </w:tcPr>
          <w:p>
            <w:pPr>
              <w:spacing w:after="0"/>
              <w:rPr>
                <w:sz w:val="20"/>
                <w:szCs w:val="20"/>
                <w:color w:val="auto"/>
              </w:rPr>
            </w:pPr>
            <w:r>
              <w:rPr>
                <w:rFonts w:ascii="Arial" w:cs="Arial" w:eastAsia="Arial" w:hAnsi="Arial"/>
                <w:sz w:val="14"/>
                <w:szCs w:val="14"/>
                <w:color w:val="auto"/>
              </w:rPr>
              <w:t>Restructuring credit (2)</w:t>
            </w:r>
          </w:p>
        </w:tc>
        <w:tc>
          <w:tcPr>
            <w:tcW w:w="1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2,323</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9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(2,323)</w:t>
            </w: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55"/>
        </w:trPr>
        <w:tc>
          <w:tcPr>
            <w:tcW w:w="5240" w:type="dxa"/>
            <w:vAlign w:val="bottom"/>
            <w:tcBorders>
              <w:top w:val="single" w:sz="8" w:color="CFF0FC"/>
              <w:bottom w:val="single" w:sz="8" w:color="CFF0FC"/>
            </w:tcBorders>
          </w:tcPr>
          <w:p>
            <w:pPr>
              <w:spacing w:after="0" w:line="155" w:lineRule="exact"/>
              <w:rPr>
                <w:sz w:val="20"/>
                <w:szCs w:val="20"/>
                <w:color w:val="auto"/>
              </w:rPr>
            </w:pPr>
            <w:r>
              <w:rPr>
                <w:rFonts w:ascii="Arial" w:cs="Arial" w:eastAsia="Arial" w:hAnsi="Arial"/>
                <w:sz w:val="14"/>
                <w:szCs w:val="14"/>
                <w:color w:val="auto"/>
              </w:rPr>
              <w:t>Loss from operations</w:t>
            </w:r>
          </w:p>
        </w:tc>
        <w:tc>
          <w:tcPr>
            <w:tcW w:w="1160" w:type="dxa"/>
            <w:vAlign w:val="bottom"/>
            <w:tcBorders>
              <w:top w:val="single" w:sz="8" w:color="auto"/>
              <w:bottom w:val="single" w:sz="8" w:color="auto"/>
            </w:tcBorders>
          </w:tcPr>
          <w:p>
            <w:pPr>
              <w:jc w:val="right"/>
              <w:ind w:right="1008"/>
              <w:spacing w:after="0" w:line="142" w:lineRule="exact"/>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(7,185)</w:t>
            </w:r>
          </w:p>
        </w:tc>
        <w:tc>
          <w:tcPr>
            <w:tcW w:w="120" w:type="dxa"/>
            <w:vAlign w:val="bottom"/>
            <w:tcBorders>
              <w:top w:val="single" w:sz="8" w:color="CFF0FC"/>
              <w:bottom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(1,392)</w:t>
            </w:r>
          </w:p>
        </w:tc>
        <w:tc>
          <w:tcPr>
            <w:tcW w:w="120" w:type="dxa"/>
            <w:vAlign w:val="bottom"/>
            <w:tcBorders>
              <w:top w:val="single" w:sz="8" w:color="CFF0FC"/>
              <w:bottom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(8,577)</w:t>
            </w:r>
          </w:p>
        </w:tc>
        <w:tc>
          <w:tcPr>
            <w:tcW w:w="100" w:type="dxa"/>
            <w:vAlign w:val="bottom"/>
            <w:tcBorders>
              <w:top w:val="single" w:sz="8" w:color="CFF0FC"/>
              <w:bottom w:val="single" w:sz="8" w:color="CFF0FC"/>
            </w:tcBorders>
          </w:tcPr>
          <w:p>
            <w:pPr>
              <w:spacing w:after="0"/>
              <w:rPr>
                <w:sz w:val="13"/>
                <w:szCs w:val="13"/>
                <w:color w:val="auto"/>
              </w:rPr>
            </w:pPr>
          </w:p>
        </w:tc>
      </w:tr>
      <w:tr>
        <w:trPr>
          <w:trHeight w:val="20"/>
        </w:trPr>
        <w:tc>
          <w:tcPr>
            <w:tcW w:w="5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-136525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-136525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0" w:lineRule="exact"/>
        <w:rPr>
          <w:sz w:val="20"/>
          <w:szCs w:val="20"/>
          <w:color w:val="auto"/>
        </w:rPr>
      </w:pPr>
    </w:p>
    <w:p>
      <w:pPr>
        <w:ind w:left="300" w:hanging="292"/>
        <w:spacing w:after="0" w:line="244" w:lineRule="auto"/>
        <w:tabs>
          <w:tab w:leader="none" w:pos="245" w:val="left"/>
        </w:tabs>
        <w:numPr>
          <w:ilvl w:val="0"/>
          <w:numId w:val="16"/>
        </w:numPr>
        <w:rPr>
          <w:rFonts w:ascii="Arial" w:cs="Arial" w:eastAsia="Arial" w:hAnsi="Arial"/>
          <w:sz w:val="15"/>
          <w:szCs w:val="15"/>
          <w:color w:val="auto"/>
        </w:rPr>
      </w:pPr>
      <w:r>
        <w:rPr>
          <w:rFonts w:ascii="Arial" w:cs="Arial" w:eastAsia="Arial" w:hAnsi="Arial"/>
          <w:sz w:val="15"/>
          <w:szCs w:val="15"/>
          <w:color w:val="auto"/>
        </w:rPr>
        <w:t>During the twelve-month period ended May 3, 2026, restructuring related charges recorded in cost of sales represented losses on the disposal, valuation, and markdowns of inventory related to the consolidation of our North American bedding operations and the consolidation of certain facilities related to transforming our operating model to one integrated Culp branded business to reduce fixed costs.</w:t>
      </w:r>
    </w:p>
    <w:p>
      <w:pPr>
        <w:spacing w:after="0" w:line="121" w:lineRule="exact"/>
        <w:rPr>
          <w:rFonts w:ascii="Arial" w:cs="Arial" w:eastAsia="Arial" w:hAnsi="Arial"/>
          <w:sz w:val="15"/>
          <w:szCs w:val="15"/>
          <w:color w:val="auto"/>
        </w:rPr>
      </w:pPr>
    </w:p>
    <w:p>
      <w:pPr>
        <w:ind w:left="300" w:hanging="292"/>
        <w:spacing w:after="0" w:line="264" w:lineRule="auto"/>
        <w:tabs>
          <w:tab w:leader="none" w:pos="246" w:val="left"/>
        </w:tabs>
        <w:numPr>
          <w:ilvl w:val="0"/>
          <w:numId w:val="16"/>
        </w:numPr>
        <w:rPr>
          <w:rFonts w:ascii="Arial" w:cs="Arial" w:eastAsia="Arial" w:hAnsi="Arial"/>
          <w:sz w:val="15"/>
          <w:szCs w:val="15"/>
          <w:color w:val="auto"/>
        </w:rPr>
      </w:pPr>
      <w:r>
        <w:rPr>
          <w:rFonts w:ascii="Arial" w:cs="Arial" w:eastAsia="Arial" w:hAnsi="Arial"/>
          <w:sz w:val="15"/>
          <w:szCs w:val="15"/>
          <w:color w:val="auto"/>
        </w:rPr>
        <w:t>During the twelve-month period ended May 3, 2026, restructuring credit includes a gain from the sale of the manufacturing facility located in Quebec, Canada totaling $4.0 million, partially offset by charges related to transforming our operating model and the consolidation of certain facilities to further reduce fixed costs.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7"/>
          </w:tcPr>
          <w:p>
            <w:pPr>
              <w:jc w:val="right"/>
              <w:ind w:right="88"/>
              <w:spacing w:after="0"/>
              <w:rPr>
                <w:sz w:val="20"/>
                <w:szCs w:val="20"/>
                <w:color w:val="auto"/>
              </w:rPr>
            </w:pPr>
            <w:r>
              <w:rPr>
                <w:rFonts w:ascii="Arial" w:cs="Arial" w:eastAsia="Arial" w:hAnsi="Arial"/>
                <w:sz w:val="14"/>
                <w:szCs w:val="14"/>
                <w:b w:val="1"/>
                <w:bCs w:val="1"/>
                <w:color w:val="auto"/>
              </w:rPr>
              <w:t>Twelve Months Ended April 27, 2025</w:t>
            </w:r>
          </w:p>
        </w:tc>
        <w:tc>
          <w:tcPr>
            <w:tcW w:w="1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240" w:type="dxa"/>
            <w:vAlign w:val="bottom"/>
          </w:tcPr>
          <w:p>
            <w:pPr>
              <w:spacing w:after="0"/>
              <w:rPr>
                <w:sz w:val="12"/>
                <w:szCs w:val="12"/>
                <w:color w:val="auto"/>
              </w:rPr>
            </w:pPr>
          </w:p>
        </w:tc>
        <w:tc>
          <w:tcPr>
            <w:tcW w:w="2000" w:type="dxa"/>
            <w:vAlign w:val="bottom"/>
            <w:gridSpan w:val="4"/>
          </w:tcPr>
          <w:p>
            <w:pPr>
              <w:jc w:val="center"/>
              <w:ind w:right="220"/>
              <w:spacing w:after="0" w:line="147" w:lineRule="exact"/>
              <w:rPr>
                <w:sz w:val="20"/>
                <w:szCs w:val="20"/>
                <w:color w:val="auto"/>
              </w:rPr>
            </w:pPr>
            <w:r>
              <w:rPr>
                <w:rFonts w:ascii="Arial" w:cs="Arial" w:eastAsia="Arial" w:hAnsi="Arial"/>
                <w:sz w:val="14"/>
                <w:szCs w:val="14"/>
                <w:b w:val="1"/>
                <w:bCs w:val="1"/>
                <w:color w:val="auto"/>
              </w:rPr>
              <w:t>As Reported</w:t>
            </w:r>
          </w:p>
        </w:tc>
        <w:tc>
          <w:tcPr>
            <w:tcW w:w="1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jc w:val="center"/>
              <w:ind w:right="168"/>
              <w:spacing w:after="0" w:line="147" w:lineRule="exact"/>
              <w:rPr>
                <w:sz w:val="20"/>
                <w:szCs w:val="20"/>
                <w:color w:val="auto"/>
              </w:rPr>
            </w:pPr>
            <w:r>
              <w:rPr>
                <w:rFonts w:ascii="Arial" w:cs="Arial" w:eastAsia="Arial" w:hAnsi="Arial"/>
                <w:sz w:val="14"/>
                <w:szCs w:val="14"/>
                <w:color w:val="auto"/>
              </w:rPr>
              <w:t>Adjusted Results</w:t>
            </w:r>
          </w:p>
        </w:tc>
        <w:tc>
          <w:tcPr>
            <w:tcW w:w="100" w:type="dxa"/>
            <w:vAlign w:val="bottom"/>
          </w:tcPr>
          <w:p>
            <w:pPr>
              <w:spacing w:after="0"/>
              <w:rPr>
                <w:sz w:val="12"/>
                <w:szCs w:val="12"/>
                <w:color w:val="auto"/>
              </w:rPr>
            </w:pPr>
          </w:p>
        </w:tc>
      </w:tr>
      <w:tr>
        <w:trPr>
          <w:trHeight w:val="162"/>
        </w:trPr>
        <w:tc>
          <w:tcPr>
            <w:tcW w:w="5240" w:type="dxa"/>
            <w:vAlign w:val="bottom"/>
          </w:tcPr>
          <w:p>
            <w:pPr>
              <w:spacing w:after="0"/>
              <w:rPr>
                <w:sz w:val="14"/>
                <w:szCs w:val="14"/>
                <w:color w:val="auto"/>
              </w:rPr>
            </w:pPr>
          </w:p>
        </w:tc>
        <w:tc>
          <w:tcPr>
            <w:tcW w:w="1200" w:type="dxa"/>
            <w:vAlign w:val="bottom"/>
          </w:tcPr>
          <w:p>
            <w:pPr>
              <w:jc w:val="center"/>
              <w:ind w:left="508"/>
              <w:spacing w:after="0"/>
              <w:rPr>
                <w:sz w:val="20"/>
                <w:szCs w:val="20"/>
                <w:color w:val="auto"/>
              </w:rPr>
            </w:pPr>
            <w:r>
              <w:rPr>
                <w:rFonts w:ascii="Arial" w:cs="Arial" w:eastAsia="Arial" w:hAnsi="Arial"/>
                <w:sz w:val="14"/>
                <w:szCs w:val="14"/>
                <w:b w:val="1"/>
                <w:bCs w:val="1"/>
                <w:color w:val="auto"/>
              </w:rPr>
              <w:t>April 27,</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4"/>
                <w:szCs w:val="14"/>
                <w:color w:val="auto"/>
              </w:rPr>
              <w:t>April 27,</w:t>
            </w:r>
          </w:p>
        </w:tc>
      </w:tr>
      <w:tr>
        <w:trPr>
          <w:trHeight w:val="171"/>
        </w:trPr>
        <w:tc>
          <w:tcPr>
            <w:tcW w:w="5240" w:type="dxa"/>
            <w:vAlign w:val="bottom"/>
          </w:tcPr>
          <w:p>
            <w:pPr>
              <w:spacing w:after="0"/>
              <w:rPr>
                <w:sz w:val="14"/>
                <w:szCs w:val="14"/>
                <w:color w:val="auto"/>
              </w:rPr>
            </w:pPr>
          </w:p>
        </w:tc>
        <w:tc>
          <w:tcPr>
            <w:tcW w:w="1200" w:type="dxa"/>
            <w:vAlign w:val="bottom"/>
            <w:tcBorders>
              <w:bottom w:val="single" w:sz="8" w:color="auto"/>
            </w:tcBorders>
          </w:tcPr>
          <w:p>
            <w:pPr>
              <w:jc w:val="center"/>
              <w:ind w:left="528"/>
              <w:spacing w:after="0"/>
              <w:rPr>
                <w:sz w:val="20"/>
                <w:szCs w:val="20"/>
                <w:color w:val="auto"/>
              </w:rPr>
            </w:pPr>
            <w:r>
              <w:rPr>
                <w:rFonts w:ascii="Arial" w:cs="Arial" w:eastAsia="Arial" w:hAnsi="Arial"/>
                <w:sz w:val="14"/>
                <w:szCs w:val="14"/>
                <w:b w:val="1"/>
                <w:bCs w:val="1"/>
                <w:color w:val="auto"/>
              </w:rPr>
              <w:t>2025</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Adjustments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4"/>
                <w:szCs w:val="14"/>
                <w:color w:val="auto"/>
              </w:rPr>
            </w:pPr>
          </w:p>
        </w:tc>
      </w:tr>
      <w:tr>
        <w:trPr>
          <w:trHeight w:val="155"/>
        </w:trPr>
        <w:tc>
          <w:tcPr>
            <w:tcW w:w="5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5240" w:type="dxa"/>
            <w:vAlign w:val="bottom"/>
            <w:shd w:val="clear" w:color="auto" w:fill="CFF0FC"/>
          </w:tcPr>
          <w:p>
            <w:pPr>
              <w:spacing w:after="0"/>
              <w:rPr>
                <w:sz w:val="20"/>
                <w:szCs w:val="20"/>
                <w:color w:val="auto"/>
              </w:rPr>
            </w:pPr>
            <w:r>
              <w:rPr>
                <w:rFonts w:ascii="Arial" w:cs="Arial" w:eastAsia="Arial" w:hAnsi="Arial"/>
                <w:sz w:val="14"/>
                <w:szCs w:val="14"/>
                <w:color w:val="auto"/>
              </w:rPr>
              <w:t>Net sales</w:t>
            </w:r>
          </w:p>
        </w:tc>
        <w:tc>
          <w:tcPr>
            <w:tcW w:w="1200" w:type="dxa"/>
            <w:vAlign w:val="bottom"/>
            <w:shd w:val="clear" w:color="auto" w:fill="CFF0FC"/>
          </w:tcPr>
          <w:p>
            <w:pPr>
              <w:jc w:val="right"/>
              <w:ind w:right="1048"/>
              <w:spacing w:after="0"/>
              <w:rPr>
                <w:sz w:val="20"/>
                <w:szCs w:val="20"/>
                <w:color w:val="auto"/>
              </w:rPr>
            </w:pPr>
            <w:r>
              <w:rPr>
                <w:rFonts w:ascii="Arial" w:cs="Arial" w:eastAsia="Arial" w:hAnsi="Arial"/>
                <w:sz w:val="14"/>
                <w:szCs w:val="14"/>
                <w:b w:val="1"/>
                <w:bCs w:val="1"/>
                <w:color w:val="auto"/>
                <w:w w:val="76"/>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213,237</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3"/>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213,237</w:t>
            </w:r>
          </w:p>
        </w:tc>
        <w:tc>
          <w:tcPr>
            <w:tcW w:w="100" w:type="dxa"/>
            <w:vAlign w:val="bottom"/>
            <w:shd w:val="clear" w:color="auto" w:fill="CFF0FC"/>
          </w:tcPr>
          <w:p>
            <w:pPr>
              <w:spacing w:after="0"/>
              <w:rPr>
                <w:sz w:val="14"/>
                <w:szCs w:val="14"/>
                <w:color w:val="auto"/>
              </w:rPr>
            </w:pPr>
          </w:p>
        </w:tc>
      </w:tr>
      <w:tr>
        <w:trPr>
          <w:trHeight w:val="162"/>
        </w:trPr>
        <w:tc>
          <w:tcPr>
            <w:tcW w:w="5240" w:type="dxa"/>
            <w:vAlign w:val="bottom"/>
          </w:tcPr>
          <w:p>
            <w:pPr>
              <w:spacing w:after="0"/>
              <w:rPr>
                <w:sz w:val="20"/>
                <w:szCs w:val="20"/>
                <w:color w:val="auto"/>
              </w:rPr>
            </w:pPr>
            <w:r>
              <w:rPr>
                <w:rFonts w:ascii="Arial" w:cs="Arial" w:eastAsia="Arial" w:hAnsi="Arial"/>
                <w:sz w:val="14"/>
                <w:szCs w:val="14"/>
                <w:color w:val="auto"/>
              </w:rPr>
              <w:t>Cost of sales (1)</w:t>
            </w:r>
          </w:p>
        </w:tc>
        <w:tc>
          <w:tcPr>
            <w:tcW w:w="120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(188,170)</w:t>
            </w:r>
          </w:p>
        </w:tc>
        <w:tc>
          <w:tcPr>
            <w:tcW w:w="10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1,621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4"/>
                <w:szCs w:val="14"/>
                <w:color w:val="auto"/>
              </w:rPr>
              <w:t>(186,549)</w:t>
            </w:r>
          </w:p>
        </w:tc>
      </w:tr>
      <w:tr>
        <w:trPr>
          <w:trHeight w:val="156"/>
        </w:trPr>
        <w:tc>
          <w:tcPr>
            <w:tcW w:w="52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Gross profit</w:t>
            </w:r>
          </w:p>
        </w:tc>
        <w:tc>
          <w:tcPr>
            <w:tcW w:w="120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25,067</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1,621</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5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26,688</w:t>
            </w:r>
          </w:p>
        </w:tc>
        <w:tc>
          <w:tcPr>
            <w:tcW w:w="100" w:type="dxa"/>
            <w:vAlign w:val="bottom"/>
            <w:shd w:val="clear" w:color="auto" w:fill="CFF0FC"/>
          </w:tcPr>
          <w:p>
            <w:pPr>
              <w:spacing w:after="0"/>
              <w:rPr>
                <w:sz w:val="13"/>
                <w:szCs w:val="13"/>
                <w:color w:val="auto"/>
              </w:rPr>
            </w:pPr>
          </w:p>
        </w:tc>
      </w:tr>
      <w:tr>
        <w:trPr>
          <w:trHeight w:val="153"/>
        </w:trPr>
        <w:tc>
          <w:tcPr>
            <w:tcW w:w="5240" w:type="dxa"/>
            <w:vAlign w:val="bottom"/>
          </w:tcPr>
          <w:p>
            <w:pPr>
              <w:spacing w:after="0" w:line="153" w:lineRule="exact"/>
              <w:rPr>
                <w:sz w:val="20"/>
                <w:szCs w:val="20"/>
                <w:color w:val="auto"/>
              </w:rPr>
            </w:pPr>
            <w:r>
              <w:rPr>
                <w:rFonts w:ascii="Arial" w:cs="Arial" w:eastAsia="Arial" w:hAnsi="Arial"/>
                <w:sz w:val="14"/>
                <w:szCs w:val="14"/>
                <w:color w:val="auto"/>
              </w:rPr>
              <w:t>Selling, general and administrative</w:t>
            </w:r>
          </w:p>
        </w:tc>
        <w:tc>
          <w:tcPr>
            <w:tcW w:w="1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5240" w:type="dxa"/>
            <w:vAlign w:val="bottom"/>
          </w:tcPr>
          <w:p>
            <w:pPr>
              <w:ind w:left="120"/>
              <w:spacing w:after="0"/>
              <w:rPr>
                <w:sz w:val="20"/>
                <w:szCs w:val="20"/>
                <w:color w:val="auto"/>
              </w:rPr>
            </w:pPr>
            <w:r>
              <w:rPr>
                <w:rFonts w:ascii="Arial" w:cs="Arial" w:eastAsia="Arial" w:hAnsi="Arial"/>
                <w:sz w:val="14"/>
                <w:szCs w:val="14"/>
                <w:color w:val="auto"/>
              </w:rPr>
              <w:t>expenses</w:t>
            </w:r>
          </w:p>
        </w:tc>
        <w:tc>
          <w:tcPr>
            <w:tcW w:w="120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(35,705)</w:t>
            </w:r>
          </w:p>
        </w:tc>
        <w:tc>
          <w:tcPr>
            <w:tcW w:w="10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4"/>
                <w:szCs w:val="14"/>
                <w:color w:val="auto"/>
              </w:rPr>
              <w:t>(35,705)</w:t>
            </w:r>
          </w:p>
        </w:tc>
      </w:tr>
      <w:tr>
        <w:trPr>
          <w:trHeight w:val="162"/>
        </w:trPr>
        <w:tc>
          <w:tcPr>
            <w:tcW w:w="5240" w:type="dxa"/>
            <w:vAlign w:val="bottom"/>
            <w:shd w:val="clear" w:color="auto" w:fill="CFF0FC"/>
          </w:tcPr>
          <w:p>
            <w:pPr>
              <w:spacing w:after="0"/>
              <w:rPr>
                <w:sz w:val="20"/>
                <w:szCs w:val="20"/>
                <w:color w:val="auto"/>
              </w:rPr>
            </w:pPr>
            <w:r>
              <w:rPr>
                <w:rFonts w:ascii="Arial" w:cs="Arial" w:eastAsia="Arial" w:hAnsi="Arial"/>
                <w:sz w:val="14"/>
                <w:szCs w:val="14"/>
                <w:color w:val="auto"/>
              </w:rPr>
              <w:t>Restructuring expense (2)</w:t>
            </w:r>
          </w:p>
        </w:tc>
        <w:tc>
          <w:tcPr>
            <w:tcW w:w="12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b w:val="1"/>
                <w:bCs w:val="1"/>
                <w:color w:val="auto"/>
              </w:rPr>
              <w:t>(7,739)</w:t>
            </w:r>
          </w:p>
        </w:tc>
        <w:tc>
          <w:tcPr>
            <w:tcW w:w="100" w:type="dxa"/>
            <w:vAlign w:val="bottom"/>
            <w:shd w:val="clear" w:color="auto" w:fill="CFF0FC"/>
          </w:tcPr>
          <w:p>
            <w:pPr>
              <w:spacing w:after="0"/>
              <w:rPr>
                <w:sz w:val="14"/>
                <w:szCs w:val="14"/>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7,739</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55"/>
        </w:trPr>
        <w:tc>
          <w:tcPr>
            <w:tcW w:w="5240" w:type="dxa"/>
            <w:vAlign w:val="bottom"/>
            <w:tcBorders>
              <w:top w:val="single" w:sz="8" w:color="CFF0FC"/>
              <w:bottom w:val="single" w:sz="8" w:color="CFF0FC"/>
            </w:tcBorders>
          </w:tcPr>
          <w:p>
            <w:pPr>
              <w:spacing w:after="0" w:line="155" w:lineRule="exact"/>
              <w:rPr>
                <w:sz w:val="20"/>
                <w:szCs w:val="20"/>
                <w:color w:val="auto"/>
              </w:rPr>
            </w:pPr>
            <w:r>
              <w:rPr>
                <w:rFonts w:ascii="Arial" w:cs="Arial" w:eastAsia="Arial" w:hAnsi="Arial"/>
                <w:sz w:val="14"/>
                <w:szCs w:val="14"/>
                <w:color w:val="auto"/>
              </w:rPr>
              <w:t>Loss from operations</w:t>
            </w:r>
          </w:p>
        </w:tc>
        <w:tc>
          <w:tcPr>
            <w:tcW w:w="1200" w:type="dxa"/>
            <w:vAlign w:val="bottom"/>
            <w:tcBorders>
              <w:top w:val="single" w:sz="8" w:color="auto"/>
              <w:bottom w:val="single" w:sz="8" w:color="auto"/>
            </w:tcBorders>
          </w:tcPr>
          <w:p>
            <w:pPr>
              <w:jc w:val="right"/>
              <w:ind w:right="1048"/>
              <w:spacing w:after="0" w:line="142" w:lineRule="exact"/>
              <w:rPr>
                <w:sz w:val="20"/>
                <w:szCs w:val="20"/>
                <w:color w:val="auto"/>
              </w:rPr>
            </w:pPr>
            <w:r>
              <w:rPr>
                <w:rFonts w:ascii="Arial" w:cs="Arial" w:eastAsia="Arial" w:hAnsi="Arial"/>
                <w:sz w:val="14"/>
                <w:szCs w:val="14"/>
                <w:b w:val="1"/>
                <w:bCs w:val="1"/>
                <w:color w:val="auto"/>
                <w:w w:val="76"/>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(18,377)</w:t>
            </w:r>
          </w:p>
        </w:tc>
        <w:tc>
          <w:tcPr>
            <w:tcW w:w="120" w:type="dxa"/>
            <w:vAlign w:val="bottom"/>
            <w:tcBorders>
              <w:top w:val="single" w:sz="8" w:color="CFF0FC"/>
              <w:bottom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9,360</w:t>
            </w:r>
          </w:p>
        </w:tc>
        <w:tc>
          <w:tcPr>
            <w:tcW w:w="120" w:type="dxa"/>
            <w:vAlign w:val="bottom"/>
            <w:tcBorders>
              <w:top w:val="single" w:sz="8" w:color="CFF0FC"/>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(9,017)</w:t>
            </w:r>
          </w:p>
        </w:tc>
        <w:tc>
          <w:tcPr>
            <w:tcW w:w="100" w:type="dxa"/>
            <w:vAlign w:val="bottom"/>
            <w:tcBorders>
              <w:top w:val="single" w:sz="8" w:color="CFF0FC"/>
              <w:bottom w:val="single" w:sz="8" w:color="CFF0FC"/>
            </w:tcBorders>
          </w:tcPr>
          <w:p>
            <w:pPr>
              <w:spacing w:after="0"/>
              <w:rPr>
                <w:sz w:val="13"/>
                <w:szCs w:val="13"/>
                <w:color w:val="auto"/>
              </w:rPr>
            </w:pPr>
          </w:p>
        </w:tc>
      </w:tr>
      <w:tr>
        <w:trPr>
          <w:trHeight w:val="20"/>
        </w:trPr>
        <w:tc>
          <w:tcPr>
            <w:tcW w:w="5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-136525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-136525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4" w:lineRule="exact"/>
        <w:rPr>
          <w:sz w:val="20"/>
          <w:szCs w:val="20"/>
          <w:color w:val="auto"/>
        </w:rPr>
      </w:pPr>
    </w:p>
    <w:p>
      <w:pPr>
        <w:ind w:left="300" w:hanging="292"/>
        <w:spacing w:after="0" w:line="264" w:lineRule="auto"/>
        <w:tabs>
          <w:tab w:leader="none" w:pos="2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During the twelve-month period ended April 27, 2025, restructuring related charges recorded in cost of sales represented losses on the disposal, valuation, and markdowns of inventory mostly related to the closure of the bedding manufacturing facility in Quebec, Canada.</w:t>
      </w:r>
    </w:p>
    <w:p>
      <w:pPr>
        <w:spacing w:after="0" w:line="106" w:lineRule="exact"/>
        <w:rPr>
          <w:rFonts w:ascii="Arial" w:cs="Arial" w:eastAsia="Arial" w:hAnsi="Arial"/>
          <w:sz w:val="15"/>
          <w:szCs w:val="15"/>
          <w:color w:val="auto"/>
        </w:rPr>
      </w:pPr>
    </w:p>
    <w:p>
      <w:pPr>
        <w:jc w:val="both"/>
        <w:ind w:left="300" w:hanging="292"/>
        <w:spacing w:after="0" w:line="244" w:lineRule="auto"/>
        <w:tabs>
          <w:tab w:leader="none" w:pos="255" w:val="left"/>
        </w:tabs>
        <w:numPr>
          <w:ilvl w:val="0"/>
          <w:numId w:val="17"/>
        </w:numPr>
        <w:rPr>
          <w:rFonts w:ascii="Arial" w:cs="Arial" w:eastAsia="Arial" w:hAnsi="Arial"/>
          <w:sz w:val="15"/>
          <w:szCs w:val="15"/>
          <w:color w:val="auto"/>
        </w:rPr>
      </w:pPr>
      <w:r>
        <w:rPr>
          <w:rFonts w:ascii="Arial" w:cs="Arial" w:eastAsia="Arial" w:hAnsi="Arial"/>
          <w:sz w:val="15"/>
          <w:szCs w:val="15"/>
          <w:color w:val="auto"/>
        </w:rPr>
        <w:t>During the twelve-month period ended April 27, 2025, restructuring expense mostly represented charges related to the consolidation of our North American bedding manufacturing platform and the closure of the bedding manufacturing facility in Quebec, Canada, as well as initial costs related to transforming our operating model and the consolidation of certain facilities to further reduce fixed costs.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CULP Announces Results for Fourth Quarter Fiscal 2026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13</w:t>
      </w:r>
    </w:p>
    <w:p>
      <w:pPr>
        <w:spacing w:after="0"/>
        <w:rPr>
          <w:sz w:val="20"/>
          <w:szCs w:val="20"/>
          <w:color w:val="auto"/>
        </w:rPr>
      </w:pPr>
      <w:r>
        <w:rPr>
          <w:rFonts w:ascii="Arial" w:cs="Arial" w:eastAsia="Arial" w:hAnsi="Arial"/>
          <w:sz w:val="18"/>
          <w:szCs w:val="18"/>
          <w:color w:val="auto"/>
        </w:rPr>
        <w:t>July 1, 2026</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CULP,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RECONCILIATIONS OF NON-GAAP FINANCIAL MEASURES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w:t>
      </w: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OF ADJUSTED EBITDA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40" w:type="dxa"/>
            <w:vAlign w:val="bottom"/>
          </w:tcPr>
          <w:p>
            <w:pPr>
              <w:jc w:val="center"/>
              <w:ind w:left="299"/>
              <w:spacing w:after="0"/>
              <w:rPr>
                <w:sz w:val="20"/>
                <w:szCs w:val="20"/>
                <w:color w:val="auto"/>
              </w:rPr>
            </w:pPr>
            <w:r>
              <w:rPr>
                <w:rFonts w:ascii="Arial" w:cs="Arial" w:eastAsia="Arial" w:hAnsi="Arial"/>
                <w:sz w:val="13"/>
                <w:szCs w:val="13"/>
                <w:b w:val="1"/>
                <w:bCs w:val="1"/>
                <w:color w:val="auto"/>
                <w:w w:val="97"/>
              </w:rPr>
              <w:t>Quarter</w:t>
            </w: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7"/>
              </w:rPr>
              <w:t>Quarter</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3"/>
          </w:tcPr>
          <w:p>
            <w:pPr>
              <w:jc w:val="center"/>
              <w:ind w:right="440"/>
              <w:spacing w:after="0"/>
              <w:rPr>
                <w:sz w:val="20"/>
                <w:szCs w:val="20"/>
                <w:color w:val="auto"/>
              </w:rPr>
            </w:pPr>
            <w:r>
              <w:rPr>
                <w:rFonts w:ascii="Arial" w:cs="Arial" w:eastAsia="Arial" w:hAnsi="Arial"/>
                <w:sz w:val="13"/>
                <w:szCs w:val="13"/>
                <w:b w:val="1"/>
                <w:bCs w:val="1"/>
                <w:color w:val="auto"/>
                <w:w w:val="97"/>
              </w:rPr>
              <w:t>Quarter</w:t>
            </w:r>
          </w:p>
        </w:tc>
        <w:tc>
          <w:tcPr>
            <w:tcW w:w="920" w:type="dxa"/>
            <w:vAlign w:val="bottom"/>
          </w:tcPr>
          <w:p>
            <w:pPr>
              <w:jc w:val="center"/>
              <w:ind w:left="317"/>
              <w:spacing w:after="0"/>
              <w:rPr>
                <w:sz w:val="20"/>
                <w:szCs w:val="20"/>
                <w:color w:val="auto"/>
              </w:rPr>
            </w:pPr>
            <w:r>
              <w:rPr>
                <w:rFonts w:ascii="Arial" w:cs="Arial" w:eastAsia="Arial" w:hAnsi="Arial"/>
                <w:sz w:val="13"/>
                <w:szCs w:val="13"/>
                <w:b w:val="1"/>
                <w:bCs w:val="1"/>
                <w:color w:val="auto"/>
                <w:w w:val="97"/>
              </w:rPr>
              <w:t>Quarter</w:t>
            </w: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9"/>
              </w:rPr>
              <w:t>Year</w:t>
            </w:r>
          </w:p>
        </w:tc>
      </w:tr>
      <w:tr>
        <w:trPr>
          <w:trHeight w:val="162"/>
        </w:trPr>
        <w:tc>
          <w:tcPr>
            <w:tcW w:w="3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tcPr>
          <w:p>
            <w:pPr>
              <w:jc w:val="center"/>
              <w:ind w:left="299"/>
              <w:spacing w:after="0"/>
              <w:rPr>
                <w:sz w:val="20"/>
                <w:szCs w:val="20"/>
                <w:color w:val="auto"/>
              </w:rPr>
            </w:pPr>
            <w:r>
              <w:rPr>
                <w:rFonts w:ascii="Arial" w:cs="Arial" w:eastAsia="Arial" w:hAnsi="Arial"/>
                <w:sz w:val="13"/>
                <w:szCs w:val="13"/>
                <w:b w:val="1"/>
                <w:bCs w:val="1"/>
                <w:color w:val="auto"/>
                <w:w w:val="95"/>
              </w:rPr>
              <w:t>Ended</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5"/>
              </w:rPr>
              <w:t>Ended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tcPr>
          <w:p>
            <w:pPr>
              <w:jc w:val="center"/>
              <w:ind w:right="440"/>
              <w:spacing w:after="0"/>
              <w:rPr>
                <w:sz w:val="20"/>
                <w:szCs w:val="20"/>
                <w:color w:val="auto"/>
              </w:rPr>
            </w:pPr>
            <w:r>
              <w:rPr>
                <w:rFonts w:ascii="Arial" w:cs="Arial" w:eastAsia="Arial" w:hAnsi="Arial"/>
                <w:sz w:val="13"/>
                <w:szCs w:val="13"/>
                <w:b w:val="1"/>
                <w:bCs w:val="1"/>
                <w:color w:val="auto"/>
                <w:w w:val="95"/>
              </w:rPr>
              <w:t>Ended</w:t>
            </w:r>
          </w:p>
        </w:tc>
        <w:tc>
          <w:tcPr>
            <w:tcW w:w="920" w:type="dxa"/>
            <w:vAlign w:val="bottom"/>
          </w:tcPr>
          <w:p>
            <w:pPr>
              <w:jc w:val="center"/>
              <w:ind w:left="317"/>
              <w:spacing w:after="0"/>
              <w:rPr>
                <w:sz w:val="20"/>
                <w:szCs w:val="20"/>
                <w:color w:val="auto"/>
              </w:rPr>
            </w:pPr>
            <w:r>
              <w:rPr>
                <w:rFonts w:ascii="Arial" w:cs="Arial" w:eastAsia="Arial" w:hAnsi="Arial"/>
                <w:sz w:val="13"/>
                <w:szCs w:val="13"/>
                <w:b w:val="1"/>
                <w:bCs w:val="1"/>
                <w:color w:val="auto"/>
                <w:w w:val="95"/>
              </w:rPr>
              <w:t>Ended</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5"/>
              </w:rPr>
              <w:t>Ended</w:t>
            </w:r>
          </w:p>
        </w:tc>
      </w:tr>
      <w:tr>
        <w:trPr>
          <w:trHeight w:val="148"/>
        </w:trPr>
        <w:tc>
          <w:tcPr>
            <w:tcW w:w="3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tcPr>
          <w:p>
            <w:pPr>
              <w:jc w:val="center"/>
              <w:ind w:left="299"/>
              <w:spacing w:after="0"/>
              <w:rPr>
                <w:sz w:val="20"/>
                <w:szCs w:val="20"/>
                <w:color w:val="auto"/>
              </w:rPr>
            </w:pPr>
            <w:r>
              <w:rPr>
                <w:rFonts w:ascii="Arial" w:cs="Arial" w:eastAsia="Arial" w:hAnsi="Arial"/>
                <w:sz w:val="13"/>
                <w:szCs w:val="13"/>
                <w:b w:val="1"/>
                <w:bCs w:val="1"/>
                <w:color w:val="auto"/>
                <w:w w:val="97"/>
              </w:rPr>
              <w:t>August 3,</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7"/>
              </w:rPr>
              <w:t>November 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3"/>
          </w:tcPr>
          <w:p>
            <w:pPr>
              <w:jc w:val="center"/>
              <w:ind w:right="460"/>
              <w:spacing w:after="0"/>
              <w:rPr>
                <w:sz w:val="20"/>
                <w:szCs w:val="20"/>
                <w:color w:val="auto"/>
              </w:rPr>
            </w:pPr>
            <w:r>
              <w:rPr>
                <w:rFonts w:ascii="Arial" w:cs="Arial" w:eastAsia="Arial" w:hAnsi="Arial"/>
                <w:sz w:val="13"/>
                <w:szCs w:val="13"/>
                <w:b w:val="1"/>
                <w:bCs w:val="1"/>
                <w:color w:val="auto"/>
                <w:w w:val="96"/>
              </w:rPr>
              <w:t>February 1,</w:t>
            </w:r>
          </w:p>
        </w:tc>
        <w:tc>
          <w:tcPr>
            <w:tcW w:w="920" w:type="dxa"/>
            <w:vAlign w:val="bottom"/>
          </w:tcPr>
          <w:p>
            <w:pPr>
              <w:jc w:val="center"/>
              <w:ind w:left="317"/>
              <w:spacing w:after="0"/>
              <w:rPr>
                <w:sz w:val="20"/>
                <w:szCs w:val="20"/>
                <w:color w:val="auto"/>
              </w:rPr>
            </w:pPr>
            <w:r>
              <w:rPr>
                <w:rFonts w:ascii="Arial" w:cs="Arial" w:eastAsia="Arial" w:hAnsi="Arial"/>
                <w:sz w:val="13"/>
                <w:szCs w:val="13"/>
                <w:b w:val="1"/>
                <w:bCs w:val="1"/>
                <w:color w:val="auto"/>
                <w:w w:val="95"/>
              </w:rPr>
              <w:t>May 3,</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5"/>
              </w:rPr>
              <w:t>May 3,</w:t>
            </w:r>
          </w:p>
        </w:tc>
      </w:tr>
      <w:tr>
        <w:trPr>
          <w:trHeight w:val="153"/>
        </w:trPr>
        <w:tc>
          <w:tcPr>
            <w:tcW w:w="3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40" w:type="dxa"/>
            <w:vAlign w:val="bottom"/>
            <w:tcBorders>
              <w:bottom w:val="single" w:sz="8" w:color="auto"/>
            </w:tcBorders>
          </w:tcPr>
          <w:p>
            <w:pPr>
              <w:jc w:val="center"/>
              <w:ind w:left="319"/>
              <w:spacing w:after="0"/>
              <w:rPr>
                <w:sz w:val="20"/>
                <w:szCs w:val="20"/>
                <w:color w:val="auto"/>
              </w:rPr>
            </w:pPr>
            <w:r>
              <w:rPr>
                <w:rFonts w:ascii="Arial" w:cs="Arial" w:eastAsia="Arial" w:hAnsi="Arial"/>
                <w:sz w:val="13"/>
                <w:szCs w:val="13"/>
                <w:b w:val="1"/>
                <w:bCs w:val="1"/>
                <w:color w:val="auto"/>
                <w:w w:val="96"/>
              </w:rPr>
              <w:t>2025</w:t>
            </w:r>
          </w:p>
        </w:tc>
        <w:tc>
          <w:tcPr>
            <w:tcW w:w="3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96"/>
              </w:rPr>
              <w:t>2025</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96"/>
              </w:rPr>
              <w:t>2026</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bottom w:val="single" w:sz="8" w:color="auto"/>
            </w:tcBorders>
          </w:tcPr>
          <w:p>
            <w:pPr>
              <w:jc w:val="center"/>
              <w:ind w:left="297"/>
              <w:spacing w:after="0"/>
              <w:rPr>
                <w:sz w:val="20"/>
                <w:szCs w:val="20"/>
                <w:color w:val="auto"/>
              </w:rPr>
            </w:pPr>
            <w:r>
              <w:rPr>
                <w:rFonts w:ascii="Arial" w:cs="Arial" w:eastAsia="Arial" w:hAnsi="Arial"/>
                <w:sz w:val="13"/>
                <w:szCs w:val="13"/>
                <w:b w:val="1"/>
                <w:bCs w:val="1"/>
                <w:color w:val="auto"/>
                <w:w w:val="96"/>
              </w:rPr>
              <w:t>2026</w:t>
            </w:r>
          </w:p>
        </w:tc>
        <w:tc>
          <w:tcPr>
            <w:tcW w:w="3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157"/>
              <w:spacing w:after="0"/>
              <w:rPr>
                <w:sz w:val="20"/>
                <w:szCs w:val="20"/>
                <w:color w:val="auto"/>
              </w:rPr>
            </w:pPr>
            <w:r>
              <w:rPr>
                <w:rFonts w:ascii="Arial" w:cs="Arial" w:eastAsia="Arial" w:hAnsi="Arial"/>
                <w:sz w:val="13"/>
                <w:szCs w:val="13"/>
                <w:b w:val="1"/>
                <w:bCs w:val="1"/>
                <w:color w:val="auto"/>
                <w:w w:val="96"/>
              </w:rPr>
              <w:t>2026</w:t>
            </w:r>
          </w:p>
        </w:tc>
        <w:tc>
          <w:tcPr>
            <w:tcW w:w="180" w:type="dxa"/>
            <w:vAlign w:val="bottom"/>
          </w:tcPr>
          <w:p>
            <w:pPr>
              <w:spacing w:after="0"/>
              <w:rPr>
                <w:sz w:val="13"/>
                <w:szCs w:val="13"/>
                <w:color w:val="auto"/>
              </w:rPr>
            </w:pPr>
          </w:p>
        </w:tc>
      </w:tr>
      <w:tr>
        <w:trPr>
          <w:trHeight w:val="156"/>
        </w:trPr>
        <w:tc>
          <w:tcPr>
            <w:tcW w:w="30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Net loss</w:t>
            </w:r>
          </w:p>
        </w:tc>
        <w:tc>
          <w:tcPr>
            <w:tcW w:w="1500" w:type="dxa"/>
            <w:vAlign w:val="bottom"/>
            <w:gridSpan w:val="2"/>
            <w:shd w:val="clear" w:color="auto" w:fill="CFF0FC"/>
          </w:tcPr>
          <w:p>
            <w:pPr>
              <w:jc w:val="right"/>
              <w:ind w:right="819"/>
              <w:spacing w:after="0"/>
              <w:rPr>
                <w:sz w:val="20"/>
                <w:szCs w:val="20"/>
                <w:color w:val="auto"/>
              </w:rPr>
            </w:pPr>
            <w:r>
              <w:rPr>
                <w:rFonts w:ascii="Arial" w:cs="Arial" w:eastAsia="Arial" w:hAnsi="Arial"/>
                <w:sz w:val="13"/>
                <w:szCs w:val="13"/>
                <w:b w:val="1"/>
                <w:bCs w:val="1"/>
                <w:color w:val="auto"/>
              </w:rPr>
              <w:t>$</w:t>
            </w: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b w:val="1"/>
                <w:bCs w:val="1"/>
                <w:color w:val="auto"/>
              </w:rPr>
              <w:t>(231)</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b w:val="1"/>
                <w:bCs w:val="1"/>
                <w:color w:val="auto"/>
              </w:rPr>
              <w:t>(4,306)</w:t>
            </w:r>
          </w:p>
        </w:tc>
        <w:tc>
          <w:tcPr>
            <w:tcW w:w="260" w:type="dxa"/>
            <w:vAlign w:val="bottom"/>
            <w:gridSpan w:val="2"/>
            <w:shd w:val="clear" w:color="auto" w:fill="CFF0FC"/>
          </w:tcPr>
          <w:p>
            <w:pPr>
              <w:jc w:val="right"/>
              <w:ind w:right="17"/>
              <w:spacing w:after="0"/>
              <w:rPr>
                <w:sz w:val="20"/>
                <w:szCs w:val="20"/>
                <w:color w:val="auto"/>
              </w:rPr>
            </w:pPr>
            <w:r>
              <w:rPr>
                <w:rFonts w:ascii="Arial" w:cs="Arial" w:eastAsia="Arial" w:hAnsi="Arial"/>
                <w:sz w:val="13"/>
                <w:szCs w:val="13"/>
                <w:b w:val="1"/>
                <w:bCs w:val="1"/>
                <w:color w:val="auto"/>
              </w:rPr>
              <w:t>$</w:t>
            </w: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b w:val="1"/>
                <w:bCs w:val="1"/>
                <w:color w:val="auto"/>
              </w:rPr>
              <w:t>(3,432)</w:t>
            </w: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777"/>
              <w:spacing w:after="0"/>
              <w:rPr>
                <w:sz w:val="20"/>
                <w:szCs w:val="20"/>
                <w:color w:val="auto"/>
              </w:rPr>
            </w:pPr>
            <w:r>
              <w:rPr>
                <w:rFonts w:ascii="Arial" w:cs="Arial" w:eastAsia="Arial" w:hAnsi="Arial"/>
                <w:sz w:val="13"/>
                <w:szCs w:val="13"/>
                <w:b w:val="1"/>
                <w:bCs w:val="1"/>
                <w:color w:val="auto"/>
                <w:w w:val="82"/>
              </w:rPr>
              <w:t>$</w:t>
            </w:r>
          </w:p>
        </w:tc>
        <w:tc>
          <w:tcPr>
            <w:tcW w:w="6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3"/>
                <w:szCs w:val="13"/>
                <w:b w:val="1"/>
                <w:bCs w:val="1"/>
                <w:color w:val="auto"/>
                <w:w w:val="97"/>
              </w:rPr>
              <w:t>(2,242)</w:t>
            </w:r>
          </w:p>
        </w:tc>
        <w:tc>
          <w:tcPr>
            <w:tcW w:w="220" w:type="dxa"/>
            <w:vAlign w:val="bottom"/>
            <w:shd w:val="clear" w:color="auto" w:fill="CFF0FC"/>
          </w:tcPr>
          <w:p>
            <w:pPr>
              <w:jc w:val="right"/>
              <w:ind w:right="77"/>
              <w:spacing w:after="0"/>
              <w:rPr>
                <w:sz w:val="20"/>
                <w:szCs w:val="20"/>
                <w:color w:val="auto"/>
              </w:rPr>
            </w:pPr>
            <w:r>
              <w:rPr>
                <w:rFonts w:ascii="Arial" w:cs="Arial" w:eastAsia="Arial" w:hAnsi="Arial"/>
                <w:sz w:val="13"/>
                <w:szCs w:val="13"/>
                <w:b w:val="1"/>
                <w:bCs w:val="1"/>
                <w:color w:val="auto"/>
                <w:w w:val="82"/>
              </w:rPr>
              <w:t>$</w:t>
            </w: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b w:val="1"/>
                <w:bCs w:val="1"/>
                <w:color w:val="auto"/>
              </w:rPr>
              <w:t>(10,211)</w:t>
            </w:r>
          </w:p>
        </w:tc>
      </w:tr>
      <w:tr>
        <w:trPr>
          <w:trHeight w:val="162"/>
        </w:trPr>
        <w:tc>
          <w:tcPr>
            <w:tcW w:w="3080" w:type="dxa"/>
            <w:vAlign w:val="bottom"/>
          </w:tcPr>
          <w:p>
            <w:pPr>
              <w:spacing w:after="0"/>
              <w:rPr>
                <w:sz w:val="20"/>
                <w:szCs w:val="20"/>
                <w:color w:val="auto"/>
              </w:rPr>
            </w:pPr>
            <w:r>
              <w:rPr>
                <w:rFonts w:ascii="Arial" w:cs="Arial" w:eastAsia="Arial" w:hAnsi="Arial"/>
                <w:sz w:val="13"/>
                <w:szCs w:val="13"/>
                <w:b w:val="1"/>
                <w:bCs w:val="1"/>
                <w:color w:val="auto"/>
              </w:rPr>
              <w:t>Income tax expense</w:t>
            </w: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b w:val="1"/>
                <w:bCs w:val="1"/>
                <w:color w:val="auto"/>
              </w:rPr>
              <w:t>1,369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207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292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b w:val="1"/>
                <w:bCs w:val="1"/>
                <w:color w:val="auto"/>
              </w:rPr>
              <w:t>58</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1,926</w:t>
            </w:r>
          </w:p>
        </w:tc>
        <w:tc>
          <w:tcPr>
            <w:tcW w:w="180" w:type="dxa"/>
            <w:vAlign w:val="bottom"/>
          </w:tcPr>
          <w:p>
            <w:pPr>
              <w:spacing w:after="0"/>
              <w:rPr>
                <w:sz w:val="14"/>
                <w:szCs w:val="14"/>
                <w:color w:val="auto"/>
              </w:rPr>
            </w:pPr>
          </w:p>
        </w:tc>
      </w:tr>
      <w:tr>
        <w:trPr>
          <w:trHeight w:val="162"/>
        </w:trPr>
        <w:tc>
          <w:tcPr>
            <w:tcW w:w="30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Interest income, net</w:t>
            </w:r>
          </w:p>
        </w:tc>
        <w:tc>
          <w:tcPr>
            <w:tcW w:w="5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b w:val="1"/>
                <w:bCs w:val="1"/>
                <w:color w:val="auto"/>
              </w:rPr>
              <w:t>(53)</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b w:val="1"/>
                <w:bCs w:val="1"/>
                <w:color w:val="auto"/>
              </w:rPr>
              <w:t>(50)</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b w:val="1"/>
                <w:bCs w:val="1"/>
                <w:color w:val="auto"/>
              </w:rPr>
              <w:t>(192)</w:t>
            </w: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6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3"/>
                <w:szCs w:val="13"/>
                <w:b w:val="1"/>
                <w:bCs w:val="1"/>
                <w:color w:val="auto"/>
              </w:rPr>
              <w:t>(19)</w:t>
            </w:r>
          </w:p>
        </w:tc>
        <w:tc>
          <w:tcPr>
            <w:tcW w:w="2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b w:val="1"/>
                <w:bCs w:val="1"/>
                <w:color w:val="auto"/>
              </w:rPr>
              <w:t>(314)</w:t>
            </w:r>
          </w:p>
        </w:tc>
      </w:tr>
      <w:tr>
        <w:trPr>
          <w:trHeight w:val="162"/>
        </w:trPr>
        <w:tc>
          <w:tcPr>
            <w:tcW w:w="3080" w:type="dxa"/>
            <w:vAlign w:val="bottom"/>
          </w:tcPr>
          <w:p>
            <w:pPr>
              <w:spacing w:after="0"/>
              <w:rPr>
                <w:sz w:val="20"/>
                <w:szCs w:val="20"/>
                <w:color w:val="auto"/>
              </w:rPr>
            </w:pPr>
            <w:r>
              <w:rPr>
                <w:rFonts w:ascii="Arial" w:cs="Arial" w:eastAsia="Arial" w:hAnsi="Arial"/>
                <w:sz w:val="13"/>
                <w:szCs w:val="13"/>
                <w:b w:val="1"/>
                <w:bCs w:val="1"/>
                <w:color w:val="auto"/>
              </w:rPr>
              <w:t>Depreciation expense</w:t>
            </w: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b w:val="1"/>
                <w:bCs w:val="1"/>
                <w:color w:val="auto"/>
              </w:rPr>
              <w:t>1,111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1,057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974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b w:val="1"/>
                <w:bCs w:val="1"/>
                <w:color w:val="auto"/>
              </w:rPr>
              <w:t>963</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4,105</w:t>
            </w:r>
          </w:p>
        </w:tc>
        <w:tc>
          <w:tcPr>
            <w:tcW w:w="180" w:type="dxa"/>
            <w:vAlign w:val="bottom"/>
          </w:tcPr>
          <w:p>
            <w:pPr>
              <w:spacing w:after="0"/>
              <w:rPr>
                <w:sz w:val="14"/>
                <w:szCs w:val="14"/>
                <w:color w:val="auto"/>
              </w:rPr>
            </w:pPr>
          </w:p>
        </w:tc>
      </w:tr>
      <w:tr>
        <w:trPr>
          <w:trHeight w:val="162"/>
        </w:trPr>
        <w:tc>
          <w:tcPr>
            <w:tcW w:w="3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3"/>
                <w:szCs w:val="13"/>
                <w:b w:val="1"/>
                <w:bCs w:val="1"/>
                <w:color w:val="auto"/>
              </w:rPr>
              <w:t>Amortization expense</w:t>
            </w:r>
          </w:p>
        </w:tc>
        <w:tc>
          <w:tcPr>
            <w:tcW w:w="56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95</w:t>
            </w:r>
          </w:p>
        </w:tc>
        <w:tc>
          <w:tcPr>
            <w:tcW w:w="1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97</w:t>
            </w:r>
          </w:p>
        </w:tc>
        <w:tc>
          <w:tcPr>
            <w:tcW w:w="1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96</w:t>
            </w:r>
          </w:p>
        </w:tc>
        <w:tc>
          <w:tcPr>
            <w:tcW w:w="1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33</w:t>
            </w:r>
          </w:p>
        </w:tc>
        <w:tc>
          <w:tcPr>
            <w:tcW w:w="280" w:type="dxa"/>
            <w:vAlign w:val="bottom"/>
            <w:tcBorders>
              <w:bottom w:val="single" w:sz="8" w:color="CFF0FC"/>
              <w:right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321</w:t>
            </w:r>
          </w:p>
        </w:tc>
        <w:tc>
          <w:tcPr>
            <w:tcW w:w="180" w:type="dxa"/>
            <w:vAlign w:val="bottom"/>
            <w:tcBorders>
              <w:bottom w:val="single" w:sz="8" w:color="CFF0FC"/>
            </w:tcBorders>
            <w:shd w:val="clear" w:color="auto" w:fill="CFF0FC"/>
          </w:tcPr>
          <w:p>
            <w:pPr>
              <w:spacing w:after="0"/>
              <w:rPr>
                <w:sz w:val="14"/>
                <w:szCs w:val="14"/>
                <w:color w:val="auto"/>
              </w:rPr>
            </w:pPr>
          </w:p>
        </w:tc>
      </w:tr>
      <w:tr>
        <w:trPr>
          <w:trHeight w:val="156"/>
        </w:trPr>
        <w:tc>
          <w:tcPr>
            <w:tcW w:w="3080" w:type="dxa"/>
            <w:vAlign w:val="bottom"/>
          </w:tcPr>
          <w:p>
            <w:pPr>
              <w:ind w:left="120"/>
              <w:spacing w:after="0"/>
              <w:rPr>
                <w:sz w:val="20"/>
                <w:szCs w:val="20"/>
                <w:color w:val="auto"/>
              </w:rPr>
            </w:pPr>
            <w:r>
              <w:rPr>
                <w:rFonts w:ascii="Arial" w:cs="Arial" w:eastAsia="Arial" w:hAnsi="Arial"/>
                <w:sz w:val="13"/>
                <w:szCs w:val="13"/>
                <w:b w:val="1"/>
                <w:bCs w:val="1"/>
                <w:color w:val="auto"/>
              </w:rPr>
              <w:t>EBITDA</w:t>
            </w:r>
          </w:p>
        </w:tc>
        <w:tc>
          <w:tcPr>
            <w:tcW w:w="5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b w:val="1"/>
                <w:bCs w:val="1"/>
                <w:color w:val="auto"/>
              </w:rPr>
              <w:t>2,291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(2,995)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(2,262)</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7"/>
              </w:rPr>
              <w:t>(1,207)</w:t>
            </w:r>
          </w:p>
        </w:tc>
        <w:tc>
          <w:tcPr>
            <w:tcW w:w="22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(4,173)</w:t>
            </w:r>
          </w:p>
        </w:tc>
      </w:tr>
      <w:tr>
        <w:trPr>
          <w:trHeight w:val="162"/>
        </w:trPr>
        <w:tc>
          <w:tcPr>
            <w:tcW w:w="30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Restructuring (credit) expense</w:t>
            </w:r>
          </w:p>
        </w:tc>
        <w:tc>
          <w:tcPr>
            <w:tcW w:w="5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b w:val="1"/>
                <w:bCs w:val="1"/>
                <w:color w:val="auto"/>
                <w:w w:val="97"/>
              </w:rPr>
              <w:t>(3,508)</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499</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584</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102</w:t>
            </w:r>
          </w:p>
        </w:tc>
        <w:tc>
          <w:tcPr>
            <w:tcW w:w="280" w:type="dxa"/>
            <w:vAlign w:val="bottom"/>
            <w:tcBorders>
              <w:righ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b w:val="1"/>
                <w:bCs w:val="1"/>
                <w:color w:val="auto"/>
              </w:rPr>
              <w:t>(2,323)</w:t>
            </w:r>
          </w:p>
        </w:tc>
      </w:tr>
      <w:tr>
        <w:trPr>
          <w:trHeight w:val="162"/>
        </w:trPr>
        <w:tc>
          <w:tcPr>
            <w:tcW w:w="3080" w:type="dxa"/>
            <w:vAlign w:val="bottom"/>
          </w:tcPr>
          <w:p>
            <w:pPr>
              <w:spacing w:after="0"/>
              <w:rPr>
                <w:sz w:val="20"/>
                <w:szCs w:val="20"/>
                <w:color w:val="auto"/>
              </w:rPr>
            </w:pPr>
            <w:r>
              <w:rPr>
                <w:rFonts w:ascii="Arial" w:cs="Arial" w:eastAsia="Arial" w:hAnsi="Arial"/>
                <w:sz w:val="13"/>
                <w:szCs w:val="13"/>
                <w:b w:val="1"/>
                <w:bCs w:val="1"/>
                <w:color w:val="auto"/>
              </w:rPr>
              <w:t>Restructuring related charge</w:t>
            </w: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gridSpan w:val="3"/>
          </w:tcPr>
          <w:p>
            <w:pPr>
              <w:jc w:val="right"/>
              <w:ind w:right="30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931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tcPr>
          <w:p>
            <w:pPr>
              <w:jc w:val="right"/>
              <w:ind w:right="300"/>
              <w:spacing w:after="0"/>
              <w:rPr>
                <w:sz w:val="20"/>
                <w:szCs w:val="20"/>
                <w:color w:val="auto"/>
              </w:rPr>
            </w:pPr>
            <w:r>
              <w:rPr>
                <w:rFonts w:ascii="Arial" w:cs="Arial" w:eastAsia="Arial" w:hAnsi="Arial"/>
                <w:sz w:val="13"/>
                <w:szCs w:val="13"/>
                <w:b w:val="1"/>
                <w:bCs w:val="1"/>
                <w:color w:val="auto"/>
              </w:rPr>
              <w:t>—</w:t>
            </w:r>
          </w:p>
        </w:tc>
        <w:tc>
          <w:tcPr>
            <w:tcW w:w="92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931</w:t>
            </w:r>
          </w:p>
        </w:tc>
        <w:tc>
          <w:tcPr>
            <w:tcW w:w="180" w:type="dxa"/>
            <w:vAlign w:val="bottom"/>
          </w:tcPr>
          <w:p>
            <w:pPr>
              <w:spacing w:after="0"/>
              <w:rPr>
                <w:sz w:val="14"/>
                <w:szCs w:val="14"/>
                <w:color w:val="auto"/>
              </w:rPr>
            </w:pPr>
          </w:p>
        </w:tc>
      </w:tr>
      <w:tr>
        <w:trPr>
          <w:trHeight w:val="162"/>
        </w:trPr>
        <w:tc>
          <w:tcPr>
            <w:tcW w:w="30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Resolution of legal matter</w:t>
            </w:r>
          </w:p>
        </w:tc>
        <w:tc>
          <w:tcPr>
            <w:tcW w:w="5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660" w:type="dxa"/>
            <w:vAlign w:val="bottom"/>
            <w:gridSpan w:val="3"/>
            <w:shd w:val="clear" w:color="auto" w:fill="CFF0FC"/>
          </w:tcPr>
          <w:p>
            <w:pPr>
              <w:jc w:val="right"/>
              <w:ind w:right="300"/>
              <w:spacing w:after="0"/>
              <w:rPr>
                <w:sz w:val="20"/>
                <w:szCs w:val="20"/>
                <w:color w:val="auto"/>
              </w:rPr>
            </w:pPr>
            <w:r>
              <w:rPr>
                <w:rFonts w:ascii="Arial" w:cs="Arial" w:eastAsia="Arial" w:hAnsi="Arial"/>
                <w:sz w:val="13"/>
                <w:szCs w:val="13"/>
                <w:b w:val="1"/>
                <w:bCs w:val="1"/>
                <w:color w:val="auto"/>
              </w:rPr>
              <w:t>—</w:t>
            </w:r>
          </w:p>
        </w:tc>
        <w:tc>
          <w:tcPr>
            <w:tcW w:w="16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b w:val="1"/>
                <w:bCs w:val="1"/>
                <w:color w:val="auto"/>
              </w:rPr>
              <w:t>(1,000)</w:t>
            </w: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660" w:type="dxa"/>
            <w:vAlign w:val="bottom"/>
            <w:tcBorders>
              <w:right w:val="single" w:sz="8" w:color="CFF0FC"/>
            </w:tcBorders>
            <w:gridSpan w:val="2"/>
            <w:shd w:val="clear" w:color="auto" w:fill="CFF0FC"/>
          </w:tcPr>
          <w:p>
            <w:pPr>
              <w:jc w:val="right"/>
              <w:ind w:right="300"/>
              <w:spacing w:after="0"/>
              <w:rPr>
                <w:sz w:val="20"/>
                <w:szCs w:val="20"/>
                <w:color w:val="auto"/>
              </w:rPr>
            </w:pPr>
            <w:r>
              <w:rPr>
                <w:rFonts w:ascii="Arial" w:cs="Arial" w:eastAsia="Arial" w:hAnsi="Arial"/>
                <w:sz w:val="13"/>
                <w:szCs w:val="13"/>
                <w:b w:val="1"/>
                <w:bCs w:val="1"/>
                <w:color w:val="auto"/>
              </w:rPr>
              <w:t>—</w:t>
            </w:r>
          </w:p>
        </w:tc>
        <w:tc>
          <w:tcPr>
            <w:tcW w:w="2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b w:val="1"/>
                <w:bCs w:val="1"/>
                <w:color w:val="auto"/>
              </w:rPr>
              <w:t>(1,000)</w:t>
            </w:r>
          </w:p>
        </w:tc>
      </w:tr>
      <w:tr>
        <w:trPr>
          <w:trHeight w:val="162"/>
        </w:trPr>
        <w:tc>
          <w:tcPr>
            <w:tcW w:w="3080" w:type="dxa"/>
            <w:vAlign w:val="bottom"/>
          </w:tcPr>
          <w:p>
            <w:pPr>
              <w:spacing w:after="0"/>
              <w:rPr>
                <w:sz w:val="20"/>
                <w:szCs w:val="20"/>
                <w:color w:val="auto"/>
              </w:rPr>
            </w:pPr>
            <w:r>
              <w:rPr>
                <w:rFonts w:ascii="Arial" w:cs="Arial" w:eastAsia="Arial" w:hAnsi="Arial"/>
                <w:sz w:val="13"/>
                <w:szCs w:val="13"/>
                <w:b w:val="1"/>
                <w:bCs w:val="1"/>
                <w:color w:val="auto"/>
              </w:rPr>
              <w:t>Stock based compensation</w:t>
            </w: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b w:val="1"/>
                <w:bCs w:val="1"/>
                <w:color w:val="auto"/>
              </w:rPr>
              <w:t>156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177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129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b w:val="1"/>
                <w:bCs w:val="1"/>
                <w:color w:val="auto"/>
              </w:rPr>
              <w:t>163</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625</w:t>
            </w:r>
          </w:p>
        </w:tc>
        <w:tc>
          <w:tcPr>
            <w:tcW w:w="180" w:type="dxa"/>
            <w:vAlign w:val="bottom"/>
          </w:tcPr>
          <w:p>
            <w:pPr>
              <w:spacing w:after="0"/>
              <w:rPr>
                <w:sz w:val="14"/>
                <w:szCs w:val="14"/>
                <w:color w:val="auto"/>
              </w:rPr>
            </w:pPr>
          </w:p>
        </w:tc>
      </w:tr>
      <w:tr>
        <w:trPr>
          <w:trHeight w:val="162"/>
        </w:trPr>
        <w:tc>
          <w:tcPr>
            <w:tcW w:w="3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3"/>
                <w:szCs w:val="13"/>
                <w:b w:val="1"/>
                <w:bCs w:val="1"/>
                <w:color w:val="auto"/>
              </w:rPr>
              <w:t>Foreign currency exchange loss (1)</w:t>
            </w:r>
          </w:p>
        </w:tc>
        <w:tc>
          <w:tcPr>
            <w:tcW w:w="56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122</w:t>
            </w:r>
          </w:p>
        </w:tc>
        <w:tc>
          <w:tcPr>
            <w:tcW w:w="1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396</w:t>
            </w:r>
          </w:p>
        </w:tc>
        <w:tc>
          <w:tcPr>
            <w:tcW w:w="1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369</w:t>
            </w:r>
          </w:p>
        </w:tc>
        <w:tc>
          <w:tcPr>
            <w:tcW w:w="1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382</w:t>
            </w:r>
          </w:p>
        </w:tc>
        <w:tc>
          <w:tcPr>
            <w:tcW w:w="280" w:type="dxa"/>
            <w:vAlign w:val="bottom"/>
            <w:tcBorders>
              <w:bottom w:val="single" w:sz="8" w:color="CFF0FC"/>
              <w:right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1,269</w:t>
            </w:r>
          </w:p>
        </w:tc>
        <w:tc>
          <w:tcPr>
            <w:tcW w:w="180" w:type="dxa"/>
            <w:vAlign w:val="bottom"/>
            <w:tcBorders>
              <w:bottom w:val="single" w:sz="8" w:color="CFF0FC"/>
            </w:tcBorders>
            <w:shd w:val="clear" w:color="auto" w:fill="CFF0FC"/>
          </w:tcPr>
          <w:p>
            <w:pPr>
              <w:spacing w:after="0"/>
              <w:rPr>
                <w:sz w:val="14"/>
                <w:szCs w:val="14"/>
                <w:color w:val="auto"/>
              </w:rPr>
            </w:pPr>
          </w:p>
        </w:tc>
      </w:tr>
      <w:tr>
        <w:trPr>
          <w:trHeight w:val="128"/>
        </w:trPr>
        <w:tc>
          <w:tcPr>
            <w:tcW w:w="3080" w:type="dxa"/>
            <w:vAlign w:val="bottom"/>
          </w:tcPr>
          <w:p>
            <w:pPr>
              <w:ind w:left="120"/>
              <w:spacing w:after="0" w:line="129" w:lineRule="exact"/>
              <w:rPr>
                <w:sz w:val="20"/>
                <w:szCs w:val="20"/>
                <w:color w:val="auto"/>
              </w:rPr>
            </w:pPr>
            <w:r>
              <w:rPr>
                <w:rFonts w:ascii="Arial" w:cs="Arial" w:eastAsia="Arial" w:hAnsi="Arial"/>
                <w:sz w:val="13"/>
                <w:szCs w:val="13"/>
                <w:b w:val="1"/>
                <w:bCs w:val="1"/>
                <w:color w:val="auto"/>
              </w:rPr>
              <w:t>Adjusted EBITDA</w:t>
            </w:r>
          </w:p>
        </w:tc>
        <w:tc>
          <w:tcPr>
            <w:tcW w:w="560" w:type="dxa"/>
            <w:vAlign w:val="bottom"/>
          </w:tcPr>
          <w:p>
            <w:pPr>
              <w:spacing w:after="0"/>
              <w:rPr>
                <w:sz w:val="11"/>
                <w:szCs w:val="11"/>
                <w:color w:val="auto"/>
              </w:rPr>
            </w:pPr>
          </w:p>
        </w:tc>
        <w:tc>
          <w:tcPr>
            <w:tcW w:w="940" w:type="dxa"/>
            <w:vAlign w:val="bottom"/>
            <w:tcBorders>
              <w:bottom w:val="single" w:sz="8" w:color="auto"/>
            </w:tcBorders>
          </w:tcPr>
          <w:p>
            <w:pPr>
              <w:jc w:val="right"/>
              <w:ind w:right="819"/>
              <w:spacing w:after="0"/>
              <w:rPr>
                <w:sz w:val="20"/>
                <w:szCs w:val="20"/>
                <w:color w:val="auto"/>
              </w:rPr>
            </w:pPr>
            <w:r>
              <w:rPr>
                <w:rFonts w:ascii="Arial" w:cs="Arial" w:eastAsia="Arial" w:hAnsi="Arial"/>
                <w:sz w:val="10"/>
                <w:szCs w:val="10"/>
                <w:b w:val="1"/>
                <w:bCs w:val="1"/>
                <w:color w:val="auto"/>
                <w:w w:val="71"/>
              </w:rPr>
              <w:t>$</w:t>
            </w:r>
          </w:p>
        </w:tc>
        <w:tc>
          <w:tcPr>
            <w:tcW w:w="3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b w:val="1"/>
                <w:bCs w:val="1"/>
                <w:color w:val="auto"/>
              </w:rPr>
              <w:t>(939)</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jc w:val="right"/>
              <w:ind w:right="17"/>
              <w:spacing w:after="0" w:line="115" w:lineRule="exact"/>
              <w:rPr>
                <w:sz w:val="20"/>
                <w:szCs w:val="20"/>
                <w:color w:val="auto"/>
              </w:rPr>
            </w:pPr>
            <w:r>
              <w:rPr>
                <w:rFonts w:ascii="Arial" w:cs="Arial" w:eastAsia="Arial" w:hAnsi="Arial"/>
                <w:sz w:val="13"/>
                <w:szCs w:val="13"/>
                <w:b w:val="1"/>
                <w:bCs w:val="1"/>
                <w:color w:val="auto"/>
                <w:w w:val="82"/>
              </w:rPr>
              <w:t>$</w:t>
            </w:r>
          </w:p>
        </w:tc>
        <w:tc>
          <w:tcPr>
            <w:tcW w:w="10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b w:val="1"/>
                <w:bCs w:val="1"/>
                <w:color w:val="auto"/>
              </w:rPr>
              <w:t>(992)</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jc w:val="right"/>
              <w:ind w:right="17"/>
              <w:spacing w:after="0" w:line="115" w:lineRule="exact"/>
              <w:rPr>
                <w:sz w:val="20"/>
                <w:szCs w:val="20"/>
                <w:color w:val="auto"/>
              </w:rPr>
            </w:pPr>
            <w:r>
              <w:rPr>
                <w:rFonts w:ascii="Arial" w:cs="Arial" w:eastAsia="Arial" w:hAnsi="Arial"/>
                <w:sz w:val="13"/>
                <w:szCs w:val="13"/>
                <w:b w:val="1"/>
                <w:bCs w:val="1"/>
                <w:color w:val="auto"/>
                <w:w w:val="82"/>
              </w:rPr>
              <w:t>$</w:t>
            </w:r>
          </w:p>
        </w:tc>
        <w:tc>
          <w:tcPr>
            <w:tcW w:w="10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b w:val="1"/>
                <w:bCs w:val="1"/>
                <w:color w:val="auto"/>
              </w:rPr>
              <w:t>(2,180)</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Borders>
              <w:bottom w:val="single" w:sz="8" w:color="auto"/>
            </w:tcBorders>
          </w:tcPr>
          <w:p>
            <w:pPr>
              <w:jc w:val="right"/>
              <w:ind w:right="777"/>
              <w:spacing w:after="0" w:line="115" w:lineRule="exact"/>
              <w:rPr>
                <w:sz w:val="20"/>
                <w:szCs w:val="20"/>
                <w:color w:val="auto"/>
              </w:rPr>
            </w:pPr>
            <w:r>
              <w:rPr>
                <w:rFonts w:ascii="Arial" w:cs="Arial" w:eastAsia="Arial" w:hAnsi="Arial"/>
                <w:sz w:val="13"/>
                <w:szCs w:val="13"/>
                <w:b w:val="1"/>
                <w:bCs w:val="1"/>
                <w:color w:val="auto"/>
                <w:w w:val="82"/>
              </w:rPr>
              <w:t>$</w:t>
            </w:r>
          </w:p>
        </w:tc>
        <w:tc>
          <w:tcPr>
            <w:tcW w:w="3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b w:val="1"/>
                <w:bCs w:val="1"/>
                <w:color w:val="auto"/>
              </w:rPr>
              <w:t>(560)</w:t>
            </w:r>
          </w:p>
        </w:tc>
        <w:tc>
          <w:tcPr>
            <w:tcW w:w="280" w:type="dxa"/>
            <w:vAlign w:val="bottom"/>
          </w:tcPr>
          <w:p>
            <w:pPr>
              <w:spacing w:after="0"/>
              <w:rPr>
                <w:sz w:val="11"/>
                <w:szCs w:val="11"/>
                <w:color w:val="auto"/>
              </w:rPr>
            </w:pPr>
          </w:p>
        </w:tc>
        <w:tc>
          <w:tcPr>
            <w:tcW w:w="220" w:type="dxa"/>
            <w:vAlign w:val="bottom"/>
            <w:tcBorders>
              <w:bottom w:val="single" w:sz="8" w:color="auto"/>
            </w:tcBorders>
          </w:tcPr>
          <w:p>
            <w:pPr>
              <w:jc w:val="right"/>
              <w:ind w:right="77"/>
              <w:spacing w:after="0" w:line="115" w:lineRule="exact"/>
              <w:rPr>
                <w:sz w:val="20"/>
                <w:szCs w:val="20"/>
                <w:color w:val="auto"/>
              </w:rPr>
            </w:pPr>
            <w:r>
              <w:rPr>
                <w:rFonts w:ascii="Arial" w:cs="Arial" w:eastAsia="Arial" w:hAnsi="Arial"/>
                <w:sz w:val="13"/>
                <w:szCs w:val="13"/>
                <w:b w:val="1"/>
                <w:bCs w:val="1"/>
                <w:color w:val="auto"/>
                <w:w w:val="82"/>
              </w:rPr>
              <w:t>$</w:t>
            </w:r>
          </w:p>
        </w:tc>
        <w:tc>
          <w:tcPr>
            <w:tcW w:w="10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b w:val="1"/>
                <w:bCs w:val="1"/>
                <w:color w:val="auto"/>
              </w:rPr>
              <w:t>(4,671)</w:t>
            </w:r>
          </w:p>
        </w:tc>
        <w:tc>
          <w:tcPr>
            <w:tcW w:w="180" w:type="dxa"/>
            <w:vAlign w:val="bottom"/>
          </w:tcPr>
          <w:p>
            <w:pPr>
              <w:spacing w:after="0"/>
              <w:rPr>
                <w:sz w:val="11"/>
                <w:szCs w:val="11"/>
                <w:color w:val="auto"/>
              </w:rPr>
            </w:pPr>
          </w:p>
        </w:tc>
      </w:tr>
      <w:tr>
        <w:trPr>
          <w:trHeight w:val="20"/>
        </w:trPr>
        <w:tc>
          <w:tcPr>
            <w:tcW w:w="3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3"/>
        </w:trPr>
        <w:tc>
          <w:tcPr>
            <w:tcW w:w="3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75"/>
        </w:trPr>
        <w:tc>
          <w:tcPr>
            <w:tcW w:w="308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 Net Sales</w:t>
            </w:r>
          </w:p>
        </w:tc>
        <w:tc>
          <w:tcPr>
            <w:tcW w:w="5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20"/>
              <w:spacing w:after="0" w:line="115" w:lineRule="exact"/>
              <w:rPr>
                <w:sz w:val="20"/>
                <w:szCs w:val="20"/>
                <w:color w:val="auto"/>
              </w:rPr>
            </w:pPr>
            <w:r>
              <w:rPr>
                <w:rFonts w:ascii="Arial" w:cs="Arial" w:eastAsia="Arial" w:hAnsi="Arial"/>
                <w:sz w:val="13"/>
                <w:szCs w:val="13"/>
                <w:b w:val="1"/>
                <w:bCs w:val="1"/>
                <w:color w:val="auto"/>
              </w:rPr>
              <w:t>(1.9)%</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0"/>
              <w:spacing w:after="0" w:line="115" w:lineRule="exact"/>
              <w:rPr>
                <w:sz w:val="20"/>
                <w:szCs w:val="20"/>
                <w:color w:val="auto"/>
              </w:rPr>
            </w:pPr>
            <w:r>
              <w:rPr>
                <w:rFonts w:ascii="Arial" w:cs="Arial" w:eastAsia="Arial" w:hAnsi="Arial"/>
                <w:sz w:val="13"/>
                <w:szCs w:val="13"/>
                <w:b w:val="1"/>
                <w:bCs w:val="1"/>
                <w:color w:val="auto"/>
              </w:rPr>
              <w:t>(1.9)%</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0"/>
              <w:spacing w:after="0" w:line="115" w:lineRule="exact"/>
              <w:rPr>
                <w:sz w:val="20"/>
                <w:szCs w:val="20"/>
                <w:color w:val="auto"/>
              </w:rPr>
            </w:pPr>
            <w:r>
              <w:rPr>
                <w:rFonts w:ascii="Arial" w:cs="Arial" w:eastAsia="Arial" w:hAnsi="Arial"/>
                <w:sz w:val="13"/>
                <w:szCs w:val="13"/>
                <w:b w:val="1"/>
                <w:bCs w:val="1"/>
                <w:color w:val="auto"/>
              </w:rPr>
              <w:t>(4.5)%</w:t>
            </w: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660" w:type="dxa"/>
            <w:vAlign w:val="bottom"/>
            <w:tcBorders>
              <w:right w:val="single" w:sz="8" w:color="CFF0FC"/>
            </w:tcBorders>
            <w:gridSpan w:val="2"/>
            <w:shd w:val="clear" w:color="auto" w:fill="CFF0FC"/>
          </w:tcPr>
          <w:p>
            <w:pPr>
              <w:jc w:val="right"/>
              <w:ind w:right="120"/>
              <w:spacing w:after="0" w:line="115" w:lineRule="exact"/>
              <w:rPr>
                <w:sz w:val="20"/>
                <w:szCs w:val="20"/>
                <w:color w:val="auto"/>
              </w:rPr>
            </w:pPr>
            <w:r>
              <w:rPr>
                <w:rFonts w:ascii="Arial" w:cs="Arial" w:eastAsia="Arial" w:hAnsi="Arial"/>
                <w:sz w:val="13"/>
                <w:szCs w:val="13"/>
                <w:b w:val="1"/>
                <w:bCs w:val="1"/>
                <w:color w:val="auto"/>
              </w:rPr>
              <w:t>(1.1)%</w:t>
            </w:r>
          </w:p>
        </w:tc>
        <w:tc>
          <w:tcPr>
            <w:tcW w:w="2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0"/>
              <w:spacing w:after="0" w:line="115" w:lineRule="exact"/>
              <w:rPr>
                <w:sz w:val="20"/>
                <w:szCs w:val="20"/>
                <w:color w:val="auto"/>
              </w:rPr>
            </w:pPr>
            <w:r>
              <w:rPr>
                <w:rFonts w:ascii="Arial" w:cs="Arial" w:eastAsia="Arial" w:hAnsi="Arial"/>
                <w:sz w:val="13"/>
                <w:szCs w:val="13"/>
                <w:b w:val="1"/>
                <w:bCs w:val="1"/>
                <w:color w:val="auto"/>
              </w:rPr>
              <w:t>(2.3)%</w:t>
            </w:r>
          </w:p>
        </w:tc>
      </w:tr>
      <w:tr>
        <w:trPr>
          <w:trHeight w:val="314"/>
        </w:trPr>
        <w:tc>
          <w:tcPr>
            <w:tcW w:w="3080" w:type="dxa"/>
            <w:vAlign w:val="bottom"/>
            <w:tcBorders>
              <w:top w:val="single" w:sz="8" w:color="CFF0FC"/>
            </w:tcBorders>
          </w:tcPr>
          <w:p>
            <w:pPr>
              <w:spacing w:after="0"/>
              <w:rPr>
                <w:sz w:val="24"/>
                <w:szCs w:val="24"/>
                <w:color w:val="auto"/>
              </w:rPr>
            </w:pPr>
          </w:p>
        </w:tc>
        <w:tc>
          <w:tcPr>
            <w:tcW w:w="560" w:type="dxa"/>
            <w:vAlign w:val="bottom"/>
            <w:tcBorders>
              <w:top w:val="single" w:sz="8" w:color="CFF0FC"/>
            </w:tcBorders>
          </w:tcPr>
          <w:p>
            <w:pPr>
              <w:spacing w:after="0"/>
              <w:rPr>
                <w:sz w:val="24"/>
                <w:szCs w:val="24"/>
                <w:color w:val="auto"/>
              </w:rPr>
            </w:pPr>
          </w:p>
        </w:tc>
        <w:tc>
          <w:tcPr>
            <w:tcW w:w="940" w:type="dxa"/>
            <w:vAlign w:val="bottom"/>
            <w:tcBorders>
              <w:top w:val="single" w:sz="8" w:color="auto"/>
            </w:tcBorders>
          </w:tcPr>
          <w:p>
            <w:pPr>
              <w:jc w:val="center"/>
              <w:ind w:left="299"/>
              <w:spacing w:after="0"/>
              <w:rPr>
                <w:sz w:val="20"/>
                <w:szCs w:val="20"/>
                <w:color w:val="auto"/>
              </w:rPr>
            </w:pPr>
            <w:r>
              <w:rPr>
                <w:rFonts w:ascii="Arial" w:cs="Arial" w:eastAsia="Arial" w:hAnsi="Arial"/>
                <w:sz w:val="13"/>
                <w:szCs w:val="13"/>
                <w:b w:val="1"/>
                <w:bCs w:val="1"/>
                <w:color w:val="auto"/>
                <w:w w:val="97"/>
              </w:rPr>
              <w:t>Quarter</w:t>
            </w:r>
          </w:p>
        </w:tc>
        <w:tc>
          <w:tcPr>
            <w:tcW w:w="38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7"/>
              </w:rPr>
              <w:t>Quarter</w:t>
            </w:r>
          </w:p>
        </w:tc>
        <w:tc>
          <w:tcPr>
            <w:tcW w:w="1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7"/>
              </w:rPr>
              <w:t>Quarter</w:t>
            </w:r>
          </w:p>
        </w:tc>
        <w:tc>
          <w:tcPr>
            <w:tcW w:w="280" w:type="dxa"/>
            <w:vAlign w:val="bottom"/>
            <w:tcBorders>
              <w:top w:val="single" w:sz="8" w:color="CFF0FC"/>
            </w:tcBorders>
            <w:gridSpan w:val="2"/>
          </w:tcPr>
          <w:p>
            <w:pPr>
              <w:spacing w:after="0"/>
              <w:rPr>
                <w:sz w:val="24"/>
                <w:szCs w:val="24"/>
                <w:color w:val="auto"/>
              </w:rPr>
            </w:pPr>
          </w:p>
        </w:tc>
        <w:tc>
          <w:tcPr>
            <w:tcW w:w="920" w:type="dxa"/>
            <w:vAlign w:val="bottom"/>
            <w:tcBorders>
              <w:top w:val="single" w:sz="8" w:color="auto"/>
            </w:tcBorders>
          </w:tcPr>
          <w:p>
            <w:pPr>
              <w:jc w:val="center"/>
              <w:ind w:left="317"/>
              <w:spacing w:after="0"/>
              <w:rPr>
                <w:sz w:val="20"/>
                <w:szCs w:val="20"/>
                <w:color w:val="auto"/>
              </w:rPr>
            </w:pPr>
            <w:r>
              <w:rPr>
                <w:rFonts w:ascii="Arial" w:cs="Arial" w:eastAsia="Arial" w:hAnsi="Arial"/>
                <w:sz w:val="13"/>
                <w:szCs w:val="13"/>
                <w:b w:val="1"/>
                <w:bCs w:val="1"/>
                <w:color w:val="auto"/>
                <w:w w:val="97"/>
              </w:rPr>
              <w:t>Quarter</w:t>
            </w:r>
          </w:p>
        </w:tc>
        <w:tc>
          <w:tcPr>
            <w:tcW w:w="38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center"/>
              <w:ind w:right="157"/>
              <w:spacing w:after="0"/>
              <w:rPr>
                <w:sz w:val="20"/>
                <w:szCs w:val="20"/>
                <w:color w:val="auto"/>
              </w:rPr>
            </w:pPr>
            <w:r>
              <w:rPr>
                <w:rFonts w:ascii="Arial" w:cs="Arial" w:eastAsia="Arial" w:hAnsi="Arial"/>
                <w:sz w:val="13"/>
                <w:szCs w:val="13"/>
                <w:b w:val="1"/>
                <w:bCs w:val="1"/>
                <w:color w:val="auto"/>
                <w:w w:val="99"/>
              </w:rPr>
              <w:t>Year</w:t>
            </w:r>
          </w:p>
        </w:tc>
        <w:tc>
          <w:tcPr>
            <w:tcW w:w="180" w:type="dxa"/>
            <w:vAlign w:val="bottom"/>
            <w:tcBorders>
              <w:top w:val="single" w:sz="8" w:color="CFF0FC"/>
            </w:tcBorders>
          </w:tcPr>
          <w:p>
            <w:pPr>
              <w:spacing w:after="0"/>
              <w:rPr>
                <w:sz w:val="24"/>
                <w:szCs w:val="24"/>
                <w:color w:val="auto"/>
              </w:rPr>
            </w:pPr>
          </w:p>
        </w:tc>
      </w:tr>
      <w:tr>
        <w:trPr>
          <w:trHeight w:val="162"/>
        </w:trPr>
        <w:tc>
          <w:tcPr>
            <w:tcW w:w="3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tcPr>
          <w:p>
            <w:pPr>
              <w:jc w:val="center"/>
              <w:ind w:left="299"/>
              <w:spacing w:after="0"/>
              <w:rPr>
                <w:sz w:val="20"/>
                <w:szCs w:val="20"/>
                <w:color w:val="auto"/>
              </w:rPr>
            </w:pPr>
            <w:r>
              <w:rPr>
                <w:rFonts w:ascii="Arial" w:cs="Arial" w:eastAsia="Arial" w:hAnsi="Arial"/>
                <w:sz w:val="13"/>
                <w:szCs w:val="13"/>
                <w:b w:val="1"/>
                <w:bCs w:val="1"/>
                <w:color w:val="auto"/>
                <w:w w:val="95"/>
              </w:rPr>
              <w:t>Ended</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5"/>
              </w:rPr>
              <w:t>Ended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tcPr>
          <w:p>
            <w:pPr>
              <w:jc w:val="center"/>
              <w:ind w:right="440"/>
              <w:spacing w:after="0"/>
              <w:rPr>
                <w:sz w:val="20"/>
                <w:szCs w:val="20"/>
                <w:color w:val="auto"/>
              </w:rPr>
            </w:pPr>
            <w:r>
              <w:rPr>
                <w:rFonts w:ascii="Arial" w:cs="Arial" w:eastAsia="Arial" w:hAnsi="Arial"/>
                <w:sz w:val="13"/>
                <w:szCs w:val="13"/>
                <w:b w:val="1"/>
                <w:bCs w:val="1"/>
                <w:color w:val="auto"/>
                <w:w w:val="95"/>
              </w:rPr>
              <w:t>Ended</w:t>
            </w:r>
          </w:p>
        </w:tc>
        <w:tc>
          <w:tcPr>
            <w:tcW w:w="920" w:type="dxa"/>
            <w:vAlign w:val="bottom"/>
          </w:tcPr>
          <w:p>
            <w:pPr>
              <w:jc w:val="center"/>
              <w:ind w:left="317"/>
              <w:spacing w:after="0"/>
              <w:rPr>
                <w:sz w:val="20"/>
                <w:szCs w:val="20"/>
                <w:color w:val="auto"/>
              </w:rPr>
            </w:pPr>
            <w:r>
              <w:rPr>
                <w:rFonts w:ascii="Arial" w:cs="Arial" w:eastAsia="Arial" w:hAnsi="Arial"/>
                <w:sz w:val="13"/>
                <w:szCs w:val="13"/>
                <w:b w:val="1"/>
                <w:bCs w:val="1"/>
                <w:color w:val="auto"/>
                <w:w w:val="95"/>
              </w:rPr>
              <w:t>Ended</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5"/>
              </w:rPr>
              <w:t>Ended</w:t>
            </w:r>
          </w:p>
        </w:tc>
      </w:tr>
      <w:tr>
        <w:trPr>
          <w:trHeight w:val="148"/>
        </w:trPr>
        <w:tc>
          <w:tcPr>
            <w:tcW w:w="3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tcPr>
          <w:p>
            <w:pPr>
              <w:jc w:val="center"/>
              <w:ind w:left="299"/>
              <w:spacing w:after="0"/>
              <w:rPr>
                <w:sz w:val="20"/>
                <w:szCs w:val="20"/>
                <w:color w:val="auto"/>
              </w:rPr>
            </w:pPr>
            <w:r>
              <w:rPr>
                <w:rFonts w:ascii="Arial" w:cs="Arial" w:eastAsia="Arial" w:hAnsi="Arial"/>
                <w:sz w:val="13"/>
                <w:szCs w:val="13"/>
                <w:b w:val="1"/>
                <w:bCs w:val="1"/>
                <w:color w:val="auto"/>
                <w:w w:val="96"/>
              </w:rPr>
              <w:t>July 28,</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7"/>
              </w:rPr>
              <w:t>October 27,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3"/>
          </w:tcPr>
          <w:p>
            <w:pPr>
              <w:jc w:val="center"/>
              <w:ind w:right="440"/>
              <w:spacing w:after="0"/>
              <w:rPr>
                <w:sz w:val="20"/>
                <w:szCs w:val="20"/>
                <w:color w:val="auto"/>
              </w:rPr>
            </w:pPr>
            <w:r>
              <w:rPr>
                <w:rFonts w:ascii="Arial" w:cs="Arial" w:eastAsia="Arial" w:hAnsi="Arial"/>
                <w:sz w:val="13"/>
                <w:szCs w:val="13"/>
                <w:b w:val="1"/>
                <w:bCs w:val="1"/>
                <w:color w:val="auto"/>
                <w:w w:val="97"/>
              </w:rPr>
              <w:t>January 26,</w:t>
            </w:r>
          </w:p>
        </w:tc>
        <w:tc>
          <w:tcPr>
            <w:tcW w:w="920" w:type="dxa"/>
            <w:vAlign w:val="bottom"/>
          </w:tcPr>
          <w:p>
            <w:pPr>
              <w:jc w:val="center"/>
              <w:ind w:left="317"/>
              <w:spacing w:after="0"/>
              <w:rPr>
                <w:sz w:val="20"/>
                <w:szCs w:val="20"/>
                <w:color w:val="auto"/>
              </w:rPr>
            </w:pPr>
            <w:r>
              <w:rPr>
                <w:rFonts w:ascii="Arial" w:cs="Arial" w:eastAsia="Arial" w:hAnsi="Arial"/>
                <w:sz w:val="13"/>
                <w:szCs w:val="13"/>
                <w:b w:val="1"/>
                <w:bCs w:val="1"/>
                <w:color w:val="auto"/>
                <w:w w:val="97"/>
              </w:rPr>
              <w:t>April 27,</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7"/>
              </w:rPr>
              <w:t>April 27,</w:t>
            </w:r>
          </w:p>
        </w:tc>
      </w:tr>
      <w:tr>
        <w:trPr>
          <w:trHeight w:val="153"/>
        </w:trPr>
        <w:tc>
          <w:tcPr>
            <w:tcW w:w="3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40" w:type="dxa"/>
            <w:vAlign w:val="bottom"/>
            <w:tcBorders>
              <w:bottom w:val="single" w:sz="8" w:color="auto"/>
            </w:tcBorders>
          </w:tcPr>
          <w:p>
            <w:pPr>
              <w:jc w:val="center"/>
              <w:ind w:left="319"/>
              <w:spacing w:after="0"/>
              <w:rPr>
                <w:sz w:val="20"/>
                <w:szCs w:val="20"/>
                <w:color w:val="auto"/>
              </w:rPr>
            </w:pPr>
            <w:r>
              <w:rPr>
                <w:rFonts w:ascii="Arial" w:cs="Arial" w:eastAsia="Arial" w:hAnsi="Arial"/>
                <w:sz w:val="13"/>
                <w:szCs w:val="13"/>
                <w:b w:val="1"/>
                <w:bCs w:val="1"/>
                <w:color w:val="auto"/>
                <w:w w:val="96"/>
              </w:rPr>
              <w:t>2024</w:t>
            </w:r>
          </w:p>
        </w:tc>
        <w:tc>
          <w:tcPr>
            <w:tcW w:w="3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96"/>
              </w:rPr>
              <w:t>2024</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96"/>
              </w:rPr>
              <w:t>2025</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bottom w:val="single" w:sz="8" w:color="auto"/>
            </w:tcBorders>
          </w:tcPr>
          <w:p>
            <w:pPr>
              <w:jc w:val="center"/>
              <w:ind w:left="297"/>
              <w:spacing w:after="0"/>
              <w:rPr>
                <w:sz w:val="20"/>
                <w:szCs w:val="20"/>
                <w:color w:val="auto"/>
              </w:rPr>
            </w:pPr>
            <w:r>
              <w:rPr>
                <w:rFonts w:ascii="Arial" w:cs="Arial" w:eastAsia="Arial" w:hAnsi="Arial"/>
                <w:sz w:val="13"/>
                <w:szCs w:val="13"/>
                <w:b w:val="1"/>
                <w:bCs w:val="1"/>
                <w:color w:val="auto"/>
                <w:w w:val="96"/>
              </w:rPr>
              <w:t>2025</w:t>
            </w:r>
          </w:p>
        </w:tc>
        <w:tc>
          <w:tcPr>
            <w:tcW w:w="3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157"/>
              <w:spacing w:after="0"/>
              <w:rPr>
                <w:sz w:val="20"/>
                <w:szCs w:val="20"/>
                <w:color w:val="auto"/>
              </w:rPr>
            </w:pPr>
            <w:r>
              <w:rPr>
                <w:rFonts w:ascii="Arial" w:cs="Arial" w:eastAsia="Arial" w:hAnsi="Arial"/>
                <w:sz w:val="13"/>
                <w:szCs w:val="13"/>
                <w:b w:val="1"/>
                <w:bCs w:val="1"/>
                <w:color w:val="auto"/>
                <w:w w:val="96"/>
              </w:rPr>
              <w:t>2025</w:t>
            </w:r>
          </w:p>
        </w:tc>
        <w:tc>
          <w:tcPr>
            <w:tcW w:w="180" w:type="dxa"/>
            <w:vAlign w:val="bottom"/>
          </w:tcPr>
          <w:p>
            <w:pPr>
              <w:spacing w:after="0"/>
              <w:rPr>
                <w:sz w:val="13"/>
                <w:szCs w:val="13"/>
                <w:color w:val="auto"/>
              </w:rPr>
            </w:pPr>
          </w:p>
        </w:tc>
      </w:tr>
      <w:tr>
        <w:trPr>
          <w:trHeight w:val="155"/>
        </w:trPr>
        <w:tc>
          <w:tcPr>
            <w:tcW w:w="3080" w:type="dxa"/>
            <w:vAlign w:val="bottom"/>
          </w:tcPr>
          <w:p>
            <w:pPr>
              <w:spacing w:after="0"/>
              <w:rPr>
                <w:sz w:val="20"/>
                <w:szCs w:val="20"/>
                <w:color w:val="auto"/>
              </w:rPr>
            </w:pPr>
            <w:r>
              <w:rPr>
                <w:rFonts w:ascii="Arial" w:cs="Arial" w:eastAsia="Arial" w:hAnsi="Arial"/>
                <w:sz w:val="13"/>
                <w:szCs w:val="13"/>
                <w:b w:val="1"/>
                <w:bCs w:val="1"/>
                <w:color w:val="auto"/>
              </w:rPr>
              <w:t>Net loss</w:t>
            </w:r>
          </w:p>
        </w:tc>
        <w:tc>
          <w:tcPr>
            <w:tcW w:w="1500" w:type="dxa"/>
            <w:vAlign w:val="bottom"/>
            <w:gridSpan w:val="2"/>
          </w:tcPr>
          <w:p>
            <w:pPr>
              <w:jc w:val="right"/>
              <w:ind w:right="819"/>
              <w:spacing w:after="0"/>
              <w:rPr>
                <w:sz w:val="20"/>
                <w:szCs w:val="20"/>
                <w:color w:val="auto"/>
              </w:rPr>
            </w:pPr>
            <w:r>
              <w:rPr>
                <w:rFonts w:ascii="Arial" w:cs="Arial" w:eastAsia="Arial" w:hAnsi="Arial"/>
                <w:sz w:val="13"/>
                <w:szCs w:val="13"/>
                <w:b w:val="1"/>
                <w:bCs w:val="1"/>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97"/>
              </w:rPr>
              <w:t>(7,260)</w:t>
            </w:r>
          </w:p>
        </w:tc>
        <w:tc>
          <w:tcPr>
            <w:tcW w:w="100" w:type="dxa"/>
            <w:vAlign w:val="bottom"/>
          </w:tcPr>
          <w:p>
            <w:pPr>
              <w:spacing w:after="0"/>
              <w:rPr>
                <w:sz w:val="13"/>
                <w:szCs w:val="1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12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(5,644)</w:t>
            </w:r>
          </w:p>
        </w:tc>
        <w:tc>
          <w:tcPr>
            <w:tcW w:w="260" w:type="dxa"/>
            <w:vAlign w:val="bottom"/>
            <w:gridSpan w:val="2"/>
          </w:tcPr>
          <w:p>
            <w:pPr>
              <w:jc w:val="right"/>
              <w:ind w:right="17"/>
              <w:spacing w:after="0"/>
              <w:rPr>
                <w:sz w:val="20"/>
                <w:szCs w:val="20"/>
                <w:color w:val="auto"/>
              </w:rPr>
            </w:pPr>
            <w:r>
              <w:rPr>
                <w:rFonts w:ascii="Arial" w:cs="Arial" w:eastAsia="Arial" w:hAnsi="Arial"/>
                <w:sz w:val="13"/>
                <w:szCs w:val="13"/>
                <w:b w:val="1"/>
                <w:bCs w:val="1"/>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(4,126)</w:t>
            </w:r>
          </w:p>
        </w:tc>
        <w:tc>
          <w:tcPr>
            <w:tcW w:w="100" w:type="dxa"/>
            <w:vAlign w:val="bottom"/>
          </w:tcPr>
          <w:p>
            <w:pPr>
              <w:spacing w:after="0"/>
              <w:rPr>
                <w:sz w:val="13"/>
                <w:szCs w:val="13"/>
                <w:color w:val="auto"/>
              </w:rPr>
            </w:pPr>
          </w:p>
        </w:tc>
        <w:tc>
          <w:tcPr>
            <w:tcW w:w="920" w:type="dxa"/>
            <w:vAlign w:val="bottom"/>
          </w:tcPr>
          <w:p>
            <w:pPr>
              <w:jc w:val="right"/>
              <w:ind w:right="777"/>
              <w:spacing w:after="0"/>
              <w:rPr>
                <w:sz w:val="20"/>
                <w:szCs w:val="20"/>
                <w:color w:val="auto"/>
              </w:rPr>
            </w:pPr>
            <w:r>
              <w:rPr>
                <w:rFonts w:ascii="Arial" w:cs="Arial" w:eastAsia="Arial" w:hAnsi="Arial"/>
                <w:sz w:val="13"/>
                <w:szCs w:val="13"/>
                <w:b w:val="1"/>
                <w:bCs w:val="1"/>
                <w:color w:val="auto"/>
                <w:w w:val="82"/>
              </w:rPr>
              <w:t>$</w:t>
            </w:r>
          </w:p>
        </w:tc>
        <w:tc>
          <w:tcPr>
            <w:tcW w:w="6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7"/>
              </w:rPr>
              <w:t>(2,073)</w:t>
            </w:r>
          </w:p>
        </w:tc>
        <w:tc>
          <w:tcPr>
            <w:tcW w:w="220" w:type="dxa"/>
            <w:vAlign w:val="bottom"/>
          </w:tcPr>
          <w:p>
            <w:pPr>
              <w:jc w:val="right"/>
              <w:ind w:right="77"/>
              <w:spacing w:after="0"/>
              <w:rPr>
                <w:sz w:val="20"/>
                <w:szCs w:val="20"/>
                <w:color w:val="auto"/>
              </w:rPr>
            </w:pPr>
            <w:r>
              <w:rPr>
                <w:rFonts w:ascii="Arial" w:cs="Arial" w:eastAsia="Arial" w:hAnsi="Arial"/>
                <w:sz w:val="13"/>
                <w:szCs w:val="13"/>
                <w:b w:val="1"/>
                <w:bCs w:val="1"/>
                <w:color w:val="auto"/>
                <w:w w:val="82"/>
              </w:rPr>
              <w:t>$</w:t>
            </w:r>
          </w:p>
        </w:tc>
        <w:tc>
          <w:tcPr>
            <w:tcW w:w="12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(19,103)</w:t>
            </w:r>
          </w:p>
        </w:tc>
      </w:tr>
      <w:tr>
        <w:trPr>
          <w:trHeight w:val="162"/>
        </w:trPr>
        <w:tc>
          <w:tcPr>
            <w:tcW w:w="30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Income tax expense (benefit)</w:t>
            </w:r>
          </w:p>
        </w:tc>
        <w:tc>
          <w:tcPr>
            <w:tcW w:w="5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239</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b w:val="1"/>
                <w:bCs w:val="1"/>
                <w:color w:val="auto"/>
              </w:rPr>
              <w:t>(50)</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446</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6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3"/>
                <w:szCs w:val="13"/>
                <w:b w:val="1"/>
                <w:bCs w:val="1"/>
                <w:color w:val="auto"/>
              </w:rPr>
              <w:t>(243)</w:t>
            </w: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392</w:t>
            </w:r>
          </w:p>
        </w:tc>
        <w:tc>
          <w:tcPr>
            <w:tcW w:w="180" w:type="dxa"/>
            <w:vAlign w:val="bottom"/>
            <w:shd w:val="clear" w:color="auto" w:fill="CFF0FC"/>
          </w:tcPr>
          <w:p>
            <w:pPr>
              <w:spacing w:after="0"/>
              <w:rPr>
                <w:sz w:val="14"/>
                <w:szCs w:val="14"/>
                <w:color w:val="auto"/>
              </w:rPr>
            </w:pPr>
          </w:p>
        </w:tc>
      </w:tr>
      <w:tr>
        <w:trPr>
          <w:trHeight w:val="162"/>
        </w:trPr>
        <w:tc>
          <w:tcPr>
            <w:tcW w:w="3080" w:type="dxa"/>
            <w:vAlign w:val="bottom"/>
          </w:tcPr>
          <w:p>
            <w:pPr>
              <w:spacing w:after="0"/>
              <w:rPr>
                <w:sz w:val="20"/>
                <w:szCs w:val="20"/>
                <w:color w:val="auto"/>
              </w:rPr>
            </w:pPr>
            <w:r>
              <w:rPr>
                <w:rFonts w:ascii="Arial" w:cs="Arial" w:eastAsia="Arial" w:hAnsi="Arial"/>
                <w:sz w:val="13"/>
                <w:szCs w:val="13"/>
                <w:b w:val="1"/>
                <w:bCs w:val="1"/>
                <w:color w:val="auto"/>
              </w:rPr>
              <w:t>Interest income, net</w:t>
            </w: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(234)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(214)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(192)</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(44)</w:t>
            </w:r>
          </w:p>
        </w:tc>
        <w:tc>
          <w:tcPr>
            <w:tcW w:w="22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(684)</w:t>
            </w:r>
          </w:p>
        </w:tc>
      </w:tr>
      <w:tr>
        <w:trPr>
          <w:trHeight w:val="162"/>
        </w:trPr>
        <w:tc>
          <w:tcPr>
            <w:tcW w:w="30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Depreciation expense</w:t>
            </w:r>
          </w:p>
        </w:tc>
        <w:tc>
          <w:tcPr>
            <w:tcW w:w="5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1,581</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1,496</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1,211</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1,152</w:t>
            </w:r>
          </w:p>
        </w:tc>
        <w:tc>
          <w:tcPr>
            <w:tcW w:w="280" w:type="dxa"/>
            <w:vAlign w:val="bottom"/>
            <w:tcBorders>
              <w:righ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5,440</w:t>
            </w:r>
          </w:p>
        </w:tc>
        <w:tc>
          <w:tcPr>
            <w:tcW w:w="180" w:type="dxa"/>
            <w:vAlign w:val="bottom"/>
            <w:shd w:val="clear" w:color="auto" w:fill="CFF0FC"/>
          </w:tcPr>
          <w:p>
            <w:pPr>
              <w:spacing w:after="0"/>
              <w:rPr>
                <w:sz w:val="14"/>
                <w:szCs w:val="14"/>
                <w:color w:val="auto"/>
              </w:rPr>
            </w:pPr>
          </w:p>
        </w:tc>
      </w:tr>
      <w:tr>
        <w:trPr>
          <w:trHeight w:val="162"/>
        </w:trPr>
        <w:tc>
          <w:tcPr>
            <w:tcW w:w="3080" w:type="dxa"/>
            <w:vAlign w:val="bottom"/>
          </w:tcPr>
          <w:p>
            <w:pPr>
              <w:spacing w:after="0"/>
              <w:rPr>
                <w:sz w:val="20"/>
                <w:szCs w:val="20"/>
                <w:color w:val="auto"/>
              </w:rPr>
            </w:pPr>
            <w:r>
              <w:rPr>
                <w:rFonts w:ascii="Arial" w:cs="Arial" w:eastAsia="Arial" w:hAnsi="Arial"/>
                <w:sz w:val="13"/>
                <w:szCs w:val="13"/>
                <w:b w:val="1"/>
                <w:bCs w:val="1"/>
                <w:color w:val="auto"/>
              </w:rPr>
              <w:t>Amortization expense</w:t>
            </w:r>
          </w:p>
        </w:tc>
        <w:tc>
          <w:tcPr>
            <w:tcW w:w="5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99</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101</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101</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104</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405</w:t>
            </w:r>
          </w:p>
        </w:tc>
        <w:tc>
          <w:tcPr>
            <w:tcW w:w="180" w:type="dxa"/>
            <w:vAlign w:val="bottom"/>
          </w:tcPr>
          <w:p>
            <w:pPr>
              <w:spacing w:after="0"/>
              <w:rPr>
                <w:sz w:val="14"/>
                <w:szCs w:val="14"/>
                <w:color w:val="auto"/>
              </w:rPr>
            </w:pPr>
          </w:p>
        </w:tc>
      </w:tr>
      <w:tr>
        <w:trPr>
          <w:trHeight w:val="155"/>
        </w:trPr>
        <w:tc>
          <w:tcPr>
            <w:tcW w:w="308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EBITDA</w:t>
            </w:r>
          </w:p>
        </w:tc>
        <w:tc>
          <w:tcPr>
            <w:tcW w:w="56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b w:val="1"/>
                <w:bCs w:val="1"/>
                <w:color w:val="auto"/>
                <w:w w:val="97"/>
              </w:rPr>
              <w:t>(5,575)</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b w:val="1"/>
                <w:bCs w:val="1"/>
                <w:color w:val="auto"/>
              </w:rPr>
              <w:t>(4,311)</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b w:val="1"/>
                <w:bCs w:val="1"/>
                <w:color w:val="auto"/>
              </w:rPr>
              <w:t>(2,560)</w:t>
            </w: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6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3"/>
                <w:szCs w:val="13"/>
                <w:b w:val="1"/>
                <w:bCs w:val="1"/>
                <w:color w:val="auto"/>
                <w:w w:val="97"/>
              </w:rPr>
              <w:t>(1,104)</w:t>
            </w:r>
          </w:p>
        </w:tc>
        <w:tc>
          <w:tcPr>
            <w:tcW w:w="22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b w:val="1"/>
                <w:bCs w:val="1"/>
                <w:color w:val="auto"/>
              </w:rPr>
              <w:t>(13,550)</w:t>
            </w:r>
          </w:p>
        </w:tc>
      </w:tr>
      <w:tr>
        <w:trPr>
          <w:trHeight w:val="162"/>
        </w:trPr>
        <w:tc>
          <w:tcPr>
            <w:tcW w:w="3080" w:type="dxa"/>
            <w:vAlign w:val="bottom"/>
          </w:tcPr>
          <w:p>
            <w:pPr>
              <w:spacing w:after="0"/>
              <w:rPr>
                <w:sz w:val="20"/>
                <w:szCs w:val="20"/>
                <w:color w:val="auto"/>
              </w:rPr>
            </w:pPr>
            <w:r>
              <w:rPr>
                <w:rFonts w:ascii="Arial" w:cs="Arial" w:eastAsia="Arial" w:hAnsi="Arial"/>
                <w:sz w:val="13"/>
                <w:szCs w:val="13"/>
                <w:b w:val="1"/>
                <w:bCs w:val="1"/>
                <w:color w:val="auto"/>
              </w:rPr>
              <w:t>Restructuring expense</w:t>
            </w: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b w:val="1"/>
                <w:bCs w:val="1"/>
                <w:color w:val="auto"/>
              </w:rPr>
              <w:t>2,631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2,031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1,655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b w:val="1"/>
                <w:bCs w:val="1"/>
                <w:color w:val="auto"/>
              </w:rPr>
              <w:t>1,422</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7,739</w:t>
            </w:r>
          </w:p>
        </w:tc>
        <w:tc>
          <w:tcPr>
            <w:tcW w:w="180" w:type="dxa"/>
            <w:vAlign w:val="bottom"/>
          </w:tcPr>
          <w:p>
            <w:pPr>
              <w:spacing w:after="0"/>
              <w:rPr>
                <w:sz w:val="14"/>
                <w:szCs w:val="14"/>
                <w:color w:val="auto"/>
              </w:rPr>
            </w:pPr>
          </w:p>
        </w:tc>
      </w:tr>
      <w:tr>
        <w:trPr>
          <w:trHeight w:val="162"/>
        </w:trPr>
        <w:tc>
          <w:tcPr>
            <w:tcW w:w="30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Restructuring related charge</w:t>
            </w:r>
          </w:p>
        </w:tc>
        <w:tc>
          <w:tcPr>
            <w:tcW w:w="5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115</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769</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624</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113</w:t>
            </w:r>
          </w:p>
        </w:tc>
        <w:tc>
          <w:tcPr>
            <w:tcW w:w="280" w:type="dxa"/>
            <w:vAlign w:val="bottom"/>
            <w:tcBorders>
              <w:righ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1,621</w:t>
            </w:r>
          </w:p>
        </w:tc>
        <w:tc>
          <w:tcPr>
            <w:tcW w:w="180" w:type="dxa"/>
            <w:vAlign w:val="bottom"/>
            <w:shd w:val="clear" w:color="auto" w:fill="CFF0FC"/>
          </w:tcPr>
          <w:p>
            <w:pPr>
              <w:spacing w:after="0"/>
              <w:rPr>
                <w:sz w:val="14"/>
                <w:szCs w:val="14"/>
                <w:color w:val="auto"/>
              </w:rPr>
            </w:pPr>
          </w:p>
        </w:tc>
      </w:tr>
      <w:tr>
        <w:trPr>
          <w:trHeight w:val="162"/>
        </w:trPr>
        <w:tc>
          <w:tcPr>
            <w:tcW w:w="3080" w:type="dxa"/>
            <w:vAlign w:val="bottom"/>
          </w:tcPr>
          <w:p>
            <w:pPr>
              <w:spacing w:after="0"/>
              <w:rPr>
                <w:sz w:val="20"/>
                <w:szCs w:val="20"/>
                <w:color w:val="auto"/>
              </w:rPr>
            </w:pPr>
            <w:r>
              <w:rPr>
                <w:rFonts w:ascii="Arial" w:cs="Arial" w:eastAsia="Arial" w:hAnsi="Arial"/>
                <w:sz w:val="13"/>
                <w:szCs w:val="13"/>
                <w:b w:val="1"/>
                <w:bCs w:val="1"/>
                <w:color w:val="auto"/>
              </w:rPr>
              <w:t>Stock based compensation</w:t>
            </w: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b w:val="1"/>
                <w:bCs w:val="1"/>
                <w:color w:val="auto"/>
              </w:rPr>
              <w:t>176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188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158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b w:val="1"/>
                <w:bCs w:val="1"/>
                <w:color w:val="auto"/>
              </w:rPr>
              <w:t>128</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650</w:t>
            </w:r>
          </w:p>
        </w:tc>
        <w:tc>
          <w:tcPr>
            <w:tcW w:w="180" w:type="dxa"/>
            <w:vAlign w:val="bottom"/>
          </w:tcPr>
          <w:p>
            <w:pPr>
              <w:spacing w:after="0"/>
              <w:rPr>
                <w:sz w:val="14"/>
                <w:szCs w:val="14"/>
                <w:color w:val="auto"/>
              </w:rPr>
            </w:pPr>
          </w:p>
        </w:tc>
      </w:tr>
      <w:tr>
        <w:trPr>
          <w:trHeight w:val="162"/>
        </w:trPr>
        <w:tc>
          <w:tcPr>
            <w:tcW w:w="30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Foreign currency exchange loss (gain) (1)</w:t>
            </w:r>
          </w:p>
        </w:tc>
        <w:tc>
          <w:tcPr>
            <w:tcW w:w="5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45</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192</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b w:val="1"/>
                <w:bCs w:val="1"/>
                <w:color w:val="auto"/>
              </w:rPr>
              <w:t>(334)</w:t>
            </w: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6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3"/>
                <w:szCs w:val="13"/>
                <w:b w:val="1"/>
                <w:bCs w:val="1"/>
                <w:color w:val="auto"/>
              </w:rPr>
              <w:t>(48)</w:t>
            </w:r>
          </w:p>
        </w:tc>
        <w:tc>
          <w:tcPr>
            <w:tcW w:w="2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b w:val="1"/>
                <w:bCs w:val="1"/>
                <w:color w:val="auto"/>
              </w:rPr>
              <w:t>(145)</w:t>
            </w:r>
          </w:p>
        </w:tc>
      </w:tr>
      <w:tr>
        <w:trPr>
          <w:trHeight w:val="155"/>
        </w:trPr>
        <w:tc>
          <w:tcPr>
            <w:tcW w:w="3080" w:type="dxa"/>
            <w:vAlign w:val="bottom"/>
            <w:tcBorders>
              <w:top w:val="single" w:sz="8" w:color="CFF0FC"/>
              <w:bottom w:val="single" w:sz="8" w:color="CFF0FC"/>
            </w:tcBorders>
          </w:tcPr>
          <w:p>
            <w:pPr>
              <w:ind w:left="120"/>
              <w:spacing w:after="0"/>
              <w:rPr>
                <w:sz w:val="20"/>
                <w:szCs w:val="20"/>
                <w:color w:val="auto"/>
              </w:rPr>
            </w:pPr>
            <w:r>
              <w:rPr>
                <w:rFonts w:ascii="Arial" w:cs="Arial" w:eastAsia="Arial" w:hAnsi="Arial"/>
                <w:sz w:val="13"/>
                <w:szCs w:val="13"/>
                <w:b w:val="1"/>
                <w:bCs w:val="1"/>
                <w:color w:val="auto"/>
              </w:rPr>
              <w:t>Adjusted EBITDA</w:t>
            </w:r>
          </w:p>
        </w:tc>
        <w:tc>
          <w:tcPr>
            <w:tcW w:w="560" w:type="dxa"/>
            <w:vAlign w:val="bottom"/>
            <w:tcBorders>
              <w:top w:val="single" w:sz="8" w:color="CFF0FC"/>
              <w:bottom w:val="single" w:sz="8" w:color="CFF0FC"/>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0"/>
                <w:szCs w:val="10"/>
                <w:b w:val="1"/>
                <w:bCs w:val="1"/>
                <w:color w:val="auto"/>
                <w:w w:val="71"/>
              </w:rPr>
              <w:t>$</w:t>
            </w: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87"/>
              </w:rPr>
              <w:t>(2,608)</w:t>
            </w:r>
          </w:p>
        </w:tc>
        <w:tc>
          <w:tcPr>
            <w:tcW w:w="180" w:type="dxa"/>
            <w:vAlign w:val="bottom"/>
            <w:tcBorders>
              <w:top w:val="single" w:sz="8" w:color="CFF0FC"/>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3"/>
                <w:szCs w:val="13"/>
                <w:b w:val="1"/>
                <w:bCs w:val="1"/>
                <w:color w:val="auto"/>
                <w:w w:val="82"/>
              </w:rPr>
              <w:t>$</w:t>
            </w: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(1,131)</w:t>
            </w:r>
          </w:p>
        </w:tc>
        <w:tc>
          <w:tcPr>
            <w:tcW w:w="180" w:type="dxa"/>
            <w:vAlign w:val="bottom"/>
            <w:tcBorders>
              <w:top w:val="single" w:sz="8" w:color="CFF0FC"/>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gridSpan w:val="2"/>
          </w:tcPr>
          <w:p>
            <w:pPr>
              <w:jc w:val="right"/>
              <w:ind w:right="17"/>
              <w:spacing w:after="0" w:line="142" w:lineRule="exact"/>
              <w:rPr>
                <w:sz w:val="20"/>
                <w:szCs w:val="20"/>
                <w:color w:val="auto"/>
              </w:rPr>
            </w:pPr>
            <w:r>
              <w:rPr>
                <w:rFonts w:ascii="Arial" w:cs="Arial" w:eastAsia="Arial" w:hAnsi="Arial"/>
                <w:sz w:val="13"/>
                <w:szCs w:val="13"/>
                <w:b w:val="1"/>
                <w:bCs w:val="1"/>
                <w:color w:val="auto"/>
              </w:rPr>
              <w:t>$</w:t>
            </w: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(457)</w:t>
            </w:r>
          </w:p>
        </w:tc>
        <w:tc>
          <w:tcPr>
            <w:tcW w:w="180" w:type="dxa"/>
            <w:vAlign w:val="bottom"/>
            <w:tcBorders>
              <w:top w:val="single" w:sz="8" w:color="CFF0FC"/>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777"/>
              <w:spacing w:after="0" w:line="142" w:lineRule="exact"/>
              <w:rPr>
                <w:sz w:val="20"/>
                <w:szCs w:val="20"/>
                <w:color w:val="auto"/>
              </w:rPr>
            </w:pPr>
            <w:r>
              <w:rPr>
                <w:rFonts w:ascii="Arial" w:cs="Arial" w:eastAsia="Arial" w:hAnsi="Arial"/>
                <w:sz w:val="13"/>
                <w:szCs w:val="13"/>
                <w:b w:val="1"/>
                <w:bCs w:val="1"/>
                <w:color w:val="auto"/>
                <w:w w:val="82"/>
              </w:rPr>
              <w:t>$</w:t>
            </w: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511</w:t>
            </w:r>
          </w:p>
        </w:tc>
        <w:tc>
          <w:tcPr>
            <w:tcW w:w="280" w:type="dxa"/>
            <w:vAlign w:val="bottom"/>
            <w:tcBorders>
              <w:top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3"/>
                <w:szCs w:val="13"/>
                <w:b w:val="1"/>
                <w:bCs w:val="1"/>
                <w:color w:val="auto"/>
                <w:w w:val="82"/>
              </w:rPr>
              <w:t>$</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(3,685)</w:t>
            </w:r>
          </w:p>
        </w:tc>
        <w:tc>
          <w:tcPr>
            <w:tcW w:w="180" w:type="dxa"/>
            <w:vAlign w:val="bottom"/>
            <w:tcBorders>
              <w:top w:val="single" w:sz="8" w:color="CFF0FC"/>
              <w:bottom w:val="single" w:sz="8" w:color="CFF0FC"/>
            </w:tcBorders>
          </w:tcPr>
          <w:p>
            <w:pPr>
              <w:spacing w:after="0"/>
              <w:rPr>
                <w:sz w:val="13"/>
                <w:szCs w:val="13"/>
                <w:color w:val="auto"/>
              </w:rPr>
            </w:pPr>
          </w:p>
        </w:tc>
      </w:tr>
      <w:tr>
        <w:trPr>
          <w:trHeight w:val="20"/>
        </w:trPr>
        <w:tc>
          <w:tcPr>
            <w:tcW w:w="3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3"/>
        </w:trPr>
        <w:tc>
          <w:tcPr>
            <w:tcW w:w="3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02"/>
        </w:trPr>
        <w:tc>
          <w:tcPr>
            <w:tcW w:w="30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 Net Sales</w:t>
            </w:r>
          </w:p>
        </w:tc>
        <w:tc>
          <w:tcPr>
            <w:tcW w:w="5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20"/>
              <w:spacing w:after="0" w:line="142" w:lineRule="exact"/>
              <w:rPr>
                <w:sz w:val="20"/>
                <w:szCs w:val="20"/>
                <w:color w:val="auto"/>
              </w:rPr>
            </w:pPr>
            <w:r>
              <w:rPr>
                <w:rFonts w:ascii="Arial" w:cs="Arial" w:eastAsia="Arial" w:hAnsi="Arial"/>
                <w:sz w:val="13"/>
                <w:szCs w:val="13"/>
                <w:b w:val="1"/>
                <w:bCs w:val="1"/>
                <w:color w:val="auto"/>
              </w:rPr>
              <w:t>(4.6)%</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0"/>
              <w:spacing w:after="0" w:line="142" w:lineRule="exact"/>
              <w:rPr>
                <w:sz w:val="20"/>
                <w:szCs w:val="20"/>
                <w:color w:val="auto"/>
              </w:rPr>
            </w:pPr>
            <w:r>
              <w:rPr>
                <w:rFonts w:ascii="Arial" w:cs="Arial" w:eastAsia="Arial" w:hAnsi="Arial"/>
                <w:sz w:val="13"/>
                <w:szCs w:val="13"/>
                <w:b w:val="1"/>
                <w:bCs w:val="1"/>
                <w:color w:val="auto"/>
              </w:rPr>
              <w:t>(2.0)%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0"/>
              <w:spacing w:after="0" w:line="142" w:lineRule="exact"/>
              <w:rPr>
                <w:sz w:val="20"/>
                <w:szCs w:val="20"/>
                <w:color w:val="auto"/>
              </w:rPr>
            </w:pPr>
            <w:r>
              <w:rPr>
                <w:rFonts w:ascii="Arial" w:cs="Arial" w:eastAsia="Arial" w:hAnsi="Arial"/>
                <w:sz w:val="13"/>
                <w:szCs w:val="13"/>
                <w:b w:val="1"/>
                <w:bCs w:val="1"/>
                <w:color w:val="auto"/>
              </w:rPr>
              <w:t>(0.9)%</w:t>
            </w: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60" w:type="dxa"/>
            <w:vAlign w:val="bottom"/>
            <w:tcBorders>
              <w:right w:val="single" w:sz="8" w:color="CFF0FC"/>
            </w:tcBorders>
            <w:gridSpan w:val="2"/>
            <w:shd w:val="clear" w:color="auto" w:fill="CFF0FC"/>
          </w:tcPr>
          <w:p>
            <w:pPr>
              <w:jc w:val="right"/>
              <w:ind w:right="160"/>
              <w:spacing w:after="0" w:line="142" w:lineRule="exact"/>
              <w:rPr>
                <w:sz w:val="20"/>
                <w:szCs w:val="20"/>
                <w:color w:val="auto"/>
              </w:rPr>
            </w:pPr>
            <w:r>
              <w:rPr>
                <w:rFonts w:ascii="Arial" w:cs="Arial" w:eastAsia="Arial" w:hAnsi="Arial"/>
                <w:sz w:val="13"/>
                <w:szCs w:val="13"/>
                <w:b w:val="1"/>
                <w:bCs w:val="1"/>
                <w:color w:val="auto"/>
              </w:rPr>
              <w:t>1.0%</w:t>
            </w:r>
          </w:p>
        </w:tc>
        <w:tc>
          <w:tcPr>
            <w:tcW w:w="2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0"/>
              <w:spacing w:after="0" w:line="142" w:lineRule="exact"/>
              <w:rPr>
                <w:sz w:val="20"/>
                <w:szCs w:val="20"/>
                <w:color w:val="auto"/>
              </w:rPr>
            </w:pPr>
            <w:r>
              <w:rPr>
                <w:rFonts w:ascii="Arial" w:cs="Arial" w:eastAsia="Arial" w:hAnsi="Arial"/>
                <w:sz w:val="13"/>
                <w:szCs w:val="13"/>
                <w:b w:val="1"/>
                <w:bCs w:val="1"/>
                <w:color w:val="auto"/>
              </w:rPr>
              <w:t>(1.7)%</w:t>
            </w:r>
          </w:p>
        </w:tc>
      </w:tr>
      <w:tr>
        <w:trPr>
          <w:trHeight w:val="143"/>
        </w:trPr>
        <w:tc>
          <w:tcPr>
            <w:tcW w:w="3080" w:type="dxa"/>
            <w:vAlign w:val="bottom"/>
            <w:tcBorders>
              <w:top w:val="single" w:sz="8" w:color="CFF0FC"/>
            </w:tcBorders>
          </w:tcPr>
          <w:p>
            <w:pPr>
              <w:spacing w:after="0"/>
              <w:rPr>
                <w:sz w:val="12"/>
                <w:szCs w:val="12"/>
                <w:color w:val="auto"/>
              </w:rPr>
            </w:pPr>
          </w:p>
        </w:tc>
        <w:tc>
          <w:tcPr>
            <w:tcW w:w="560" w:type="dxa"/>
            <w:vAlign w:val="bottom"/>
            <w:tcBorders>
              <w:top w:val="single" w:sz="8" w:color="CFF0FC"/>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80" w:type="dxa"/>
            <w:vAlign w:val="bottom"/>
            <w:tcBorders>
              <w:top w:val="single" w:sz="8" w:color="CFF0F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r>
      <w:tr>
        <w:trPr>
          <w:trHeight w:val="236"/>
        </w:trPr>
        <w:tc>
          <w:tcPr>
            <w:tcW w:w="30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 Over (Under)</w:t>
            </w:r>
          </w:p>
        </w:tc>
        <w:tc>
          <w:tcPr>
            <w:tcW w:w="5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b w:val="1"/>
                <w:bCs w:val="1"/>
                <w:color w:val="auto"/>
              </w:rPr>
              <w:t>(64.0)%</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b w:val="1"/>
                <w:bCs w:val="1"/>
                <w:color w:val="auto"/>
              </w:rPr>
              <w:t>(12.3)%</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b w:val="1"/>
                <w:bCs w:val="1"/>
                <w:color w:val="auto"/>
              </w:rPr>
              <w:t>377.0%</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b w:val="1"/>
                <w:bCs w:val="1"/>
                <w:color w:val="auto"/>
                <w:w w:val="98"/>
              </w:rPr>
              <w:t>(209.6)%</w:t>
            </w:r>
          </w:p>
        </w:tc>
        <w:tc>
          <w:tcPr>
            <w:tcW w:w="2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b w:val="1"/>
                <w:bCs w:val="1"/>
                <w:color w:val="auto"/>
              </w:rPr>
              <w:t>26.8%</w:t>
            </w:r>
          </w:p>
        </w:tc>
      </w:tr>
      <w:tr>
        <w:trPr>
          <w:trHeight w:val="20"/>
        </w:trPr>
        <w:tc>
          <w:tcPr>
            <w:tcW w:w="308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-3145790</wp:posOffset>
            </wp:positionV>
            <wp:extent cx="11112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-3145790</wp:posOffset>
            </wp:positionV>
            <wp:extent cx="11112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-3145790</wp:posOffset>
            </wp:positionV>
            <wp:extent cx="1111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-3145790</wp:posOffset>
            </wp:positionV>
            <wp:extent cx="1111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-3145790</wp:posOffset>
            </wp:positionV>
            <wp:extent cx="11176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-2519680</wp:posOffset>
            </wp:positionV>
            <wp:extent cx="1111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-2519680</wp:posOffset>
            </wp:positionV>
            <wp:extent cx="1111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-2519680</wp:posOffset>
            </wp:positionV>
            <wp:extent cx="1111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-2519680</wp:posOffset>
            </wp:positionV>
            <wp:extent cx="1111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-2519680</wp:posOffset>
            </wp:positionV>
            <wp:extent cx="1117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-2211070</wp:posOffset>
            </wp:positionV>
            <wp:extent cx="1111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-2193925</wp:posOffset>
            </wp:positionV>
            <wp:extent cx="11112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-2211070</wp:posOffset>
            </wp:positionV>
            <wp:extent cx="1111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-2193925</wp:posOffset>
            </wp:positionV>
            <wp:extent cx="11112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-2211070</wp:posOffset>
            </wp:positionV>
            <wp:extent cx="1111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-2193925</wp:posOffset>
            </wp:positionV>
            <wp:extent cx="11112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-2211070</wp:posOffset>
            </wp:positionV>
            <wp:extent cx="1111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-2193925</wp:posOffset>
            </wp:positionV>
            <wp:extent cx="11112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-2211070</wp:posOffset>
            </wp:positionV>
            <wp:extent cx="1117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-2193925</wp:posOffset>
            </wp:positionV>
            <wp:extent cx="11176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-633730</wp:posOffset>
            </wp:positionV>
            <wp:extent cx="11112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-633730</wp:posOffset>
            </wp:positionV>
            <wp:extent cx="11112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-633730</wp:posOffset>
            </wp:positionV>
            <wp:extent cx="11112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-633730</wp:posOffset>
            </wp:positionV>
            <wp:extent cx="11112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-633730</wp:posOffset>
            </wp:positionV>
            <wp:extent cx="11176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-290830</wp:posOffset>
            </wp:positionV>
            <wp:extent cx="11112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-273685</wp:posOffset>
            </wp:positionV>
            <wp:extent cx="1111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-290830</wp:posOffset>
            </wp:positionV>
            <wp:extent cx="11112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-273685</wp:posOffset>
            </wp:positionV>
            <wp:extent cx="1111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-290830</wp:posOffset>
            </wp:positionV>
            <wp:extent cx="11112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-273685</wp:posOffset>
            </wp:positionV>
            <wp:extent cx="1111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-290830</wp:posOffset>
            </wp:positionV>
            <wp:extent cx="11112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-273685</wp:posOffset>
            </wp:positionV>
            <wp:extent cx="1111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-290830</wp:posOffset>
            </wp:positionV>
            <wp:extent cx="11176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-273685</wp:posOffset>
            </wp:positionV>
            <wp:extent cx="1117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-24765</wp:posOffset>
            </wp:positionV>
            <wp:extent cx="1111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-8255</wp:posOffset>
            </wp:positionV>
            <wp:extent cx="11112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-24765</wp:posOffset>
            </wp:positionV>
            <wp:extent cx="1111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-8255</wp:posOffset>
            </wp:positionV>
            <wp:extent cx="11112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-24765</wp:posOffset>
            </wp:positionV>
            <wp:extent cx="1111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-8255</wp:posOffset>
            </wp:positionV>
            <wp:extent cx="11112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1111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11112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1117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-8255</wp:posOffset>
            </wp:positionV>
            <wp:extent cx="11176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4" w:lineRule="exact"/>
        <w:rPr>
          <w:sz w:val="20"/>
          <w:szCs w:val="20"/>
          <w:color w:val="auto"/>
        </w:rPr>
      </w:pPr>
    </w:p>
    <w:p>
      <w:pPr>
        <w:ind w:left="300" w:hanging="292"/>
        <w:spacing w:after="0" w:line="250" w:lineRule="auto"/>
        <w:tabs>
          <w:tab w:leader="none" w:pos="237" w:val="left"/>
        </w:tabs>
        <w:numPr>
          <w:ilvl w:val="0"/>
          <w:numId w:val="18"/>
        </w:numPr>
        <w:rPr>
          <w:rFonts w:ascii="Arial" w:cs="Arial" w:eastAsia="Arial" w:hAnsi="Arial"/>
          <w:sz w:val="15"/>
          <w:szCs w:val="15"/>
          <w:color w:val="404040"/>
        </w:rPr>
      </w:pPr>
      <w:r>
        <w:rPr>
          <w:rFonts w:ascii="Arial" w:cs="Arial" w:eastAsia="Arial" w:hAnsi="Arial"/>
          <w:sz w:val="15"/>
          <w:szCs w:val="15"/>
          <w:color w:val="404040"/>
        </w:rPr>
        <w:t>Represents non-cash foreign currency exchange loss (gain) related to the remeasurement of assets and liabilities denominated in currencies other than the U.S. dollar. Beginning in the quarter ended November 2, 2025, we modified our presentation of adjusted EBITDA to exclude this measure. We believe this change enhances investor insight into our operational performance by excluding the non-cash impact of changes in foreign currency exchange rates. In order to facilitate comparisons among periods, we have applied this modified definition of Adjusted EBITDA to all periods presented.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 w:name="page20"/>
    <w:bookmarkEnd w:id="1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104"/>
    </w:lvl>
  </w:abstractNum>
  <w:abstractNum w:abstractNumId="2">
    <w:nsid w:val="216231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1F16E9E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
    <w:nsid w:val="1190CDE7"/>
    <w:multiLevelType w:val="hybridMultilevel"/>
    <w:lvl w:ilvl="0">
      <w:lvlJc w:val="left"/>
      <w:lvlText w:val="•"/>
      <w:numFmt w:val="bullet"/>
      <w:start w:val="1"/>
    </w:lvl>
    <w:lvl w:ilvl="1">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lvl w:ilvl="1">
      <w:lvlJc w:val="left"/>
      <w:lvlText w:val="▪"/>
      <w:numFmt w:val="bullet"/>
      <w:start w:val="1"/>
    </w:lvl>
  </w:abstractNum>
  <w:abstractNum w:abstractNumId="8">
    <w:nsid w:val="109CF92E"/>
    <w:multiLevelType w:val="hybridMultilevel"/>
    <w:lvl w:ilvl="0">
      <w:lvlJc w:val="left"/>
      <w:lvlText w:val="▪"/>
      <w:numFmt w:val="bullet"/>
      <w:start w:val="1"/>
    </w:lvl>
    <w:lvl w:ilvl="1">
      <w:lvlJc w:val="left"/>
      <w:lvlText w:val="▪"/>
      <w:numFmt w:val="bullet"/>
      <w:start w:val="1"/>
    </w:lvl>
  </w:abstractNum>
  <w:abstractNum w:abstractNumId="9">
    <w:nsid w:val="DED7263"/>
    <w:multiLevelType w:val="hybridMultilevel"/>
    <w:lvl w:ilvl="0">
      <w:lvlJc w:val="left"/>
      <w:lvlText w:val="(%1)"/>
      <w:numFmt w:val="decimal"/>
      <w:start w:val="336"/>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2026-07-01T15:46:01Z</dcterms:created>
  <dcterms:modified xsi:type="dcterms:W3CDTF">2026-07-01T15:46:01Z</dcterms:modified>
</cp:coreProperties>
</file>