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Gatling Kimberly Bullock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1823 EASTCHESTER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HIGH POINT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27265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CULP INC</w:t>
              </w:r>
            </w:hyperlink>
            <w:r>
              <w:rPr/>
              <w:t xml:space="preserve"> [ </w:t>
            </w:r>
            <w:r>
              <w:rPr>
                <w:rFonts w:ascii="Times;serif" w:hAnsi="Times;serif"/>
                <w:color w:val="0000FF"/>
                <w:sz w:val="24"/>
                <w:shd w:fill="FFFFFF" w:val="clear"/>
              </w:rPr>
              <w:t>CULP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13,190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62,592</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8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71"/>
        <w:gridCol w:w="906"/>
        <w:gridCol w:w="801"/>
        <w:gridCol w:w="891"/>
        <w:gridCol w:w="801"/>
        <w:gridCol w:w="801"/>
        <w:gridCol w:w="936"/>
        <w:gridCol w:w="831"/>
        <w:gridCol w:w="846"/>
      </w:tblGrid>
      <w:tr>
        <w:trPr>
          <w:tblHeader w:val="true"/>
        </w:trPr>
        <w:tc>
          <w:tcPr>
            <w:tcW w:w="126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13,190</w:t>
            </w:r>
            <w:r>
              <w:rPr>
                <w:rFonts w:ascii="Times;serif" w:hAnsi="Times;serif"/>
                <w:color w:val="008000"/>
                <w:position w:val="7"/>
                <w:sz w:val="16"/>
                <w:sz w:val="20"/>
                <w:shd w:fill="FFFFFF" w:val="clear"/>
              </w:rPr>
              <w:t>(2)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13,190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w:t>
            </w:r>
            <w:r>
              <w:rPr>
                <w:rFonts w:ascii="Times;serif" w:hAnsi="Times;serif"/>
                <w:color w:val="008000"/>
                <w:position w:val="7"/>
                <w:sz w:val="16"/>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12,941</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12,941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12,941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Contingent right to receive issuance of Culp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Previously reported as 13,064 due to clerical error in Form 4 filed with the SEC on September 25,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restricted stock units represent the right to receive 13,190 shares of Culp, Inc. common stock based on the reporting person remaining a director through the date that is the earlier of (i) the one-year anniversary of the date of the grant, or (ii) the next annual meeting of shareholders of the Issuer which is at least 50 weeks after the immediately preceding year's annual meeting.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holds no more restricted stock units with a vesting date of the Issuer's September 23, 2026, annual meeting of shareholders.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restricted stock units represent the right to receive 12,941 shares of Culp, Inc. common stock based on the reporting person remaining a director through the date that is the earlier of (i) the one-year anniversary of the date of the grant, or (ii) the next annual meeting of shareholders of the Issuer which is at least 50 weeks after the Issuer's September 23, 2026, annual meeting of shareholders.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Justin M. Grow,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6608" TargetMode="External"/><Relationship Id="rId5" Type="http://schemas.openxmlformats.org/officeDocument/2006/relationships/hyperlink" Target="http://www.sec.gov/cgi-bin/browse-edgar?action=getcompany&amp;CIK=00007236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782</Words>
  <Characters>4130</Characters>
  <CharactersWithSpaces>4818</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