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line="238" w:lineRule="auto"/>
        <w:rPr>
          <w:sz w:val="20"/>
          <w:szCs w:val="20"/>
          <w:color w:val="auto"/>
        </w:rPr>
      </w:pPr>
      <w:r>
        <w:rPr>
          <w:rFonts w:ascii="Arial" w:cs="Arial" w:eastAsia="Arial" w:hAnsi="Arial"/>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QUARTERLY REPORT PURSUANT TO SECTION 13 OR 15(d)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August 1,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No. 1-12597</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CULP,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jc w:val="center"/>
              <w:ind w:left="635"/>
              <w:spacing w:after="0"/>
              <w:rPr>
                <w:sz w:val="20"/>
                <w:szCs w:val="20"/>
                <w:color w:val="auto"/>
              </w:rPr>
            </w:pPr>
            <w:r>
              <w:rPr>
                <w:rFonts w:ascii="Arial" w:cs="Arial" w:eastAsia="Arial" w:hAnsi="Arial"/>
                <w:sz w:val="16"/>
                <w:szCs w:val="16"/>
                <w:b w:val="1"/>
                <w:bCs w:val="1"/>
                <w:color w:val="auto"/>
              </w:rPr>
              <w:t>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56-1001967</w:t>
            </w:r>
          </w:p>
        </w:tc>
      </w:tr>
      <w:tr>
        <w:trPr>
          <w:trHeight w:val="203"/>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(State or other jurisdiction of</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(I.R.S. Employer</w:t>
            </w:r>
          </w:p>
        </w:tc>
      </w:tr>
      <w:tr>
        <w:trPr>
          <w:trHeight w:val="206"/>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incorporation or other organization)</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7"/>
              </w:rPr>
              <w:t>Identification No.)</w:t>
            </w:r>
          </w:p>
        </w:tc>
      </w:tr>
      <w:tr>
        <w:trPr>
          <w:trHeight w:val="343"/>
        </w:trPr>
        <w:tc>
          <w:tcPr>
            <w:tcW w:w="4920" w:type="dxa"/>
            <w:vAlign w:val="bottom"/>
            <w:gridSpan w:val="3"/>
          </w:tcPr>
          <w:p>
            <w:pPr>
              <w:jc w:val="center"/>
              <w:ind w:left="635"/>
              <w:spacing w:after="0"/>
              <w:rPr>
                <w:sz w:val="20"/>
                <w:szCs w:val="20"/>
                <w:color w:val="auto"/>
              </w:rPr>
            </w:pPr>
            <w:r>
              <w:rPr>
                <w:rFonts w:ascii="Arial" w:cs="Arial" w:eastAsia="Arial" w:hAnsi="Arial"/>
                <w:sz w:val="16"/>
                <w:szCs w:val="16"/>
                <w:b w:val="1"/>
                <w:bCs w:val="1"/>
                <w:color w:val="auto"/>
                <w:w w:val="91"/>
              </w:rPr>
              <w:t>1823 Eastchester Drive</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7"/>
        </w:trPr>
        <w:tc>
          <w:tcPr>
            <w:tcW w:w="4920" w:type="dxa"/>
            <w:vAlign w:val="bottom"/>
            <w:gridSpan w:val="3"/>
          </w:tcPr>
          <w:p>
            <w:pPr>
              <w:jc w:val="center"/>
              <w:ind w:left="615"/>
              <w:spacing w:after="0"/>
              <w:rPr>
                <w:sz w:val="20"/>
                <w:szCs w:val="20"/>
                <w:color w:val="auto"/>
              </w:rPr>
            </w:pPr>
            <w:r>
              <w:rPr>
                <w:rFonts w:ascii="Arial" w:cs="Arial" w:eastAsia="Arial" w:hAnsi="Arial"/>
                <w:sz w:val="16"/>
                <w:szCs w:val="16"/>
                <w:b w:val="1"/>
                <w:bCs w:val="1"/>
                <w:color w:val="auto"/>
                <w:w w:val="94"/>
              </w:rPr>
              <w:t>High Point, 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27265-1402</w:t>
            </w:r>
          </w:p>
        </w:tc>
      </w:tr>
      <w:tr>
        <w:trPr>
          <w:trHeight w:val="206"/>
        </w:trPr>
        <w:tc>
          <w:tcPr>
            <w:tcW w:w="4920" w:type="dxa"/>
            <w:vAlign w:val="bottom"/>
            <w:gridSpan w:val="3"/>
          </w:tcPr>
          <w:p>
            <w:pPr>
              <w:jc w:val="center"/>
              <w:ind w:left="635"/>
              <w:spacing w:after="0"/>
              <w:rPr>
                <w:sz w:val="20"/>
                <w:szCs w:val="20"/>
                <w:color w:val="auto"/>
              </w:rPr>
            </w:pPr>
            <w:r>
              <w:rPr>
                <w:rFonts w:ascii="Arial" w:cs="Arial" w:eastAsia="Arial" w:hAnsi="Arial"/>
                <w:sz w:val="16"/>
                <w:szCs w:val="16"/>
                <w:color w:val="auto"/>
                <w:w w:val="93"/>
              </w:rPr>
              <w:t>(Address of principal executive offices)</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(zip code)</w:t>
            </w:r>
          </w:p>
        </w:tc>
      </w:tr>
      <w:tr>
        <w:trPr>
          <w:trHeight w:val="36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jc w:val="center"/>
              <w:ind w:right="1073"/>
              <w:spacing w:after="0"/>
              <w:rPr>
                <w:sz w:val="20"/>
                <w:szCs w:val="20"/>
                <w:color w:val="auto"/>
              </w:rPr>
            </w:pPr>
            <w:r>
              <w:rPr>
                <w:rFonts w:ascii="Arial" w:cs="Arial" w:eastAsia="Arial" w:hAnsi="Arial"/>
                <w:sz w:val="20"/>
                <w:szCs w:val="20"/>
                <w:b w:val="1"/>
                <w:bCs w:val="1"/>
                <w:color w:val="auto"/>
                <w:w w:val="90"/>
              </w:rPr>
              <w:t>(336) 889-5161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0"/>
        </w:trPr>
        <w:tc>
          <w:tcPr>
            <w:tcW w:w="7760" w:type="dxa"/>
            <w:vAlign w:val="bottom"/>
            <w:gridSpan w:val="6"/>
          </w:tcPr>
          <w:p>
            <w:pPr>
              <w:jc w:val="center"/>
              <w:ind w:left="3395"/>
              <w:spacing w:after="0"/>
              <w:rPr>
                <w:sz w:val="20"/>
                <w:szCs w:val="20"/>
                <w:color w:val="auto"/>
              </w:rPr>
            </w:pPr>
            <w:r>
              <w:rPr>
                <w:rFonts w:ascii="Arial" w:cs="Arial" w:eastAsia="Arial" w:hAnsi="Arial"/>
                <w:sz w:val="20"/>
                <w:szCs w:val="20"/>
                <w:color w:val="auto"/>
                <w:w w:val="88"/>
              </w:rPr>
              <w:t>(Registrant's telephone number, including area code)</w:t>
            </w:r>
          </w:p>
        </w:tc>
        <w:tc>
          <w:tcPr>
            <w:tcW w:w="3480" w:type="dxa"/>
            <w:vAlign w:val="bottom"/>
          </w:tcPr>
          <w:p>
            <w:pPr>
              <w:spacing w:after="0"/>
              <w:rPr>
                <w:sz w:val="21"/>
                <w:szCs w:val="21"/>
                <w:color w:val="auto"/>
              </w:rPr>
            </w:pPr>
          </w:p>
        </w:tc>
      </w:tr>
      <w:tr>
        <w:trPr>
          <w:trHeight w:val="378"/>
        </w:trPr>
        <w:tc>
          <w:tcPr>
            <w:tcW w:w="4920" w:type="dxa"/>
            <w:vAlign w:val="bottom"/>
            <w:gridSpan w:val="3"/>
          </w:tcPr>
          <w:p>
            <w:pPr>
              <w:spacing w:after="0"/>
              <w:rPr>
                <w:sz w:val="20"/>
                <w:szCs w:val="20"/>
                <w:color w:val="auto"/>
              </w:rPr>
            </w:pPr>
            <w:r>
              <w:rPr>
                <w:rFonts w:ascii="Arial" w:cs="Arial" w:eastAsia="Arial" w:hAnsi="Arial"/>
                <w:sz w:val="20"/>
                <w:szCs w:val="20"/>
                <w:b w:val="1"/>
                <w:bCs w:val="1"/>
                <w:color w:val="auto"/>
                <w:w w:val="89"/>
              </w:rPr>
              <w:t>Securities registered pursuant to Section 12(b) of the Act:</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Name of Each Exchange</w:t>
            </w:r>
          </w:p>
        </w:tc>
      </w:tr>
      <w:tr>
        <w:trPr>
          <w:trHeight w:val="210"/>
        </w:trPr>
        <w:tc>
          <w:tcPr>
            <w:tcW w:w="4920" w:type="dxa"/>
            <w:vAlign w:val="bottom"/>
            <w:gridSpan w:val="3"/>
          </w:tcPr>
          <w:p>
            <w:pPr>
              <w:jc w:val="center"/>
              <w:ind w:right="1260"/>
              <w:spacing w:after="0"/>
              <w:rPr>
                <w:sz w:val="20"/>
                <w:szCs w:val="20"/>
                <w:color w:val="auto"/>
              </w:rPr>
            </w:pPr>
            <w:r>
              <w:rPr>
                <w:rFonts w:ascii="Arial" w:cs="Arial" w:eastAsia="Arial" w:hAnsi="Arial"/>
                <w:sz w:val="16"/>
                <w:szCs w:val="16"/>
                <w:b w:val="1"/>
                <w:bCs w:val="1"/>
                <w:color w:val="auto"/>
                <w:w w:val="91"/>
              </w:rPr>
              <w:t>Title of Each Class</w:t>
            </w:r>
          </w:p>
        </w:tc>
        <w:tc>
          <w:tcPr>
            <w:tcW w:w="2840" w:type="dxa"/>
            <w:vAlign w:val="bottom"/>
            <w:gridSpan w:val="3"/>
          </w:tcPr>
          <w:p>
            <w:pPr>
              <w:jc w:val="center"/>
              <w:ind w:right="144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On Which Registered</w:t>
            </w:r>
          </w:p>
        </w:tc>
      </w:tr>
      <w:tr>
        <w:trPr>
          <w:trHeight w:val="210"/>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par value $.05/ Share</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right="1073"/>
              <w:spacing w:after="0"/>
              <w:rPr>
                <w:sz w:val="20"/>
                <w:szCs w:val="20"/>
                <w:color w:val="auto"/>
              </w:rPr>
            </w:pPr>
            <w:r>
              <w:rPr>
                <w:rFonts w:ascii="Arial" w:cs="Arial" w:eastAsia="Arial" w:hAnsi="Arial"/>
                <w:sz w:val="16"/>
                <w:szCs w:val="16"/>
                <w:b w:val="1"/>
                <w:bCs w:val="1"/>
                <w:color w:val="auto"/>
              </w:rPr>
              <w:t>CULP</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18"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00"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7" w:lineRule="exact"/>
        <w:rPr>
          <w:sz w:val="24"/>
          <w:szCs w:val="24"/>
          <w:color w:val="auto"/>
        </w:rPr>
      </w:pPr>
    </w:p>
    <w:p>
      <w:pPr>
        <w:jc w:val="both"/>
        <w:spacing w:after="0" w:line="253" w:lineRule="auto"/>
        <w:rPr>
          <w:sz w:val="20"/>
          <w:szCs w:val="20"/>
          <w:color w:val="auto"/>
        </w:rPr>
      </w:pPr>
      <w:r>
        <w:rPr>
          <w:rFonts w:ascii="Arial" w:cs="Arial" w:eastAsia="Arial" w:hAnsi="Arial"/>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Arial" w:cs="Arial" w:eastAsia="Arial" w:hAnsi="Arial"/>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6"/>
        </w:trPr>
        <w:tc>
          <w:tcPr>
            <w:tcW w:w="2340" w:type="dxa"/>
            <w:vAlign w:val="bottom"/>
          </w:tcPr>
          <w:p>
            <w:pPr>
              <w:spacing w:after="0"/>
              <w:rPr>
                <w:sz w:val="20"/>
                <w:szCs w:val="20"/>
                <w:color w:val="auto"/>
              </w:rPr>
            </w:pPr>
            <w:r>
              <w:rPr>
                <w:rFonts w:ascii="Arial" w:cs="Arial" w:eastAsia="Arial" w:hAnsi="Arial"/>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100" w:lineRule="exact"/>
        <w:rPr>
          <w:sz w:val="24"/>
          <w:szCs w:val="24"/>
          <w:color w:val="auto"/>
        </w:rPr>
      </w:pPr>
    </w:p>
    <w:p>
      <w:pPr>
        <w:spacing w:after="0" w:line="261"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YES NO </w:t>
      </w:r>
      <w:r>
        <w:rPr>
          <w:rFonts w:ascii="MS PGothic" w:cs="MS PGothic" w:eastAsia="MS PGothic" w:hAnsi="MS PGothic"/>
          <w:sz w:val="18"/>
          <w:szCs w:val="18"/>
          <w:color w:val="auto"/>
          <w:highlight w:val="black"/>
        </w:rPr>
        <w:t>☒</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shares outstanding as of September 8, 2021: 12,203,284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period ended August 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60" w:type="dxa"/>
            <w:vAlign w:val="bottom"/>
            <w:gridSpan w:val="13"/>
          </w:tcPr>
          <w:p>
            <w:pPr>
              <w:jc w:val="center"/>
              <w:ind w:right="3420"/>
              <w:spacing w:after="0"/>
              <w:rPr>
                <w:sz w:val="20"/>
                <w:szCs w:val="20"/>
                <w:color w:val="auto"/>
              </w:rPr>
            </w:pPr>
            <w:r>
              <w:rPr>
                <w:rFonts w:ascii="Arial" w:cs="Arial" w:eastAsia="Arial" w:hAnsi="Arial"/>
                <w:sz w:val="20"/>
                <w:szCs w:val="20"/>
                <w:b w:val="1"/>
                <w:bCs w:val="1"/>
                <w:color w:val="auto"/>
                <w:w w:val="91"/>
              </w:rPr>
              <w:t>Part I - Financial Statements</w:t>
            </w:r>
          </w:p>
        </w:tc>
        <w:tc>
          <w:tcPr>
            <w:tcW w:w="84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3580" w:type="dxa"/>
            <w:vAlign w:val="bottom"/>
            <w:gridSpan w:val="7"/>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2440" w:type="dxa"/>
            <w:vAlign w:val="bottom"/>
            <w:tcBorders>
              <w:top w:val="single" w:sz="8" w:color="auto"/>
            </w:tcBorders>
            <w:gridSpan w:val="6"/>
          </w:tcPr>
          <w:p>
            <w:pPr>
              <w:spacing w:after="0"/>
              <w:rPr>
                <w:sz w:val="24"/>
                <w:szCs w:val="24"/>
                <w:color w:val="auto"/>
              </w:rPr>
            </w:pPr>
          </w:p>
        </w:tc>
        <w:tc>
          <w:tcPr>
            <w:tcW w:w="342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20"/>
                <w:szCs w:val="20"/>
                <w:color w:val="0000EE"/>
                <w:w w:val="98"/>
              </w:rPr>
            </w:pPr>
            <w:hyperlink w:anchor="page3">
              <w:r>
                <w:rPr>
                  <w:rFonts w:ascii="Arial" w:cs="Arial" w:eastAsia="Arial" w:hAnsi="Arial"/>
                  <w:sz w:val="20"/>
                  <w:szCs w:val="20"/>
                  <w:color w:val="0000EE"/>
                  <w:w w:val="98"/>
                </w:rPr>
                <w:t>Consolidated Statements of Net Income (Loss) — Three Months Ended August 1, 2021, and August 2, 2020</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tcBorders>
              <w:bottom w:val="single" w:sz="8" w:color="0000EE"/>
            </w:tcBorders>
            <w:gridSpan w:val="20"/>
          </w:tcPr>
          <w:p>
            <w:pPr>
              <w:spacing w:after="0"/>
              <w:rPr>
                <w:rFonts w:ascii="Arial" w:cs="Arial" w:eastAsia="Arial" w:hAnsi="Arial"/>
                <w:sz w:val="20"/>
                <w:szCs w:val="20"/>
                <w:color w:val="0000EE"/>
                <w:w w:val="89"/>
              </w:rPr>
            </w:pPr>
            <w:hyperlink w:anchor="page4">
              <w:r>
                <w:rPr>
                  <w:rFonts w:ascii="Arial" w:cs="Arial" w:eastAsia="Arial" w:hAnsi="Arial"/>
                  <w:sz w:val="20"/>
                  <w:szCs w:val="20"/>
                  <w:color w:val="0000EE"/>
                  <w:w w:val="89"/>
                </w:rPr>
                <w:t>Consolidated Statements of Comprehensive Income (Loss) – Three Months Ended August 1, 2021, and August 2, 2020</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I-2</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Consolidated Balance Sheets — August 1, 2021, August 2, 2020 and May 2, 2021</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I-3</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Statements of Cash Flows — Three Months Ended August 1, 2021, and August 2, 2020</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I-4</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Borders>
              <w:top w:val="single" w:sz="8" w:color="0000EE"/>
              <w:bottom w:val="single" w:sz="8" w:color="0000EE"/>
            </w:tcBorders>
            <w:gridSpan w:val="16"/>
          </w:tcPr>
          <w:p>
            <w:pPr>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Consolidated Statements of Shareholders’ Equity – Three Months Ended August 1, 2021</w:t>
              </w:r>
            </w:hyperlink>
          </w:p>
        </w:tc>
        <w:tc>
          <w:tcPr>
            <w:tcW w:w="980" w:type="dxa"/>
            <w:vAlign w:val="bottom"/>
            <w:tcBorders>
              <w:top w:val="single" w:sz="8" w:color="0000EE"/>
            </w:tcBorders>
            <w:gridSpan w:val="2"/>
          </w:tcPr>
          <w:p>
            <w:pPr>
              <w:spacing w:after="0"/>
              <w:rPr>
                <w:sz w:val="24"/>
                <w:szCs w:val="24"/>
                <w:color w:val="auto"/>
              </w:rPr>
            </w:pPr>
          </w:p>
        </w:tc>
        <w:tc>
          <w:tcPr>
            <w:tcW w:w="142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I-5</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20"/>
                <w:szCs w:val="20"/>
                <w:color w:val="0000EE"/>
              </w:rPr>
            </w:pPr>
            <w:hyperlink w:anchor="page8">
              <w:r>
                <w:rPr>
                  <w:rFonts w:ascii="Arial" w:cs="Arial" w:eastAsia="Arial" w:hAnsi="Arial"/>
                  <w:sz w:val="20"/>
                  <w:szCs w:val="20"/>
                  <w:color w:val="0000EE"/>
                </w:rPr>
                <w:t>Consolidated Statements of Shareholders’ Equity – Three Months Ended August 2, 2020</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I-6</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88"/>
              </w:rPr>
            </w:pPr>
            <w:hyperlink w:anchor="page9">
              <w:r>
                <w:rPr>
                  <w:rFonts w:ascii="Arial" w:cs="Arial" w:eastAsia="Arial" w:hAnsi="Arial"/>
                  <w:sz w:val="20"/>
                  <w:szCs w:val="20"/>
                  <w:color w:val="0000EE"/>
                  <w:w w:val="88"/>
                </w:rPr>
                <w:t>Notes to Consolidated Financial Statements</w:t>
              </w:r>
            </w:hyperlink>
          </w:p>
        </w:tc>
        <w:tc>
          <w:tcPr>
            <w:tcW w:w="3560" w:type="dxa"/>
            <w:vAlign w:val="bottom"/>
            <w:tcBorders>
              <w:top w:val="single" w:sz="8" w:color="0000EE"/>
            </w:tcBorders>
            <w:gridSpan w:val="9"/>
          </w:tcPr>
          <w:p>
            <w:pPr>
              <w:spacing w:after="0"/>
              <w:rPr>
                <w:sz w:val="24"/>
                <w:szCs w:val="24"/>
                <w:color w:val="auto"/>
              </w:rPr>
            </w:pPr>
          </w:p>
        </w:tc>
        <w:tc>
          <w:tcPr>
            <w:tcW w:w="242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I-7</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Borders>
              <w:bottom w:val="single" w:sz="8" w:color="0000EE"/>
            </w:tcBorders>
            <w:gridSpan w:val="11"/>
          </w:tcPr>
          <w:p>
            <w:pPr>
              <w:spacing w:after="0"/>
              <w:rPr>
                <w:rFonts w:ascii="Arial" w:cs="Arial" w:eastAsia="Arial" w:hAnsi="Arial"/>
                <w:sz w:val="20"/>
                <w:szCs w:val="20"/>
                <w:color w:val="0000EE"/>
                <w:w w:val="91"/>
              </w:rPr>
            </w:pPr>
            <w:hyperlink w:anchor="page29">
              <w:r>
                <w:rPr>
                  <w:rFonts w:ascii="Arial" w:cs="Arial" w:eastAsia="Arial" w:hAnsi="Arial"/>
                  <w:sz w:val="20"/>
                  <w:szCs w:val="20"/>
                  <w:color w:val="0000EE"/>
                  <w:w w:val="91"/>
                </w:rPr>
                <w:t>Cautionary Statement Concerning Forward-Looking Information</w:t>
              </w:r>
            </w:hyperlink>
          </w:p>
        </w:tc>
        <w:tc>
          <w:tcPr>
            <w:tcW w:w="430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I-27</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2.</w:t>
            </w:r>
          </w:p>
        </w:tc>
        <w:tc>
          <w:tcPr>
            <w:tcW w:w="7080" w:type="dxa"/>
            <w:vAlign w:val="bottom"/>
            <w:tcBorders>
              <w:bottom w:val="single" w:sz="8" w:color="0000EE"/>
            </w:tcBorders>
            <w:gridSpan w:val="17"/>
          </w:tcPr>
          <w:p>
            <w:pPr>
              <w:spacing w:after="0"/>
              <w:rPr>
                <w:rFonts w:ascii="Arial" w:cs="Arial" w:eastAsia="Arial" w:hAnsi="Arial"/>
                <w:sz w:val="20"/>
                <w:szCs w:val="20"/>
                <w:color w:val="0000EE"/>
                <w:w w:val="89"/>
              </w:rPr>
            </w:pPr>
            <w:hyperlink w:anchor="page30">
              <w:r>
                <w:rPr>
                  <w:rFonts w:ascii="Arial" w:cs="Arial" w:eastAsia="Arial" w:hAnsi="Arial"/>
                  <w:sz w:val="20"/>
                  <w:szCs w:val="20"/>
                  <w:color w:val="0000EE"/>
                  <w:w w:val="89"/>
                </w:rPr>
                <w:t>Management's Discussion and Analysis of Financial Condition and Results of Operations</w:t>
              </w:r>
            </w:hyperlink>
          </w:p>
        </w:tc>
        <w:tc>
          <w:tcPr>
            <w:tcW w:w="236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I-28</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3.</w:t>
            </w:r>
          </w:p>
        </w:tc>
        <w:tc>
          <w:tcPr>
            <w:tcW w:w="4800" w:type="dxa"/>
            <w:vAlign w:val="bottom"/>
            <w:tcBorders>
              <w:bottom w:val="single" w:sz="8" w:color="0000EE"/>
            </w:tcBorders>
            <w:gridSpan w:val="10"/>
          </w:tcPr>
          <w:p>
            <w:pPr>
              <w:spacing w:after="0"/>
              <w:rPr>
                <w:rFonts w:ascii="Arial" w:cs="Arial" w:eastAsia="Arial" w:hAnsi="Arial"/>
                <w:sz w:val="20"/>
                <w:szCs w:val="20"/>
                <w:color w:val="0000EE"/>
                <w:w w:val="91"/>
              </w:rPr>
            </w:pPr>
            <w:hyperlink w:anchor="page44">
              <w:r>
                <w:rPr>
                  <w:rFonts w:ascii="Arial" w:cs="Arial" w:eastAsia="Arial" w:hAnsi="Arial"/>
                  <w:sz w:val="20"/>
                  <w:szCs w:val="20"/>
                  <w:color w:val="0000EE"/>
                  <w:w w:val="91"/>
                </w:rPr>
                <w:t>Quantitative and Qualitative Disclosures About Market Risk</w:t>
              </w:r>
            </w:hyperlink>
          </w:p>
        </w:tc>
        <w:tc>
          <w:tcPr>
            <w:tcW w:w="464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I-42</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4.</w:t>
            </w:r>
          </w:p>
        </w:tc>
        <w:tc>
          <w:tcPr>
            <w:tcW w:w="9440" w:type="dxa"/>
            <w:vAlign w:val="bottom"/>
            <w:gridSpan w:val="20"/>
          </w:tcPr>
          <w:p>
            <w:pPr>
              <w:spacing w:after="0"/>
              <w:rPr>
                <w:rFonts w:ascii="Arial" w:cs="Arial" w:eastAsia="Arial" w:hAnsi="Arial"/>
                <w:sz w:val="20"/>
                <w:szCs w:val="20"/>
                <w:color w:val="0000EE"/>
              </w:rPr>
            </w:pPr>
            <w:hyperlink w:anchor="page44">
              <w:r>
                <w:rPr>
                  <w:rFonts w:ascii="Arial" w:cs="Arial" w:eastAsia="Arial" w:hAnsi="Arial"/>
                  <w:sz w:val="20"/>
                  <w:szCs w:val="20"/>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I-42</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96"/>
              </w:rPr>
              <w:t>Part II - Other Information</w:t>
            </w:r>
          </w:p>
        </w:tc>
        <w:tc>
          <w:tcPr>
            <w:tcW w:w="346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1460" w:type="dxa"/>
            <w:vAlign w:val="bottom"/>
            <w:tcBorders>
              <w:bottom w:val="single" w:sz="8" w:color="0000EE"/>
            </w:tcBorders>
            <w:gridSpan w:val="3"/>
          </w:tcPr>
          <w:p>
            <w:pPr>
              <w:spacing w:after="0"/>
              <w:rPr>
                <w:rFonts w:ascii="Arial" w:cs="Arial" w:eastAsia="Arial" w:hAnsi="Arial"/>
                <w:sz w:val="20"/>
                <w:szCs w:val="20"/>
                <w:color w:val="0000EE"/>
                <w:w w:val="86"/>
              </w:rPr>
            </w:pPr>
            <w:hyperlink w:anchor="page45">
              <w:r>
                <w:rPr>
                  <w:rFonts w:ascii="Arial" w:cs="Arial" w:eastAsia="Arial" w:hAnsi="Arial"/>
                  <w:sz w:val="20"/>
                  <w:szCs w:val="20"/>
                  <w:color w:val="0000EE"/>
                  <w:w w:val="86"/>
                </w:rPr>
                <w:t>Legal Proceedings</w:t>
              </w:r>
            </w:hyperlink>
          </w:p>
        </w:tc>
        <w:tc>
          <w:tcPr>
            <w:tcW w:w="798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1A.</w:t>
            </w:r>
          </w:p>
        </w:tc>
        <w:tc>
          <w:tcPr>
            <w:tcW w:w="9440" w:type="dxa"/>
            <w:vAlign w:val="bottom"/>
            <w:gridSpan w:val="20"/>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2.</w:t>
            </w:r>
          </w:p>
        </w:tc>
        <w:tc>
          <w:tcPr>
            <w:tcW w:w="4780" w:type="dxa"/>
            <w:vAlign w:val="bottom"/>
            <w:tcBorders>
              <w:bottom w:val="single" w:sz="8" w:color="0000EE"/>
            </w:tcBorders>
            <w:gridSpan w:val="9"/>
          </w:tcPr>
          <w:p>
            <w:pPr>
              <w:spacing w:after="0"/>
              <w:rPr>
                <w:rFonts w:ascii="Arial" w:cs="Arial" w:eastAsia="Arial" w:hAnsi="Arial"/>
                <w:sz w:val="20"/>
                <w:szCs w:val="20"/>
                <w:color w:val="0000EE"/>
                <w:w w:val="88"/>
              </w:rPr>
            </w:pPr>
            <w:hyperlink w:anchor="page45">
              <w:r>
                <w:rPr>
                  <w:rFonts w:ascii="Arial" w:cs="Arial" w:eastAsia="Arial" w:hAnsi="Arial"/>
                  <w:sz w:val="20"/>
                  <w:szCs w:val="20"/>
                  <w:color w:val="0000EE"/>
                  <w:w w:val="88"/>
                </w:rPr>
                <w:t>Unregistered Sales of Equity Securities and Use of Proceeds</w:t>
              </w:r>
            </w:hyperlink>
          </w:p>
        </w:tc>
        <w:tc>
          <w:tcPr>
            <w:tcW w:w="466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6.</w:t>
            </w:r>
          </w:p>
        </w:tc>
        <w:tc>
          <w:tcPr>
            <w:tcW w:w="9440" w:type="dxa"/>
            <w:vAlign w:val="bottom"/>
            <w:gridSpan w:val="20"/>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Exhibits</w:t>
              </w:r>
            </w:hyperlink>
          </w:p>
        </w:tc>
        <w:tc>
          <w:tcPr>
            <w:tcW w:w="840" w:type="dxa"/>
            <w:vAlign w:val="bottom"/>
          </w:tcPr>
          <w:p>
            <w:pPr>
              <w:jc w:val="right"/>
              <w:spacing w:after="0"/>
              <w:rPr>
                <w:sz w:val="20"/>
                <w:szCs w:val="20"/>
                <w:color w:val="auto"/>
              </w:rPr>
            </w:pPr>
            <w:r>
              <w:rPr>
                <w:rFonts w:ascii="Arial" w:cs="Arial" w:eastAsia="Arial" w:hAnsi="Arial"/>
                <w:sz w:val="20"/>
                <w:szCs w:val="20"/>
                <w:color w:val="auto"/>
              </w:rPr>
              <w:t>II-2</w:t>
            </w:r>
          </w:p>
        </w:tc>
      </w:tr>
      <w:tr>
        <w:trPr>
          <w:trHeight w:val="439"/>
        </w:trPr>
        <w:tc>
          <w:tcPr>
            <w:tcW w:w="960" w:type="dxa"/>
            <w:vAlign w:val="bottom"/>
            <w:gridSpan w:val="2"/>
          </w:tcPr>
          <w:p>
            <w:pPr>
              <w:spacing w:after="0"/>
              <w:rPr>
                <w:rFonts w:ascii="Arial" w:cs="Arial" w:eastAsia="Arial" w:hAnsi="Arial"/>
                <w:sz w:val="20"/>
                <w:szCs w:val="20"/>
                <w:color w:val="0000EE"/>
                <w:w w:val="98"/>
              </w:rPr>
            </w:pPr>
            <w:hyperlink w:anchor="page47">
              <w:r>
                <w:rPr>
                  <w:rFonts w:ascii="Arial" w:cs="Arial" w:eastAsia="Arial" w:hAnsi="Arial"/>
                  <w:sz w:val="20"/>
                  <w:szCs w:val="20"/>
                  <w:color w:val="0000EE"/>
                  <w:w w:val="98"/>
                </w:rPr>
                <w:t>Signatures</w:t>
              </w:r>
            </w:hyperlink>
          </w:p>
        </w:tc>
        <w:tc>
          <w:tcPr>
            <w:tcW w:w="6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II-3</w:t>
            </w:r>
          </w:p>
        </w:tc>
      </w:tr>
      <w:tr>
        <w:trPr>
          <w:trHeight w:val="1243"/>
        </w:trPr>
        <w:tc>
          <w:tcPr>
            <w:tcW w:w="84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NET INCOME (LOSS)</w:t>
      </w:r>
    </w:p>
    <w:p>
      <w:pPr>
        <w:jc w:val="center"/>
        <w:spacing w:after="0"/>
        <w:rPr>
          <w:sz w:val="20"/>
          <w:szCs w:val="20"/>
          <w:color w:val="auto"/>
        </w:rPr>
      </w:pPr>
      <w:r>
        <w:rPr>
          <w:rFonts w:ascii="Arial" w:cs="Arial" w:eastAsia="Arial" w:hAnsi="Arial"/>
          <w:sz w:val="20"/>
          <w:szCs w:val="20"/>
          <w:b w:val="1"/>
          <w:bCs w:val="1"/>
          <w:color w:val="auto"/>
        </w:rPr>
        <w:t>FOR THE THREE MONTHS ENDED AUGUST 1, 2021, AND AUGUST 2,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 Except for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r>
      <w:tr>
        <w:trPr>
          <w:trHeight w:val="146"/>
        </w:trPr>
        <w:tc>
          <w:tcPr>
            <w:tcW w:w="5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August 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Arial" w:cs="Arial" w:eastAsia="Arial" w:hAnsi="Arial"/>
                <w:sz w:val="14"/>
                <w:szCs w:val="14"/>
                <w:color w:val="auto"/>
              </w:rPr>
              <w:t>August 2,</w:t>
            </w:r>
          </w:p>
        </w:tc>
        <w:tc>
          <w:tcPr>
            <w:tcW w:w="600" w:type="dxa"/>
            <w:vAlign w:val="bottom"/>
          </w:tcPr>
          <w:p>
            <w:pPr>
              <w:spacing w:after="0"/>
              <w:rPr>
                <w:sz w:val="12"/>
                <w:szCs w:val="12"/>
                <w:color w:val="auto"/>
              </w:rPr>
            </w:pPr>
          </w:p>
        </w:tc>
      </w:tr>
      <w:tr>
        <w:trPr>
          <w:trHeight w:val="171"/>
        </w:trPr>
        <w:tc>
          <w:tcPr>
            <w:tcW w:w="5480" w:type="dxa"/>
            <w:vAlign w:val="bottom"/>
          </w:tcPr>
          <w:p>
            <w:pPr>
              <w:spacing w:after="0"/>
              <w:rPr>
                <w:sz w:val="14"/>
                <w:szCs w:val="14"/>
                <w:color w:val="auto"/>
              </w:rPr>
            </w:pPr>
          </w:p>
        </w:tc>
        <w:tc>
          <w:tcPr>
            <w:tcW w:w="332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2020</w:t>
            </w:r>
          </w:p>
        </w:tc>
        <w:tc>
          <w:tcPr>
            <w:tcW w:w="600" w:type="dxa"/>
            <w:vAlign w:val="bottom"/>
          </w:tcPr>
          <w:p>
            <w:pPr>
              <w:spacing w:after="0"/>
              <w:rPr>
                <w:sz w:val="14"/>
                <w:szCs w:val="14"/>
                <w:color w:val="auto"/>
              </w:rPr>
            </w:pPr>
          </w:p>
        </w:tc>
      </w:tr>
      <w:tr>
        <w:trPr>
          <w:trHeight w:val="155"/>
        </w:trPr>
        <w:tc>
          <w:tcPr>
            <w:tcW w:w="54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24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ind w:right="955"/>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83,047</w:t>
            </w:r>
          </w:p>
        </w:tc>
        <w:tc>
          <w:tcPr>
            <w:tcW w:w="1260" w:type="dxa"/>
            <w:vAlign w:val="bottom"/>
            <w:tcBorders>
              <w:top w:val="single" w:sz="8" w:color="auto"/>
            </w:tcBorders>
            <w:gridSpan w:val="2"/>
            <w:shd w:val="clear" w:color="auto" w:fill="CFF0FC"/>
          </w:tcPr>
          <w:p>
            <w:pPr>
              <w:jc w:val="right"/>
              <w:ind w:right="9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64,464</w:t>
            </w:r>
          </w:p>
        </w:tc>
      </w:tr>
      <w:tr>
        <w:trPr>
          <w:trHeight w:val="162"/>
        </w:trPr>
        <w:tc>
          <w:tcPr>
            <w:tcW w:w="54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22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(70,548)</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(54,563)</w:t>
            </w:r>
          </w:p>
        </w:tc>
      </w:tr>
      <w:tr>
        <w:trPr>
          <w:trHeight w:val="155"/>
        </w:trPr>
        <w:tc>
          <w:tcPr>
            <w:tcW w:w="54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Gross profit</w:t>
            </w:r>
          </w:p>
        </w:tc>
        <w:tc>
          <w:tcPr>
            <w:tcW w:w="2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12,499</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9,901</w:t>
            </w:r>
          </w:p>
        </w:tc>
      </w:tr>
      <w:tr>
        <w:trPr>
          <w:trHeight w:val="162"/>
        </w:trPr>
        <w:tc>
          <w:tcPr>
            <w:tcW w:w="54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Selling, general and administrative expenses</w:t>
            </w:r>
          </w:p>
        </w:tc>
        <w:tc>
          <w:tcPr>
            <w:tcW w:w="22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(9,181)</w:t>
            </w:r>
          </w:p>
        </w:tc>
        <w:tc>
          <w:tcPr>
            <w:tcW w:w="1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(8,018)</w:t>
            </w:r>
          </w:p>
        </w:tc>
      </w:tr>
      <w:tr>
        <w:trPr>
          <w:trHeight w:val="155"/>
        </w:trPr>
        <w:tc>
          <w:tcPr>
            <w:tcW w:w="54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from operations</w:t>
            </w:r>
          </w:p>
        </w:tc>
        <w:tc>
          <w:tcPr>
            <w:tcW w:w="2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3,318</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1,883</w:t>
            </w: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Interest expense</w:t>
            </w: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(51)</w:t>
            </w:r>
          </w:p>
        </w:tc>
      </w:tr>
      <w:tr>
        <w:trPr>
          <w:trHeight w:val="162"/>
        </w:trPr>
        <w:tc>
          <w:tcPr>
            <w:tcW w:w="548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74</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58</w:t>
            </w:r>
          </w:p>
        </w:tc>
      </w:tr>
      <w:tr>
        <w:trPr>
          <w:trHeight w:val="162"/>
        </w:trPr>
        <w:tc>
          <w:tcPr>
            <w:tcW w:w="54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expense</w:t>
            </w:r>
          </w:p>
        </w:tc>
        <w:tc>
          <w:tcPr>
            <w:tcW w:w="22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(366)</w:t>
            </w:r>
          </w:p>
        </w:tc>
      </w:tr>
      <w:tr>
        <w:trPr>
          <w:trHeight w:val="156"/>
        </w:trPr>
        <w:tc>
          <w:tcPr>
            <w:tcW w:w="548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before income taxes</w:t>
            </w:r>
          </w:p>
        </w:tc>
        <w:tc>
          <w:tcPr>
            <w:tcW w:w="2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3,155</w:t>
            </w: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1,524</w:t>
            </w: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Income tax expense</w:t>
            </w:r>
          </w:p>
        </w:tc>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(905)</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(4,324)</w:t>
            </w:r>
          </w:p>
        </w:tc>
      </w:tr>
      <w:tr>
        <w:trPr>
          <w:trHeight w:val="162"/>
        </w:trPr>
        <w:tc>
          <w:tcPr>
            <w:tcW w:w="5480" w:type="dxa"/>
            <w:vAlign w:val="bottom"/>
            <w:shd w:val="clear" w:color="auto" w:fill="CFF0FC"/>
          </w:tcPr>
          <w:p>
            <w:pPr>
              <w:spacing w:after="0"/>
              <w:rPr>
                <w:sz w:val="20"/>
                <w:szCs w:val="20"/>
                <w:color w:val="auto"/>
              </w:rPr>
            </w:pPr>
            <w:r>
              <w:rPr>
                <w:rFonts w:ascii="Arial" w:cs="Arial" w:eastAsia="Arial" w:hAnsi="Arial"/>
                <w:sz w:val="14"/>
                <w:szCs w:val="14"/>
                <w:color w:val="auto"/>
              </w:rPr>
              <w:t>Income from investment in unconsolidated joint venture</w:t>
            </w:r>
          </w:p>
        </w:tc>
        <w:tc>
          <w:tcPr>
            <w:tcW w:w="224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67</w:t>
            </w:r>
          </w:p>
        </w:tc>
      </w:tr>
      <w:tr>
        <w:trPr>
          <w:trHeight w:val="195"/>
        </w:trPr>
        <w:tc>
          <w:tcPr>
            <w:tcW w:w="5480" w:type="dxa"/>
            <w:vAlign w:val="bottom"/>
          </w:tcPr>
          <w:p>
            <w:pPr>
              <w:spacing w:after="0" w:line="155" w:lineRule="exact"/>
              <w:rPr>
                <w:sz w:val="20"/>
                <w:szCs w:val="20"/>
                <w:color w:val="auto"/>
              </w:rPr>
            </w:pPr>
            <w:r>
              <w:rPr>
                <w:rFonts w:ascii="Arial" w:cs="Arial" w:eastAsia="Arial" w:hAnsi="Arial"/>
                <w:sz w:val="14"/>
                <w:szCs w:val="14"/>
                <w:color w:val="auto"/>
              </w:rPr>
              <w:t>Net income (loss)</w:t>
            </w:r>
          </w:p>
        </w:tc>
        <w:tc>
          <w:tcPr>
            <w:tcW w:w="22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2,250</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(2,733)</w:t>
            </w:r>
          </w:p>
        </w:tc>
      </w:tr>
      <w:tr>
        <w:trPr>
          <w:trHeight w:val="143"/>
        </w:trPr>
        <w:tc>
          <w:tcPr>
            <w:tcW w:w="5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2"/>
        </w:trPr>
        <w:tc>
          <w:tcPr>
            <w:tcW w:w="548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per share - basic</w:t>
            </w:r>
          </w:p>
        </w:tc>
        <w:tc>
          <w:tcPr>
            <w:tcW w:w="3320" w:type="dxa"/>
            <w:vAlign w:val="bottom"/>
            <w:gridSpan w:val="2"/>
            <w:shd w:val="clear" w:color="auto" w:fill="CFF0FC"/>
          </w:tcPr>
          <w:p>
            <w:pPr>
              <w:jc w:val="right"/>
              <w:ind w:right="955"/>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0.18</w:t>
            </w:r>
          </w:p>
        </w:tc>
        <w:tc>
          <w:tcPr>
            <w:tcW w:w="1260" w:type="dxa"/>
            <w:vAlign w:val="bottom"/>
            <w:gridSpan w:val="2"/>
            <w:shd w:val="clear" w:color="auto" w:fill="CFF0FC"/>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(0.22)</w:t>
            </w: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Net income (loss) per share - diluted</w:t>
            </w:r>
          </w:p>
        </w:tc>
        <w:tc>
          <w:tcPr>
            <w:tcW w:w="3320" w:type="dxa"/>
            <w:vAlign w:val="bottom"/>
            <w:gridSpan w:val="2"/>
          </w:tcPr>
          <w:p>
            <w:pPr>
              <w:jc w:val="right"/>
              <w:ind w:right="955"/>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0.18</w:t>
            </w:r>
          </w:p>
        </w:tc>
        <w:tc>
          <w:tcPr>
            <w:tcW w:w="126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(0.22)</w:t>
            </w:r>
          </w:p>
        </w:tc>
      </w:tr>
      <w:tr>
        <w:trPr>
          <w:trHeight w:val="162"/>
        </w:trPr>
        <w:tc>
          <w:tcPr>
            <w:tcW w:w="548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 basic</w:t>
            </w:r>
          </w:p>
        </w:tc>
        <w:tc>
          <w:tcPr>
            <w:tcW w:w="2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12,313</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12,287</w:t>
            </w:r>
          </w:p>
        </w:tc>
      </w:tr>
      <w:tr>
        <w:trPr>
          <w:trHeight w:val="186"/>
        </w:trPr>
        <w:tc>
          <w:tcPr>
            <w:tcW w:w="5480" w:type="dxa"/>
            <w:vAlign w:val="bottom"/>
          </w:tcPr>
          <w:p>
            <w:pPr>
              <w:spacing w:after="0"/>
              <w:rPr>
                <w:sz w:val="20"/>
                <w:szCs w:val="20"/>
                <w:color w:val="auto"/>
              </w:rPr>
            </w:pPr>
            <w:r>
              <w:rPr>
                <w:rFonts w:ascii="Arial" w:cs="Arial" w:eastAsia="Arial" w:hAnsi="Arial"/>
                <w:sz w:val="14"/>
                <w:szCs w:val="14"/>
                <w:color w:val="auto"/>
              </w:rPr>
              <w:t>Average shares outstanding, diluted</w:t>
            </w:r>
          </w:p>
        </w:tc>
        <w:tc>
          <w:tcPr>
            <w:tcW w:w="2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12,415</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12,287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jc w:val="center"/>
        <w:spacing w:after="0"/>
        <w:rPr>
          <w:sz w:val="20"/>
          <w:szCs w:val="20"/>
          <w:color w:val="auto"/>
        </w:rPr>
      </w:pPr>
      <w:r>
        <w:rPr>
          <w:rFonts w:ascii="Arial" w:cs="Arial" w:eastAsia="Arial" w:hAnsi="Arial"/>
          <w:sz w:val="20"/>
          <w:szCs w:val="20"/>
          <w:b w:val="1"/>
          <w:bCs w:val="1"/>
          <w:color w:val="auto"/>
        </w:rPr>
        <w:t>FOR THE THREE MONTHS ENDED AUGUST 1, 2021, AND AUGUST 2,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r>
      <w:tr>
        <w:trPr>
          <w:trHeight w:val="207"/>
        </w:trPr>
        <w:tc>
          <w:tcPr>
            <w:tcW w:w="55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August 1,</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August 2,</w:t>
            </w:r>
          </w:p>
        </w:tc>
        <w:tc>
          <w:tcPr>
            <w:tcW w:w="560" w:type="dxa"/>
            <w:vAlign w:val="bottom"/>
          </w:tcPr>
          <w:p>
            <w:pPr>
              <w:spacing w:after="0"/>
              <w:rPr>
                <w:sz w:val="17"/>
                <w:szCs w:val="17"/>
                <w:color w:val="auto"/>
              </w:rPr>
            </w:pPr>
          </w:p>
        </w:tc>
      </w:tr>
      <w:tr>
        <w:trPr>
          <w:trHeight w:val="219"/>
        </w:trPr>
        <w:tc>
          <w:tcPr>
            <w:tcW w:w="5560" w:type="dxa"/>
            <w:vAlign w:val="bottom"/>
          </w:tcPr>
          <w:p>
            <w:pPr>
              <w:spacing w:after="0"/>
              <w:rPr>
                <w:sz w:val="19"/>
                <w:szCs w:val="19"/>
                <w:color w:val="auto"/>
              </w:rPr>
            </w:pPr>
          </w:p>
        </w:tc>
        <w:tc>
          <w:tcPr>
            <w:tcW w:w="3320" w:type="dxa"/>
            <w:vAlign w:val="bottom"/>
            <w:gridSpan w:val="2"/>
          </w:tcPr>
          <w:p>
            <w:pPr>
              <w:jc w:val="right"/>
              <w:ind w:right="122"/>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9"/>
                <w:szCs w:val="19"/>
                <w:color w:val="auto"/>
              </w:rPr>
            </w:pPr>
          </w:p>
        </w:tc>
        <w:tc>
          <w:tcPr>
            <w:tcW w:w="1280" w:type="dxa"/>
            <w:vAlign w:val="bottom"/>
            <w:gridSpan w:val="2"/>
          </w:tcPr>
          <w:p>
            <w:pPr>
              <w:jc w:val="right"/>
              <w:ind w:right="99"/>
              <w:spacing w:after="0"/>
              <w:rPr>
                <w:sz w:val="20"/>
                <w:szCs w:val="20"/>
                <w:color w:val="auto"/>
              </w:rPr>
            </w:pPr>
            <w:r>
              <w:rPr>
                <w:rFonts w:ascii="Arial" w:cs="Arial" w:eastAsia="Arial" w:hAnsi="Arial"/>
                <w:sz w:val="16"/>
                <w:szCs w:val="16"/>
                <w:color w:val="auto"/>
              </w:rPr>
              <w:t>2020</w:t>
            </w:r>
          </w:p>
        </w:tc>
        <w:tc>
          <w:tcPr>
            <w:tcW w:w="560" w:type="dxa"/>
            <w:vAlign w:val="bottom"/>
          </w:tcPr>
          <w:p>
            <w:pPr>
              <w:spacing w:after="0"/>
              <w:rPr>
                <w:sz w:val="19"/>
                <w:szCs w:val="19"/>
                <w:color w:val="auto"/>
              </w:rPr>
            </w:pPr>
          </w:p>
        </w:tc>
      </w:tr>
      <w:tr>
        <w:trPr>
          <w:trHeight w:val="21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22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94"/>
              </w:rPr>
              <w:t>2,250</w:t>
            </w:r>
          </w:p>
        </w:tc>
        <w:tc>
          <w:tcPr>
            <w:tcW w:w="1280" w:type="dxa"/>
            <w:vAlign w:val="bottom"/>
            <w:tcBorders>
              <w:top w:val="single" w:sz="8" w:color="auto"/>
            </w:tcBorders>
            <w:gridSpan w:val="2"/>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(2,733)</w:t>
            </w:r>
          </w:p>
        </w:tc>
      </w:tr>
      <w:tr>
        <w:trPr>
          <w:trHeight w:val="429"/>
        </w:trPr>
        <w:tc>
          <w:tcPr>
            <w:tcW w:w="5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Unrealized holding gains on investments, net of tax</w:t>
            </w:r>
          </w:p>
        </w:tc>
        <w:tc>
          <w:tcPr>
            <w:tcW w:w="2220" w:type="dxa"/>
            <w:vAlign w:val="bottom"/>
            <w:tcBorders>
              <w:bottom w:val="single" w:sz="8" w:color="CFF0FC"/>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w:t>
            </w:r>
          </w:p>
        </w:tc>
        <w:tc>
          <w:tcPr>
            <w:tcW w:w="180" w:type="dxa"/>
            <w:vAlign w:val="bottom"/>
            <w:tcBorders>
              <w:bottom w:val="single" w:sz="8" w:color="CFF0FC"/>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 (loss)</w:t>
            </w:r>
          </w:p>
        </w:tc>
        <w:tc>
          <w:tcPr>
            <w:tcW w:w="2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94"/>
              </w:rPr>
              <w:t>2,398</w:t>
            </w:r>
          </w:p>
        </w:tc>
        <w:tc>
          <w:tcPr>
            <w:tcW w:w="1280" w:type="dxa"/>
            <w:vAlign w:val="bottom"/>
            <w:gridSpan w:val="2"/>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(2,664)</w:t>
            </w: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AUGUST 1, 2021, AUGUST 2, 2020, AND MAY 2,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1,</w:t>
            </w:r>
          </w:p>
        </w:tc>
        <w:tc>
          <w:tcPr>
            <w:tcW w:w="1580" w:type="dxa"/>
            <w:vAlign w:val="bottom"/>
            <w:gridSpan w:val="2"/>
          </w:tcPr>
          <w:p>
            <w:pPr>
              <w:ind w:left="340"/>
              <w:spacing w:after="0"/>
              <w:rPr>
                <w:sz w:val="20"/>
                <w:szCs w:val="20"/>
                <w:color w:val="auto"/>
              </w:rPr>
            </w:pPr>
            <w:r>
              <w:rPr>
                <w:rFonts w:ascii="Arial" w:cs="Arial" w:eastAsia="Arial" w:hAnsi="Arial"/>
                <w:sz w:val="16"/>
                <w:szCs w:val="16"/>
                <w:color w:val="auto"/>
              </w:rPr>
              <w:t>August 2,</w:t>
            </w: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 May 2,</w:t>
            </w:r>
          </w:p>
        </w:tc>
        <w:tc>
          <w:tcPr>
            <w:tcW w:w="0" w:type="dxa"/>
            <w:vAlign w:val="bottom"/>
          </w:tcPr>
          <w:p>
            <w:pPr>
              <w:spacing w:after="0"/>
              <w:rPr>
                <w:sz w:val="1"/>
                <w:szCs w:val="1"/>
                <w:color w:val="auto"/>
              </w:rPr>
            </w:pPr>
          </w:p>
        </w:tc>
      </w:tr>
      <w:tr>
        <w:trPr>
          <w:trHeight w:val="219"/>
        </w:trPr>
        <w:tc>
          <w:tcPr>
            <w:tcW w:w="584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10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26,061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39,986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37,009</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1,661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5,092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9,698</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983</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5,542</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35,008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29,893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37,726</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58,613</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40,402</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55,917</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income taxes receivable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524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3,889</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3,547</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135,454</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120,685</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143,207</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43,930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42,051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44,003</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2,910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3,286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Long-term investments - rabbi trust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8,841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7,916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8,415</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 - held-to-maturity</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6,629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Right of use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11,447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6,443</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11,730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455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Investment in unconsolidated joint venture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1,759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2,582</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47"/>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8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212,248</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184,587</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214,080</w:t>
            </w:r>
          </w:p>
        </w:tc>
        <w:tc>
          <w:tcPr>
            <w:tcW w:w="0" w:type="dxa"/>
            <w:vAlign w:val="bottom"/>
          </w:tcPr>
          <w:p>
            <w:pPr>
              <w:spacing w:after="0"/>
              <w:rPr>
                <w:sz w:val="1"/>
                <w:szCs w:val="1"/>
                <w:color w:val="auto"/>
              </w:rPr>
            </w:pPr>
          </w:p>
        </w:tc>
      </w:tr>
      <w:tr>
        <w:trPr>
          <w:trHeight w:val="19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Accounts payable - trade</w:t>
            </w:r>
          </w:p>
        </w:tc>
        <w:tc>
          <w:tcPr>
            <w:tcW w:w="10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45,285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25,746</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42,540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 capital expenditures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Operating lease liability - current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2,727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2,387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694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9,950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7,852</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14,839</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 - current</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253</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613</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7"/>
        </w:trPr>
        <w:tc>
          <w:tcPr>
            <w:tcW w:w="58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58,957</w:t>
            </w: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37,616</w:t>
            </w: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61,232</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Accrued expenses - long-term</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Operating lease liability - long-term</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6,665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4,214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6,821</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Income taxes payable - long-term</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3,365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3,591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Deferred income taxes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4,917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5,311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8,795</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7,869</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82,699</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58,718</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85,074</w:t>
            </w: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(Notes 3, 9, 15, and 16)</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Shareholders' equity</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$0.05 par value, authorized 10,000,000</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40" w:type="dxa"/>
            <w:vAlign w:val="bottom"/>
          </w:tcPr>
          <w:p>
            <w:pPr>
              <w:ind w:left="260"/>
              <w:spacing w:after="0"/>
              <w:rPr>
                <w:sz w:val="20"/>
                <w:szCs w:val="20"/>
                <w:color w:val="auto"/>
              </w:rPr>
            </w:pPr>
            <w:r>
              <w:rPr>
                <w:rFonts w:ascii="Arial" w:cs="Arial" w:eastAsia="Arial" w:hAnsi="Arial"/>
                <w:sz w:val="16"/>
                <w:szCs w:val="16"/>
                <w:color w:val="auto"/>
              </w:rPr>
              <w:t>Common stock, $0.05 par value, authorized 40,000,000 shares, issued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380"/>
              <w:spacing w:after="0"/>
              <w:rPr>
                <w:sz w:val="20"/>
                <w:szCs w:val="20"/>
                <w:color w:val="auto"/>
              </w:rPr>
            </w:pPr>
            <w:r>
              <w:rPr>
                <w:rFonts w:ascii="Arial" w:cs="Arial" w:eastAsia="Arial" w:hAnsi="Arial"/>
                <w:sz w:val="16"/>
                <w:szCs w:val="16"/>
                <w:color w:val="auto"/>
              </w:rPr>
              <w:t>and outstanding 12,276,286 at August 1, 2021; 12,291,946 at August 2,</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614</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80"/>
              <w:spacing w:after="0"/>
              <w:rPr>
                <w:sz w:val="20"/>
                <w:szCs w:val="20"/>
                <w:color w:val="auto"/>
              </w:rPr>
            </w:pPr>
            <w:r>
              <w:rPr>
                <w:rFonts w:ascii="Arial" w:cs="Arial" w:eastAsia="Arial" w:hAnsi="Arial"/>
                <w:sz w:val="16"/>
                <w:szCs w:val="16"/>
                <w:color w:val="auto"/>
              </w:rPr>
              <w:t>2020; and 12,312,822 at May 2, 2021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contributed in excess of par value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43,310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42,708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43,807</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Accumulated earnings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85,331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82,487</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84,437</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294</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7"/>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Total shareholders' equity</w:t>
            </w:r>
          </w:p>
        </w:tc>
        <w:tc>
          <w:tcPr>
            <w:tcW w:w="8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129,549</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125,869</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129,006</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8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212,248</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184,587</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214,080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FOR THE THREE MONTHS ENDED AUGUST 1, 2021, AND AUGUST 2,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r>
      <w:tr>
        <w:trPr>
          <w:trHeight w:val="224"/>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ind w:right="768"/>
              <w:spacing w:after="0"/>
              <w:rPr>
                <w:sz w:val="20"/>
                <w:szCs w:val="20"/>
                <w:color w:val="auto"/>
              </w:rPr>
            </w:pPr>
            <w:r>
              <w:rPr>
                <w:rFonts w:ascii="Arial" w:cs="Arial" w:eastAsia="Arial" w:hAnsi="Arial"/>
                <w:sz w:val="14"/>
                <w:szCs w:val="14"/>
                <w:b w:val="1"/>
                <w:bCs w:val="1"/>
                <w:color w:val="auto"/>
              </w:rPr>
              <w:t>August 1,</w:t>
            </w:r>
          </w:p>
        </w:tc>
        <w:tc>
          <w:tcPr>
            <w:tcW w:w="1480" w:type="dxa"/>
            <w:vAlign w:val="bottom"/>
          </w:tcPr>
          <w:p>
            <w:pPr>
              <w:jc w:val="right"/>
              <w:ind w:right="528"/>
              <w:spacing w:after="0"/>
              <w:rPr>
                <w:sz w:val="20"/>
                <w:szCs w:val="20"/>
                <w:color w:val="auto"/>
              </w:rPr>
            </w:pPr>
            <w:r>
              <w:rPr>
                <w:rFonts w:ascii="Arial" w:cs="Arial" w:eastAsia="Arial" w:hAnsi="Arial"/>
                <w:sz w:val="14"/>
                <w:szCs w:val="14"/>
                <w:color w:val="auto"/>
              </w:rPr>
              <w:t>August 2,</w:t>
            </w:r>
          </w:p>
        </w:tc>
      </w:tr>
      <w:tr>
        <w:trPr>
          <w:trHeight w:val="201"/>
        </w:trPr>
        <w:tc>
          <w:tcPr>
            <w:tcW w:w="79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2020</w:t>
            </w:r>
          </w:p>
        </w:tc>
      </w:tr>
      <w:tr>
        <w:trPr>
          <w:trHeight w:val="156"/>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2,250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(2,733)</w:t>
            </w:r>
          </w:p>
        </w:tc>
      </w:tr>
      <w:tr>
        <w:trPr>
          <w:trHeight w:val="143"/>
        </w:trPr>
        <w:tc>
          <w:tcPr>
            <w:tcW w:w="79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(loss) to net cash provided by</w:t>
            </w:r>
          </w:p>
        </w:tc>
        <w:tc>
          <w:tcPr>
            <w:tcW w:w="24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67"/>
        </w:trPr>
        <w:tc>
          <w:tcPr>
            <w:tcW w:w="79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operating activities:</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1,726</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1,822</w:t>
            </w: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Amortization</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121</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118</w:t>
            </w: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274</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126</w:t>
            </w: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(323)</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3,693</w:t>
            </w: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Income from investment in unconsolidated joint venture</w:t>
            </w:r>
          </w:p>
        </w:tc>
        <w:tc>
          <w:tcPr>
            <w:tcW w:w="24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(67)</w:t>
            </w: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Foreign currency exchange loss</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154</w:t>
            </w: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2,715</w:t>
            </w:r>
          </w:p>
        </w:tc>
        <w:tc>
          <w:tcPr>
            <w:tcW w:w="1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(4,757)</w:t>
            </w: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(2,676)</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7,592</w:t>
            </w: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(39)</w:t>
            </w:r>
          </w:p>
        </w:tc>
        <w:tc>
          <w:tcPr>
            <w:tcW w:w="1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(1,254)</w:t>
            </w: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(556)</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(24)</w:t>
            </w: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Accounts payable – trade</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2,723</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2,544</w:t>
            </w: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154</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183</w:t>
            </w: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Accrued expenses and deferred compensation</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(4,336)</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2,377</w:t>
            </w:r>
          </w:p>
        </w:tc>
      </w:tr>
      <w:tr>
        <w:trPr>
          <w:trHeight w:val="162"/>
        </w:trPr>
        <w:tc>
          <w:tcPr>
            <w:tcW w:w="7900" w:type="dxa"/>
            <w:vAlign w:val="bottom"/>
            <w:tcBorders>
              <w:bottom w:val="single" w:sz="8" w:color="CFF0FC"/>
            </w:tcBorders>
          </w:tcPr>
          <w:p>
            <w:pPr>
              <w:ind w:left="1000"/>
              <w:spacing w:after="0"/>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(465)</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807</w:t>
            </w:r>
          </w:p>
        </w:tc>
      </w:tr>
      <w:tr>
        <w:trPr>
          <w:trHeight w:val="155"/>
        </w:trPr>
        <w:tc>
          <w:tcPr>
            <w:tcW w:w="7900" w:type="dxa"/>
            <w:vAlign w:val="bottom"/>
            <w:shd w:val="clear" w:color="auto" w:fill="CFF0FC"/>
          </w:tcPr>
          <w:p>
            <w:pPr>
              <w:ind w:left="12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ind w:right="328"/>
              <w:spacing w:after="0" w:line="155" w:lineRule="exact"/>
              <w:rPr>
                <w:sz w:val="20"/>
                <w:szCs w:val="20"/>
                <w:color w:val="auto"/>
              </w:rPr>
            </w:pPr>
            <w:r>
              <w:rPr>
                <w:rFonts w:ascii="Arial" w:cs="Arial" w:eastAsia="Arial" w:hAnsi="Arial"/>
                <w:sz w:val="14"/>
                <w:szCs w:val="14"/>
                <w:b w:val="1"/>
                <w:bCs w:val="1"/>
                <w:color w:val="auto"/>
              </w:rPr>
              <w:t>1,571</w:t>
            </w:r>
          </w:p>
        </w:tc>
        <w:tc>
          <w:tcPr>
            <w:tcW w:w="14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10,581</w:t>
            </w:r>
          </w:p>
        </w:tc>
      </w:tr>
      <w:tr>
        <w:trPr>
          <w:trHeight w:val="156"/>
        </w:trPr>
        <w:tc>
          <w:tcPr>
            <w:tcW w:w="790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(1,953)</w:t>
            </w:r>
          </w:p>
        </w:tc>
        <w:tc>
          <w:tcPr>
            <w:tcW w:w="1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(500)</w:t>
            </w: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Investment in unconsolidated joint venture</w:t>
            </w:r>
          </w:p>
        </w:tc>
        <w:tc>
          <w:tcPr>
            <w:tcW w:w="24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(90)</w:t>
            </w: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maturity of short-term investments (Held to Maturity)</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1,967</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350</w:t>
            </w: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Purchase of short-term and long-term investments (Held to Maturity)</w:t>
            </w:r>
          </w:p>
        </w:tc>
        <w:tc>
          <w:tcPr>
            <w:tcW w:w="24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(5,973)</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(423)</w:t>
            </w: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short-term investments (Available for Sale)</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(4,031)</w:t>
            </w:r>
          </w:p>
        </w:tc>
        <w:tc>
          <w:tcPr>
            <w:tcW w:w="1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w:t>
            </w: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Proceeds from the sale of long-term investments (rabbi trust)</w:t>
            </w:r>
          </w:p>
        </w:tc>
        <w:tc>
          <w:tcPr>
            <w:tcW w:w="24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39</w:t>
            </w: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long-term investments (rabbi trust)</w:t>
            </w:r>
          </w:p>
        </w:tc>
        <w:tc>
          <w:tcPr>
            <w:tcW w:w="24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(403)</w:t>
            </w:r>
          </w:p>
        </w:tc>
        <w:tc>
          <w:tcPr>
            <w:tcW w:w="14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(78)</w:t>
            </w:r>
          </w:p>
        </w:tc>
      </w:tr>
      <w:tr>
        <w:trPr>
          <w:trHeight w:val="155"/>
        </w:trPr>
        <w:tc>
          <w:tcPr>
            <w:tcW w:w="790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(10,393)</w:t>
            </w:r>
          </w:p>
        </w:tc>
        <w:tc>
          <w:tcPr>
            <w:tcW w:w="14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(736)</w:t>
            </w:r>
          </w:p>
        </w:tc>
      </w:tr>
      <w:tr>
        <w:trPr>
          <w:trHeight w:val="156"/>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Payments associated with lines of credit</w:t>
            </w:r>
          </w:p>
        </w:tc>
        <w:tc>
          <w:tcPr>
            <w:tcW w:w="24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(30,772)</w:t>
            </w: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associated with Paycheck Protection Program Loan</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(7,606)</w:t>
            </w: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Dividends paid</w:t>
            </w:r>
          </w:p>
        </w:tc>
        <w:tc>
          <w:tcPr>
            <w:tcW w:w="24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(1,356)</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(1,291)</w:t>
            </w: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repurchased</w:t>
            </w:r>
          </w:p>
        </w:tc>
        <w:tc>
          <w:tcPr>
            <w:tcW w:w="2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268"/>
              <w:spacing w:after="0"/>
              <w:rPr>
                <w:sz w:val="20"/>
                <w:szCs w:val="20"/>
                <w:color w:val="auto"/>
              </w:rPr>
            </w:pPr>
            <w:r>
              <w:rPr>
                <w:rFonts w:ascii="Arial" w:cs="Arial" w:eastAsia="Arial" w:hAnsi="Arial"/>
                <w:sz w:val="14"/>
                <w:szCs w:val="14"/>
                <w:b w:val="1"/>
                <w:bCs w:val="1"/>
                <w:color w:val="auto"/>
              </w:rPr>
              <w:t>(723)</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Common stock surrendered for withholding taxes payable</w:t>
            </w:r>
          </w:p>
        </w:tc>
        <w:tc>
          <w:tcPr>
            <w:tcW w:w="24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(50)</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of debt issuance costs</w:t>
            </w:r>
          </w:p>
        </w:tc>
        <w:tc>
          <w:tcPr>
            <w:tcW w:w="24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r>
      <w:tr>
        <w:trPr>
          <w:trHeight w:val="155"/>
        </w:trPr>
        <w:tc>
          <w:tcPr>
            <w:tcW w:w="79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(2,129)</w:t>
            </w:r>
          </w:p>
        </w:tc>
        <w:tc>
          <w:tcPr>
            <w:tcW w:w="14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(39,684)</w:t>
            </w:r>
          </w:p>
        </w:tc>
      </w:tr>
      <w:tr>
        <w:trPr>
          <w:trHeight w:val="155"/>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28"/>
              <w:spacing w:after="0" w:line="155" w:lineRule="exact"/>
              <w:rPr>
                <w:sz w:val="20"/>
                <w:szCs w:val="20"/>
                <w:color w:val="auto"/>
              </w:rPr>
            </w:pPr>
            <w:r>
              <w:rPr>
                <w:rFonts w:ascii="Arial" w:cs="Arial" w:eastAsia="Arial" w:hAnsi="Arial"/>
                <w:sz w:val="14"/>
                <w:szCs w:val="14"/>
                <w:b w:val="1"/>
                <w:bCs w:val="1"/>
                <w:color w:val="auto"/>
              </w:rPr>
              <w:t>3</w:t>
            </w:r>
          </w:p>
        </w:tc>
        <w:tc>
          <w:tcPr>
            <w:tcW w:w="14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35</w:t>
            </w:r>
          </w:p>
        </w:tc>
      </w:tr>
      <w:tr>
        <w:trPr>
          <w:trHeight w:val="162"/>
        </w:trPr>
        <w:tc>
          <w:tcPr>
            <w:tcW w:w="7900" w:type="dxa"/>
            <w:vAlign w:val="bottom"/>
          </w:tcPr>
          <w:p>
            <w:pPr>
              <w:spacing w:after="0"/>
              <w:rPr>
                <w:sz w:val="20"/>
                <w:szCs w:val="20"/>
                <w:color w:val="auto"/>
              </w:rPr>
            </w:pPr>
            <w:r>
              <w:rPr>
                <w:rFonts w:ascii="Arial" w:cs="Arial" w:eastAsia="Arial" w:hAnsi="Arial"/>
                <w:sz w:val="14"/>
                <w:szCs w:val="14"/>
                <w:color w:val="auto"/>
              </w:rPr>
              <w:t>Decrease in cash and cash equivalents</w:t>
            </w:r>
          </w:p>
        </w:tc>
        <w:tc>
          <w:tcPr>
            <w:tcW w:w="24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(10,948)</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(29,804)</w:t>
            </w: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b w:val="1"/>
                <w:bCs w:val="1"/>
                <w:color w:val="auto"/>
              </w:rPr>
              <w:t>37,009</w:t>
            </w:r>
          </w:p>
        </w:tc>
        <w:tc>
          <w:tcPr>
            <w:tcW w:w="14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69,790</w:t>
            </w:r>
          </w:p>
        </w:tc>
      </w:tr>
      <w:tr>
        <w:trPr>
          <w:trHeight w:val="155"/>
        </w:trPr>
        <w:tc>
          <w:tcPr>
            <w:tcW w:w="790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6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26,061</w:t>
            </w:r>
          </w:p>
        </w:tc>
        <w:tc>
          <w:tcPr>
            <w:tcW w:w="1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39,986</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THREE-MONTH PERIOD ENDED AUGUST 1,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93"/>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Contributed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color w:val="auto"/>
              </w:rPr>
              <w:t>Total</w:t>
            </w:r>
          </w:p>
        </w:tc>
      </w:tr>
      <w:tr>
        <w:trPr>
          <w:trHeight w:val="167"/>
        </w:trPr>
        <w:tc>
          <w:tcPr>
            <w:tcW w:w="50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820" w:type="dxa"/>
            <w:vAlign w:val="bottom"/>
          </w:tcPr>
          <w:p>
            <w:pPr>
              <w:jc w:val="center"/>
              <w:ind w:right="193"/>
              <w:spacing w:after="0"/>
              <w:rPr>
                <w:sz w:val="20"/>
                <w:szCs w:val="20"/>
                <w:color w:val="auto"/>
              </w:rPr>
            </w:pPr>
            <w:r>
              <w:rPr>
                <w:rFonts w:ascii="Arial" w:cs="Arial" w:eastAsia="Arial" w:hAnsi="Arial"/>
                <w:sz w:val="14"/>
                <w:szCs w:val="14"/>
                <w:color w:val="auto"/>
                <w:w w:val="90"/>
              </w:rPr>
              <w:t>in Excess</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Accumulated</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Comprehensive</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Shareholders'</w:t>
            </w:r>
          </w:p>
        </w:tc>
      </w:tr>
      <w:tr>
        <w:trPr>
          <w:trHeight w:val="156"/>
        </w:trPr>
        <w:tc>
          <w:tcPr>
            <w:tcW w:w="50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w w:val="99"/>
              </w:rPr>
              <w:t>Amount</w:t>
            </w:r>
          </w:p>
        </w:tc>
        <w:tc>
          <w:tcPr>
            <w:tcW w:w="10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0"/>
              </w:rPr>
              <w:t>of Par Value</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color w:val="auto"/>
                <w:w w:val="94"/>
              </w:rPr>
              <w:t>Earnings</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color w:val="auto"/>
                <w:w w:val="91"/>
              </w:rPr>
              <w:t>Income</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May 2, 2021 *</w:t>
            </w: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99"/>
              </w:rPr>
              <w:t>12,312,822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43,807</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84,437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95"/>
              </w:rPr>
              <w:t>129,006</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2,250</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274</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148</w:t>
            </w: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5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vesting of performance-based restricted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units</w:t>
            </w: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10,863</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Common stock surrendered for withholding</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080" w:type="dxa"/>
            <w:vAlign w:val="bottom"/>
          </w:tcPr>
          <w:p>
            <w:pPr>
              <w:ind w:left="480"/>
              <w:spacing w:after="0"/>
              <w:rPr>
                <w:sz w:val="20"/>
                <w:szCs w:val="20"/>
                <w:color w:val="auto"/>
              </w:rPr>
            </w:pPr>
            <w:r>
              <w:rPr>
                <w:rFonts w:ascii="Arial" w:cs="Arial" w:eastAsia="Arial" w:hAnsi="Arial"/>
                <w:sz w:val="18"/>
                <w:szCs w:val="18"/>
                <w:color w:val="auto"/>
              </w:rPr>
              <w:t>taxes payable</w:t>
            </w:r>
          </w:p>
        </w:tc>
        <w:tc>
          <w:tcPr>
            <w:tcW w:w="1080" w:type="dxa"/>
            <w:vAlign w:val="bottom"/>
          </w:tcPr>
          <w:p>
            <w:pPr>
              <w:jc w:val="right"/>
              <w:spacing w:after="0"/>
              <w:rPr>
                <w:sz w:val="20"/>
                <w:szCs w:val="20"/>
                <w:color w:val="auto"/>
              </w:rPr>
            </w:pPr>
            <w:r>
              <w:rPr>
                <w:rFonts w:ascii="Arial" w:cs="Arial" w:eastAsia="Arial" w:hAnsi="Arial"/>
                <w:sz w:val="18"/>
                <w:szCs w:val="18"/>
                <w:color w:val="auto"/>
              </w:rPr>
              <w:t>(3,025)</w:t>
            </w:r>
          </w:p>
        </w:tc>
        <w:tc>
          <w:tcPr>
            <w:tcW w:w="2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4,312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1080" w:type="dxa"/>
            <w:vAlign w:val="bottom"/>
          </w:tcPr>
          <w:p>
            <w:pPr>
              <w:jc w:val="right"/>
              <w:spacing w:after="0"/>
              <w:rPr>
                <w:sz w:val="20"/>
                <w:szCs w:val="20"/>
                <w:color w:val="auto"/>
              </w:rPr>
            </w:pPr>
            <w:r>
              <w:rPr>
                <w:rFonts w:ascii="Arial" w:cs="Arial" w:eastAsia="Arial" w:hAnsi="Arial"/>
                <w:sz w:val="18"/>
                <w:szCs w:val="18"/>
                <w:color w:val="auto"/>
              </w:rPr>
              <w:t>(48,686)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0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August 1, 2021</w:t>
            </w: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12,276,286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43,310</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85,331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294</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129,549</w:t>
            </w: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THREE-MONTH PERIOD ENDED AUGUST 2, 2020</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4"/>
              <w:spacing w:after="0"/>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4"/>
              <w:spacing w:after="0"/>
              <w:rPr>
                <w:sz w:val="20"/>
                <w:szCs w:val="20"/>
                <w:color w:val="auto"/>
              </w:rPr>
            </w:pPr>
            <w:r>
              <w:rPr>
                <w:rFonts w:ascii="Arial" w:cs="Arial" w:eastAsia="Arial" w:hAnsi="Arial"/>
                <w:sz w:val="14"/>
                <w:szCs w:val="14"/>
                <w:color w:val="auto"/>
                <w:w w:val="93"/>
              </w:rPr>
              <w:t>Contributed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4"/>
                <w:szCs w:val="14"/>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color w:val="auto"/>
              </w:rPr>
              <w:t>Total</w:t>
            </w:r>
          </w:p>
        </w:tc>
      </w:tr>
      <w:tr>
        <w:trPr>
          <w:trHeight w:val="167"/>
        </w:trPr>
        <w:tc>
          <w:tcPr>
            <w:tcW w:w="508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54"/>
              <w:spacing w:after="0"/>
              <w:rPr>
                <w:sz w:val="20"/>
                <w:szCs w:val="20"/>
                <w:color w:val="auto"/>
              </w:rPr>
            </w:pPr>
            <w:r>
              <w:rPr>
                <w:rFonts w:ascii="Arial" w:cs="Arial" w:eastAsia="Arial" w:hAnsi="Arial"/>
                <w:sz w:val="14"/>
                <w:szCs w:val="14"/>
                <w:color w:val="auto"/>
                <w:w w:val="90"/>
              </w:rPr>
              <w:t>in Excess</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Accumulated</w:t>
            </w: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color w:val="auto"/>
                <w:w w:val="93"/>
              </w:rPr>
              <w:t>Comprehensive</w:t>
            </w:r>
          </w:p>
        </w:tc>
        <w:tc>
          <w:tcPr>
            <w:tcW w:w="900" w:type="dxa"/>
            <w:vAlign w:val="bottom"/>
            <w:gridSpan w:val="2"/>
          </w:tcPr>
          <w:p>
            <w:pPr>
              <w:spacing w:after="0"/>
              <w:rPr>
                <w:sz w:val="20"/>
                <w:szCs w:val="20"/>
                <w:color w:val="auto"/>
              </w:rPr>
            </w:pPr>
            <w:r>
              <w:rPr>
                <w:rFonts w:ascii="Arial" w:cs="Arial" w:eastAsia="Arial" w:hAnsi="Arial"/>
                <w:sz w:val="14"/>
                <w:szCs w:val="14"/>
                <w:color w:val="auto"/>
              </w:rPr>
              <w:t>Shareholders'</w:t>
            </w:r>
          </w:p>
        </w:tc>
      </w:tr>
      <w:tr>
        <w:trPr>
          <w:trHeight w:val="155"/>
        </w:trPr>
        <w:tc>
          <w:tcPr>
            <w:tcW w:w="50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Shares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w w:val="99"/>
              </w:rPr>
              <w:t>Amount</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54"/>
              <w:spacing w:after="0" w:line="155" w:lineRule="exact"/>
              <w:rPr>
                <w:sz w:val="20"/>
                <w:szCs w:val="20"/>
                <w:color w:val="auto"/>
              </w:rPr>
            </w:pPr>
            <w:r>
              <w:rPr>
                <w:rFonts w:ascii="Arial" w:cs="Arial" w:eastAsia="Arial" w:hAnsi="Arial"/>
                <w:sz w:val="14"/>
                <w:szCs w:val="14"/>
                <w:color w:val="auto"/>
                <w:w w:val="90"/>
              </w:rPr>
              <w:t>of Par Value</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w w:val="94"/>
              </w:rPr>
              <w:t>Earnings</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color w:val="auto"/>
                <w:w w:val="94"/>
              </w:rPr>
              <w:t>(Loss) Income</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May 3, 2020 *</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99"/>
              </w:rPr>
              <w:t>12,284,946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42,582</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86,511</w:t>
            </w:r>
          </w:p>
        </w:tc>
        <w:tc>
          <w:tcPr>
            <w:tcW w:w="30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95"/>
              </w:rPr>
              <w:t>129,698</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126</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69</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vested common stock award</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August 2, 2020</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9"/>
              </w:rPr>
              <w:t>12,291,946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42,708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82,487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95"/>
              </w:rPr>
              <w:t>125,869</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accompanying unaudited condensed consolidated financial statements of Culp, Inc. and its majority-owned subsidiaries (the “company”) include all adjustments, which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which are included in the company’s annual report on Form 10-K filed with the Securities and Exchange Commission on July 16, 2021, for the fiscal year ended May 2, 2021.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company’s three-months ended August 1, 2021, and August 2, 2020, each represent 13-week periods.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August 1, 2021, there were no changes in the nature of our significant accounting policies or the application of those policies from those reported in our annual report on Form 10-K for the year then ended May 2,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In December 2019, the FASB issued ASU No. 2019-12, </w:t>
      </w:r>
      <w:r>
        <w:rPr>
          <w:rFonts w:ascii="Arial" w:cs="Arial" w:eastAsia="Arial" w:hAnsi="Arial"/>
          <w:sz w:val="19"/>
          <w:szCs w:val="19"/>
          <w:i w:val="1"/>
          <w:iCs w:val="1"/>
          <w:color w:val="auto"/>
        </w:rPr>
        <w:t>Income Taxes</w:t>
      </w:r>
      <w:r>
        <w:rPr>
          <w:rFonts w:ascii="Arial" w:cs="Arial" w:eastAsia="Arial" w:hAnsi="Arial"/>
          <w:sz w:val="19"/>
          <w:szCs w:val="19"/>
          <w:color w:val="auto"/>
        </w:rPr>
        <w:t xml:space="preserve"> (Topic 740): </w:t>
      </w:r>
      <w:r>
        <w:rPr>
          <w:rFonts w:ascii="Arial" w:cs="Arial" w:eastAsia="Arial" w:hAnsi="Arial"/>
          <w:sz w:val="19"/>
          <w:szCs w:val="19"/>
          <w:i w:val="1"/>
          <w:iCs w:val="1"/>
          <w:color w:val="auto"/>
        </w:rPr>
        <w:t>Simplifying the Accounting for Income Taxes</w:t>
      </w:r>
      <w:r>
        <w:rPr>
          <w:rFonts w:ascii="Arial" w:cs="Arial" w:eastAsia="Arial" w:hAnsi="Arial"/>
          <w:sz w:val="19"/>
          <w:szCs w:val="19"/>
          <w:color w:val="auto"/>
        </w:rPr>
        <w:t xml:space="preserve"> (“ASU 2019-12”), which is intended to simplify various aspects related to accounting for income taxes. ASU 2019-12 removes certain exceptions to the general principles in Topic 740 and clarifies and amends existing guidance to improve consistent application. This guidance was effective for fiscal years, and periods within those fiscal years, beginning after December 15, 2020, with early adoption permitted. As a result, we adopted the provisions of ASU 2019-12 on May 3, 2021 (the beginning of fiscal 2022). The adoption of ASU 2019-12 did not affect our financial position, results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Issued Accounting Pronouncements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Currently, there are no new recent accounting pronouncements that are expected to have a material impact on our consolidated financial statements.</w:t>
      </w:r>
    </w:p>
    <w:p>
      <w:pPr>
        <w:spacing w:after="0" w:line="144"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 ACHIEVED IN STAGES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Effective January 1, 2017, Culp International Holdings, Ltd. (“Culp International”), a wholly-owned subsidiary of the company entered into a joint venture agreement pursuant to which Culp International owned 50% of Class International Holdings, Ltd. (“CIH). Effective February 1, 2021 (sometimes referred to as the “acquisition date”), Culp International entered into a Share Purchase Agreement with its former joint venture partner pursuant to which Culp International acquired the remaining 50% ownership interest in CIH. CIH produces cut and sewn mattress covers and is housed in two facilities totaling 120,000 square feet, located in a modern industrial park on the northeastern border of Haiti. We believe having sole ownership of this operation increases our capacity and enhances our flexibility by having near-shore capabilities that will help us to meet the needs of our mattress cover customers.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Prior to the acquisition of the remaining 50% ownership interest in CIH, we accounted for our initial 50% ownership interest in CIH as an unconsolidated joint venture under the equity method of accounting. In connection with the acquisition of the remaining 50% ownership interest in CIH, our consolidated financial statements now include all of the accounts of CIH, and any significant intercompany balances and transactions have been eliminated in consolidation.</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consideration transferred for our now-100% ownership interest in connection with this acquisition totaled $2.7 million, of which $1.7 million represented the fair value of our previously held 50% ownership interest in CIH at the time of acquisition, and $954,000 represented the purchase price that was mostly paid at closing on February 1, 2021, for the remaining 50% ownership interest in CIH. In accordance with ASC Topic 805-10-25-10, we remeasured our previously held 50% ownership interest in CIH at its acquisition date fair value. As of the acquisition date, the fair value of our previously held 50% ownership interest totaling $1.7 million represented its carrying amount, and therefore, no gain or loss was recognized in earnings for the remeasurement of our previously held 50% ownership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i w:val="1"/>
          <w:iCs w:val="1"/>
          <w:color w:val="auto"/>
        </w:rPr>
        <w:t>Assets Acquired and Liabilities Assumed</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the final allocation of the consideration transferred to the assets acquired and liabilities assumed based on their fair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480" w:type="dxa"/>
            <w:vAlign w:val="bottom"/>
          </w:tcPr>
          <w:p>
            <w:pPr>
              <w:spacing w:after="0"/>
              <w:rPr>
                <w:sz w:val="20"/>
                <w:szCs w:val="20"/>
                <w:color w:val="auto"/>
              </w:rPr>
            </w:pPr>
          </w:p>
        </w:tc>
        <w:tc>
          <w:tcPr>
            <w:tcW w:w="2160" w:type="dxa"/>
            <w:vAlign w:val="bottom"/>
          </w:tcPr>
          <w:p>
            <w:pPr>
              <w:jc w:val="right"/>
              <w:ind w:right="930"/>
              <w:spacing w:after="0"/>
              <w:rPr>
                <w:sz w:val="20"/>
                <w:szCs w:val="20"/>
                <w:color w:val="auto"/>
              </w:rPr>
            </w:pPr>
            <w:r>
              <w:rPr>
                <w:rFonts w:ascii="Arial" w:cs="Arial" w:eastAsia="Arial" w:hAnsi="Arial"/>
                <w:sz w:val="18"/>
                <w:szCs w:val="18"/>
                <w:color w:val="auto"/>
              </w:rPr>
              <w:t>Fair Value</w:t>
            </w:r>
          </w:p>
        </w:tc>
      </w:tr>
      <w:tr>
        <w:trPr>
          <w:trHeight w:val="223"/>
        </w:trPr>
        <w:tc>
          <w:tcPr>
            <w:tcW w:w="8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9"/>
                <w:szCs w:val="19"/>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169</w:t>
            </w:r>
          </w:p>
        </w:tc>
      </w:tr>
      <w:tr>
        <w:trPr>
          <w:trHeight w:val="229"/>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480" w:type="dxa"/>
            <w:vAlign w:val="bottom"/>
          </w:tcPr>
          <w:p>
            <w:pPr>
              <w:spacing w:after="0"/>
              <w:rPr>
                <w:sz w:val="19"/>
                <w:szCs w:val="19"/>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2,544</w:t>
            </w:r>
          </w:p>
        </w:tc>
      </w:tr>
      <w:tr>
        <w:trPr>
          <w:trHeight w:val="229"/>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 and leasehold improvements</w:t>
            </w: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r>
      <w:tr>
        <w:trPr>
          <w:trHeight w:val="229"/>
        </w:trPr>
        <w:tc>
          <w:tcPr>
            <w:tcW w:w="8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4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8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2,678</w:t>
            </w:r>
          </w:p>
        </w:tc>
      </w:tr>
      <w:tr>
        <w:trPr>
          <w:trHeight w:val="20"/>
        </w:trPr>
        <w:tc>
          <w:tcPr>
            <w:tcW w:w="8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Equipment and leasehold improvements is being depreciated on a straight-line basis over their remaining useful lives ranging from 1 to 10 years.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on Bargain Purchase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Concurrent with our acquisition of the remaining 50% ownership interest in CIH, our former joint venture partner sold its mattress business to a third party. Our acquisition of the remaining 50% ownership interest in CIH was undertaken due to this sale and the terms negotiated in connection therewith. As a result, the $3.5 million fair value of the identifiable assets acquired and liabilities assumed exceeded the consideration transferred of $2.7 million. Consequently, in accordance with ASC Topic 825-30-25-4, we (i) reassessed the recognition and measurement of the assets acquired, liabilities assumed, and previously held ownership interest; (ii) gained an understanding of why there was a bargain purchase; and (iii) reviewed the rebate and supply agreements that were executed concurrent with the Share Purchase Agreement. As part of our review of the rebate and supply agreements, we verified that the terms of these agreements were consistent with fair market terms and were considered separate transactions and not considered part of the business combination in accordance with ASC Topic 805-20-25-21. Accordingly, this acquisition was accounted for as a bargain purchase and, as a result, we recognized a gain of $819,000 as of the acquisition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Supply and Rebate Agreements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Share Purchase Agreement, we entered into a supply agreement and rebate agreement with an affiliated company of our former joint venture partner to secure plant capacity utilization and preserve sales channels of certain mattress fabric products. The supply and rebate agreements are effective as of the acquisition date and are based on future sales orders consistent with current market conditions.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transactions associated with the supply and rebate agreements are accounted for in accordance with ASC Topic 606 </w:t>
      </w:r>
      <w:r>
        <w:rPr>
          <w:rFonts w:ascii="Arial" w:cs="Arial" w:eastAsia="Arial" w:hAnsi="Arial"/>
          <w:sz w:val="20"/>
          <w:szCs w:val="20"/>
          <w:i w:val="1"/>
          <w:iCs w:val="1"/>
          <w:color w:val="auto"/>
        </w:rPr>
        <w:t>Revenue from</w:t>
      </w:r>
      <w:r>
        <w:rPr>
          <w:rFonts w:ascii="Arial" w:cs="Arial" w:eastAsia="Arial" w:hAnsi="Arial"/>
          <w:sz w:val="20"/>
          <w:szCs w:val="20"/>
          <w:color w:val="auto"/>
        </w:rPr>
        <w:t xml:space="preserve"> </w:t>
      </w:r>
      <w:r>
        <w:rPr>
          <w:rFonts w:ascii="Arial" w:cs="Arial" w:eastAsia="Arial" w:hAnsi="Arial"/>
          <w:sz w:val="20"/>
          <w:szCs w:val="20"/>
          <w:i w:val="1"/>
          <w:iCs w:val="1"/>
          <w:color w:val="auto"/>
        </w:rPr>
        <w:t>Contract with Customers</w:t>
      </w:r>
      <w:r>
        <w:rPr>
          <w:rFonts w:ascii="Arial" w:cs="Arial" w:eastAsia="Arial" w:hAnsi="Arial"/>
          <w:sz w:val="20"/>
          <w:szCs w:val="20"/>
          <w:color w:val="auto"/>
        </w:rPr>
        <w:t>. During the first quarter of fiscal 2022, shipments pursuant to the supply agreement were $455,000. During the first</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fiscal 2022, a charge of $21,000 pursuant to the rebate agreement was included in net sales in the Consolidated Statement of Net Income for the three months ended August 1, 2021.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 Forma Financial Information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unaudited pro forma consolidated results of operations for the three-month periods ending August 1, 2021, and August 2, 2020, have been prepared as if this acquisition had occurred on April 29,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August 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August 2,</w:t>
            </w:r>
          </w:p>
        </w:tc>
      </w:tr>
      <w:tr>
        <w:trPr>
          <w:trHeight w:val="230"/>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 except per share data)</w:t>
            </w: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83,047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64,761</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3,318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2,017</w:t>
            </w: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29"/>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diluted</w:t>
            </w:r>
          </w:p>
        </w:tc>
        <w:tc>
          <w:tcPr>
            <w:tcW w:w="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20"/>
          <w:szCs w:val="20"/>
          <w:color w:val="auto"/>
        </w:rPr>
        <w:t>The unaudited pro forma information is presented for informational purposes only and is not necessarily indicative of the results of operations that would have been achieved had the acquisition been consummated as of that time, nor is it intended to be a projection of future results.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Method of Accounting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accordance with the equity method of accounting, we reported our previous 50% proportionate share of net income of CIH as a separate line titled “income from investment in unconsolidated joint venture” in the accompanying Consolidated Statements of Net Income (Loss). Our 50% proportionate share of the net income of the unconsolidated joint venture was $67,000 during the first quarter of fiscal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assets, liabilities, and members’ equity for our equity method investment in CIH:</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80" w:type="dxa"/>
            <w:vAlign w:val="bottom"/>
          </w:tcPr>
          <w:p>
            <w:pPr>
              <w:jc w:val="right"/>
              <w:ind w:right="1250"/>
              <w:spacing w:after="0"/>
              <w:rPr>
                <w:sz w:val="20"/>
                <w:szCs w:val="20"/>
                <w:color w:val="auto"/>
              </w:rPr>
            </w:pPr>
            <w:r>
              <w:rPr>
                <w:rFonts w:ascii="Arial" w:cs="Arial" w:eastAsia="Arial" w:hAnsi="Arial"/>
                <w:sz w:val="18"/>
                <w:szCs w:val="18"/>
                <w:i w:val="1"/>
                <w:iCs w:val="1"/>
                <w:color w:val="auto"/>
              </w:rPr>
              <w:t>August 2,</w:t>
            </w:r>
          </w:p>
        </w:tc>
      </w:tr>
      <w:tr>
        <w:trPr>
          <w:trHeight w:val="230"/>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70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i w:val="1"/>
                <w:iCs w:val="1"/>
                <w:color w:val="auto"/>
              </w:rPr>
              <w:t>2020</w:t>
            </w: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7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3,668</w:t>
            </w: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34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50"/>
              <w:spacing w:after="0"/>
              <w:rPr>
                <w:sz w:val="20"/>
                <w:szCs w:val="20"/>
                <w:color w:val="auto"/>
              </w:rPr>
            </w:pPr>
            <w:r>
              <w:rPr>
                <w:rFonts w:ascii="Arial" w:cs="Arial" w:eastAsia="Arial" w:hAnsi="Arial"/>
                <w:sz w:val="18"/>
                <w:szCs w:val="18"/>
                <w:color w:val="auto"/>
              </w:rPr>
              <w:t>149</w:t>
            </w: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members’ equity</w:t>
            </w:r>
          </w:p>
        </w:tc>
        <w:tc>
          <w:tcPr>
            <w:tcW w:w="134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2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3,519</w:t>
            </w:r>
          </w:p>
        </w:tc>
      </w:tr>
      <w:tr>
        <w:trPr>
          <w:trHeight w:val="20"/>
        </w:trPr>
        <w:tc>
          <w:tcPr>
            <w:tcW w:w="7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August 2, 2020, our investment in unconsolidated joint venture totaled $1.8 million, which represents our 50% ownership interest in our investment in CIH.</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Allowance for Doubtful Accounts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in the allowance for doubtful accounts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color w:val="auto"/>
              </w:rPr>
              <w:t>Three Months Ended</w:t>
            </w:r>
          </w:p>
        </w:tc>
      </w:tr>
      <w:tr>
        <w:trPr>
          <w:trHeight w:val="213"/>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8"/>
              </w:rPr>
              <w:t>August 1, 2021</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8"/>
              </w:rPr>
              <w:t>August 2, 2020</w:t>
            </w:r>
          </w:p>
        </w:tc>
      </w:tr>
      <w:tr>
        <w:trPr>
          <w:trHeight w:val="212"/>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591</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472</w:t>
            </w:r>
          </w:p>
        </w:tc>
      </w:tr>
      <w:tr>
        <w:trPr>
          <w:trHeight w:val="213"/>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bad debts</w:t>
            </w:r>
          </w:p>
        </w:tc>
        <w:tc>
          <w:tcPr>
            <w:tcW w:w="3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w:t>
            </w:r>
          </w:p>
        </w:tc>
      </w:tr>
      <w:tr>
        <w:trPr>
          <w:trHeight w:val="210"/>
        </w:trPr>
        <w:tc>
          <w:tcPr>
            <w:tcW w:w="4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2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580</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552</w:t>
            </w:r>
          </w:p>
        </w:tc>
      </w:tr>
    </w:tbl>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During the three-month periods ended August 1, 2021, and August 2, 2020,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(i.e., COVID-19). After our risk assessment was completed, we assigned credit grades to our customers, which in turn, were used to determine our allowance for doubtful accounts totaling $580,000 and $552,000 as of August 1, 2021 and August 2,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Revenue from Contracts with Customers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Nature of Performance Obligations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primary performance obligations include the sale of mattress fabrics and upholstery fabrics, as well as the performance of customized fabrication and installation services of our own products associated with window treatments.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i w:val="1"/>
          <w:iCs w:val="1"/>
          <w:color w:val="auto"/>
        </w:rPr>
        <w:t>Contract Assets &amp; Liabilities</w:t>
      </w:r>
    </w:p>
    <w:p>
      <w:pPr>
        <w:spacing w:after="0" w:line="189"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 – 60 days. During the first quarter of fiscal 2021, extended terms were granted to certain customers in response to the challenging business conditions resulting from the COVID-19 global pandemic. Our customary terms, as well as any limited extended terms, are common within the industries in which we operate and are not considered financing arrangements. There were no contract assets recognized as of August 1, 2021, August 2, 2020, and May 2, 2021.</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associated with deferred revenue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40" w:type="dxa"/>
            <w:vAlign w:val="bottom"/>
            <w:gridSpan w:val="3"/>
          </w:tcPr>
          <w:p>
            <w:pPr>
              <w:jc w:val="right"/>
              <w:ind w:right="1079"/>
              <w:spacing w:after="0"/>
              <w:rPr>
                <w:sz w:val="20"/>
                <w:szCs w:val="20"/>
                <w:color w:val="auto"/>
              </w:rPr>
            </w:pPr>
            <w:r>
              <w:rPr>
                <w:rFonts w:ascii="Arial" w:cs="Arial" w:eastAsia="Arial" w:hAnsi="Arial"/>
                <w:sz w:val="16"/>
                <w:szCs w:val="16"/>
                <w:color w:val="auto"/>
              </w:rPr>
              <w:t>Three months ended</w:t>
            </w:r>
          </w:p>
        </w:tc>
      </w:tr>
      <w:tr>
        <w:trPr>
          <w:trHeight w:val="21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August 1, 2021</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August 2, 2020</w:t>
            </w: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2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540</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502</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Revenue recognized on contract liabilities</w:t>
            </w:r>
          </w:p>
        </w:tc>
        <w:tc>
          <w:tcPr>
            <w:tcW w:w="248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(611)</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6"/>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Payments received for services not yet rendered</w:t>
            </w:r>
          </w:p>
        </w:tc>
        <w:tc>
          <w:tcPr>
            <w:tcW w:w="24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765</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776</w:t>
            </w:r>
          </w:p>
        </w:tc>
      </w:tr>
      <w:tr>
        <w:trPr>
          <w:trHeight w:val="20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Disaggregation of Revenue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91"/>
              </w:rPr>
              <w:t>Mattress</w:t>
            </w:r>
          </w:p>
        </w:tc>
        <w:tc>
          <w:tcPr>
            <w:tcW w:w="50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Fabrics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43,058</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38,290</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81,348</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1,699</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1,699</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43,058</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39,989</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83,047</w:t>
            </w:r>
          </w:p>
        </w:tc>
      </w:tr>
    </w:tbl>
    <w:p>
      <w:pPr>
        <w:spacing w:after="0" w:line="200" w:lineRule="exact"/>
        <w:rPr>
          <w:sz w:val="20"/>
          <w:szCs w:val="20"/>
          <w:color w:val="auto"/>
        </w:rPr>
      </w:pPr>
    </w:p>
    <w:p>
      <w:pPr>
        <w:spacing w:after="0" w:line="3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36,103</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26,061</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62,164</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2,300</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2,300</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36,103</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28,361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64,464</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Inventories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Inventories are carried at the lower of cost or net realizable value. Cost is determined using the FIFO (first-in, first-out) method.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inventories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August 1,</w:t>
            </w: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August 2,</w:t>
            </w: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May 2,</w:t>
            </w:r>
          </w:p>
        </w:tc>
      </w:tr>
      <w:tr>
        <w:trPr>
          <w:trHeight w:val="20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2020</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r>
      <w:tr>
        <w:trPr>
          <w:trHeight w:val="213"/>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9,443</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7,742</w:t>
            </w:r>
          </w:p>
        </w:tc>
        <w:tc>
          <w:tcPr>
            <w:tcW w:w="4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7,742</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Work-in-process</w:t>
            </w:r>
          </w:p>
        </w:tc>
        <w:tc>
          <w:tcPr>
            <w:tcW w:w="27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3,637</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2,292</w:t>
            </w:r>
          </w:p>
        </w:tc>
        <w:tc>
          <w:tcPr>
            <w:tcW w:w="4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3,156</w:t>
            </w:r>
          </w:p>
        </w:tc>
      </w:tr>
      <w:tr>
        <w:trPr>
          <w:trHeight w:val="216"/>
        </w:trPr>
        <w:tc>
          <w:tcPr>
            <w:tcW w:w="4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7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45,533</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30,368</w:t>
            </w: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45,019</w:t>
            </w:r>
          </w:p>
        </w:tc>
      </w:tr>
      <w:tr>
        <w:trPr>
          <w:trHeight w:val="210"/>
        </w:trPr>
        <w:tc>
          <w:tcPr>
            <w:tcW w:w="40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58,613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40,402</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55,917</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intangible assets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91"/>
              </w:rPr>
              <w:t>August 1, 2021</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91"/>
              </w:rPr>
              <w:t>August 2, 2020</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May 2, 2021</w:t>
            </w:r>
          </w:p>
        </w:tc>
      </w:tr>
      <w:tr>
        <w:trPr>
          <w:trHeight w:val="21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Tradename</w:t>
            </w:r>
          </w:p>
        </w:tc>
        <w:tc>
          <w:tcPr>
            <w:tcW w:w="3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Customer relationships, net</w:t>
            </w:r>
          </w:p>
        </w:tc>
        <w:tc>
          <w:tcPr>
            <w:tcW w:w="32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1,862</w:t>
            </w:r>
          </w:p>
        </w:tc>
        <w:tc>
          <w:tcPr>
            <w:tcW w:w="2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2,162</w:t>
            </w:r>
          </w:p>
        </w:tc>
        <w:tc>
          <w:tcPr>
            <w:tcW w:w="3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1,937</w:t>
            </w:r>
          </w:p>
        </w:tc>
      </w:tr>
      <w:tr>
        <w:trPr>
          <w:trHeight w:val="216"/>
        </w:trPr>
        <w:tc>
          <w:tcPr>
            <w:tcW w:w="3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Non-compete agreement, net</w:t>
            </w:r>
          </w:p>
        </w:tc>
        <w:tc>
          <w:tcPr>
            <w:tcW w:w="3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508</w:t>
            </w: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584</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527</w:t>
            </w:r>
          </w:p>
        </w:tc>
      </w:tr>
      <w:tr>
        <w:trPr>
          <w:trHeight w:val="210"/>
        </w:trPr>
        <w:tc>
          <w:tcPr>
            <w:tcW w:w="36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3,286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3,004</w:t>
            </w:r>
          </w:p>
        </w:tc>
      </w:tr>
      <w:tr>
        <w:trPr>
          <w:trHeight w:val="446"/>
        </w:trPr>
        <w:tc>
          <w:tcPr>
            <w:tcW w:w="3680" w:type="dxa"/>
            <w:vAlign w:val="bottom"/>
          </w:tcPr>
          <w:p>
            <w:pPr>
              <w:spacing w:after="0"/>
              <w:rPr>
                <w:sz w:val="24"/>
                <w:szCs w:val="24"/>
                <w:color w:val="auto"/>
              </w:rPr>
            </w:pPr>
          </w:p>
        </w:tc>
        <w:tc>
          <w:tcPr>
            <w:tcW w:w="3200" w:type="dxa"/>
            <w:vAlign w:val="bottom"/>
          </w:tcPr>
          <w:p>
            <w:pPr>
              <w:jc w:val="right"/>
              <w:ind w:right="1013"/>
              <w:spacing w:after="0"/>
              <w:rPr>
                <w:sz w:val="20"/>
                <w:szCs w:val="20"/>
                <w:color w:val="auto"/>
              </w:rPr>
            </w:pPr>
            <w:r>
              <w:rPr>
                <w:rFonts w:ascii="Arial" w:cs="Arial" w:eastAsia="Arial" w:hAnsi="Arial"/>
                <w:sz w:val="20"/>
                <w:szCs w:val="20"/>
                <w:color w:val="auto"/>
              </w:rPr>
              <w:t>I-10</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36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8" w:right="339" w:bottom="1054" w:gutter="0" w:footer="0" w:header="0"/>
        </w:sectPr>
      </w:pPr>
    </w:p>
    <w:bookmarkStart w:id="12" w:name="page13"/>
    <w:bookmarkEnd w:id="12"/>
    <w:p>
      <w:pPr>
        <w:spacing w:after="0"/>
        <w:rPr>
          <w:sz w:val="20"/>
          <w:szCs w:val="20"/>
          <w:color w:val="auto"/>
        </w:rPr>
      </w:pPr>
      <w:r>
        <w:rPr>
          <w:rFonts w:ascii="Arial" w:cs="Arial" w:eastAsia="Arial" w:hAnsi="Arial"/>
          <w:sz w:val="20"/>
          <w:szCs w:val="20"/>
          <w:i w:val="1"/>
          <w:iCs w:val="1"/>
          <w:color w:val="auto"/>
        </w:rPr>
        <w:t>Tradename</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tradename totaling $540,000 as of August 1, 2021, pertained to Read, a separate reporting unit within the upholstery fabrics segment. Read’s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August 1, 2021, no indicators of impairment existed and therefore, no asset impairment charges associated with Read’s tradename were recorded during the first quarter of fiscal 2022.</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Three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August 1, 2021</w:t>
            </w:r>
          </w:p>
        </w:tc>
        <w:tc>
          <w:tcPr>
            <w:tcW w:w="2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August 2, 2020</w:t>
            </w:r>
          </w:p>
        </w:tc>
      </w:tr>
      <w:tr>
        <w:trPr>
          <w:trHeight w:val="212"/>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1,937</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2,238</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3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1,862</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2,162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customer relationships was $3.1 million as of August 1, 2021, August 2, 2020, and May 2, 2021, respectively. Accumulated amortization for these customer relationships was $1.3 million, $953,000, and $1.2 million as of August 1, 2021, August 2, 2020, and May 2, 2021, respectively.</w:t>
      </w:r>
    </w:p>
    <w:p>
      <w:pPr>
        <w:spacing w:after="0" w:line="14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amortization expense for the next five fiscal years and thereafter follows: FY 2022 - $226,000; FY 2023 - $301,000; FY 2024 - $301,000; FY 2025 - $301,000; FY 2026 - $301,000; and thereafter - $432,000.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our customer relationships was 6.4 years as of August 1, 2021.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Non-Compete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Three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August 1, 2021</w:t>
            </w:r>
          </w:p>
        </w:tc>
        <w:tc>
          <w:tcPr>
            <w:tcW w:w="2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August 2, 2020</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527</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602</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3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508</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584</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Our non-compete agreement is amortized on a straight-line basis over the fifteen-year life of the agreement.</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non-compete agreement was $2.0 million as of August 1, 2021, August 2, 2020, and May 2, 2021, respectively. Accumulated amortization for our non-compete agreement was $1.6 million, $1.5 million, and $1.5 million as of August 1, 2021, August 2, 2020, and May 2, 2021, respectively.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years and thereafter follows: FY 2022 - $56,000; FY 2023 - $76,000; FY 2024 - $76,000; FY 2025 - $76,000; FY 2026 - $76,000, and thereafter - $148,000.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the non-compete agreement was 6.8 years as of August 1, 2021.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accrued expenses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8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92"/>
              </w:rPr>
              <w:t>August 1, 2021</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August 2, 2020</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9"/>
              </w:rPr>
              <w:t>May 2, 2021</w:t>
            </w:r>
          </w:p>
        </w:tc>
      </w:tr>
      <w:tr>
        <w:trPr>
          <w:trHeight w:val="213"/>
        </w:trPr>
        <w:tc>
          <w:tcPr>
            <w:tcW w:w="4920" w:type="dxa"/>
            <w:vAlign w:val="bottom"/>
            <w:shd w:val="clear" w:color="auto" w:fill="CFF0FC"/>
          </w:tcPr>
          <w:p>
            <w:pPr>
              <w:spacing w:after="0"/>
              <w:rPr>
                <w:sz w:val="20"/>
                <w:szCs w:val="20"/>
                <w:color w:val="auto"/>
              </w:rPr>
            </w:pPr>
            <w:r>
              <w:rPr>
                <w:rFonts w:ascii="Arial" w:cs="Arial" w:eastAsia="Arial" w:hAnsi="Arial"/>
                <w:sz w:val="16"/>
                <w:szCs w:val="16"/>
                <w:color w:val="auto"/>
              </w:rPr>
              <w:t>Compensation, commissions and related benefits</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5,006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4,549</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9,816</w:t>
            </w:r>
          </w:p>
        </w:tc>
      </w:tr>
      <w:tr>
        <w:trPr>
          <w:trHeight w:val="213"/>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accrued expenses</w:t>
            </w:r>
          </w:p>
        </w:tc>
        <w:tc>
          <w:tcPr>
            <w:tcW w:w="1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4,944</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3,420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5,023</w:t>
            </w:r>
          </w:p>
        </w:tc>
      </w:tr>
      <w:tr>
        <w:trPr>
          <w:trHeight w:val="210"/>
        </w:trPr>
        <w:tc>
          <w:tcPr>
            <w:tcW w:w="492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9,950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7,969</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14,839</w:t>
            </w:r>
          </w:p>
        </w:tc>
      </w:tr>
    </w:tbl>
    <w:p>
      <w:pPr>
        <w:spacing w:after="0" w:line="19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Our entire accrued expense balances totaling $10.0 million as of August 1, 2021, and $14.8 million as of May 2, 2021, were classified as current accrued expenses in the accompanying Consolidated Balance Sheets. As of August 2, 2020, we had accrued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20"/>
          <w:szCs w:val="20"/>
          <w:color w:val="auto"/>
        </w:rPr>
        <w:t>expenses totaling $8.0 million, of which $7.9 million, and $117,000, were classified as current accrued expenses and long-term accrued expenses, respectively, in the accompanying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Lines of Credit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Agreement – United States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Credit Agreement (“Credit Agreement”) with Wells Fargo Bank, N.A. (“Wells Fargo”) provides a revolving loan commitment of $30 million, is set to expire on August 15, 2022, and allows us to issue letters of credit not to exceed $1 million.</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Interest is charged at a rate (applicable interest rate of 1.69%, 1.75%, and 1.71% as of August 1, 2021, August 2, 2020, and May 2, 2021, respectively) calculated using a variable spread over LIBOR based on our ratio of debt to EBITDA. Outstanding borrowings are secured by a pledge of 65% of the common stock of Culp International Holdings Ltd. (our subsidiary located in the Cayman Islands).</w:t>
      </w:r>
    </w:p>
    <w:p>
      <w:pPr>
        <w:spacing w:after="0" w:line="1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August 1, 2021, August 2, 2020, and May 2, 2021, there were $275,000, $250,000, and $275,000, respectively, in outstanding letters of credit provided by the Credit Agreement. As of August 1, 2021, we had $725,000 remaining for the issuance of additional letters of credit.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the Credit Agreement as of August 1, 2021, August 2, 2020, and May 2, 2021,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Agreements – China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Denominated in Chinese Yuan Renminbi (“RMB”)</w:t>
      </w:r>
    </w:p>
    <w:p>
      <w:pPr>
        <w:spacing w:after="0" w:line="18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have an unsecured credit agreement denominated in RMB with a bank located in China that provides for a line of credit of up to 40 million RMB ($6.2 million USD as of August 1, 2021). This agreement has an interest rate determined by the Chinese government at the time of borrowing and is set to expire on December 1, 2021.</w:t>
      </w:r>
    </w:p>
    <w:p>
      <w:pPr>
        <w:spacing w:after="0" w:line="145" w:lineRule="exact"/>
        <w:rPr>
          <w:sz w:val="20"/>
          <w:szCs w:val="20"/>
          <w:color w:val="auto"/>
        </w:rPr>
      </w:pPr>
    </w:p>
    <w:p>
      <w:pPr>
        <w:ind w:right="920"/>
        <w:spacing w:after="0" w:line="429" w:lineRule="auto"/>
        <w:rPr>
          <w:sz w:val="20"/>
          <w:szCs w:val="20"/>
          <w:color w:val="auto"/>
        </w:rPr>
      </w:pPr>
      <w:r>
        <w:rPr>
          <w:rFonts w:ascii="Arial" w:cs="Arial" w:eastAsia="Arial" w:hAnsi="Arial"/>
          <w:sz w:val="20"/>
          <w:szCs w:val="20"/>
          <w:color w:val="auto"/>
        </w:rPr>
        <w:t xml:space="preserve">There were no borrowings outstanding under this agreement as of August 1, 2021, August 2, 2020, and May 2, 2021, respectively. </w:t>
      </w:r>
      <w:r>
        <w:rPr>
          <w:rFonts w:ascii="Arial" w:cs="Arial" w:eastAsia="Arial" w:hAnsi="Arial"/>
          <w:sz w:val="20"/>
          <w:szCs w:val="20"/>
          <w:u w:val="single" w:color="auto"/>
          <w:color w:val="auto"/>
        </w:rPr>
        <w:t>Denominated in United States Dollar (“USD”)</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May 2, 2021, we had an unsecured credit agreement denominated in USD with another bank located in China that provided for a line of credit up to $2 million USD and was set to expire on July 7, 2021. On August 30, 2021, we renewed this agreement, which maintains our borrowing capacity of $2.0 million and extends the expiration date to August 30, 2022. The interest rate regarding this agreement is determined by the Chinese government at the time of the borrowing.</w:t>
      </w:r>
    </w:p>
    <w:p>
      <w:pPr>
        <w:spacing w:after="0" w:line="151" w:lineRule="exact"/>
        <w:rPr>
          <w:sz w:val="20"/>
          <w:szCs w:val="20"/>
          <w:color w:val="auto"/>
        </w:rPr>
      </w:pPr>
    </w:p>
    <w:p>
      <w:pPr>
        <w:ind w:right="1140"/>
        <w:spacing w:after="0" w:line="429" w:lineRule="auto"/>
        <w:rPr>
          <w:sz w:val="20"/>
          <w:szCs w:val="20"/>
          <w:color w:val="auto"/>
        </w:rPr>
      </w:pPr>
      <w:r>
        <w:rPr>
          <w:rFonts w:ascii="Arial" w:cs="Arial" w:eastAsia="Arial" w:hAnsi="Arial"/>
          <w:sz w:val="20"/>
          <w:szCs w:val="20"/>
          <w:color w:val="auto"/>
        </w:rPr>
        <w:t xml:space="preserve">There were no borrowings outstanding under this agreement as August 1, 2021, August 2, 2021, and May 2, 2021, respectively. </w:t>
      </w:r>
      <w:r>
        <w:rPr>
          <w:rFonts w:ascii="Arial" w:cs="Arial" w:eastAsia="Arial" w:hAnsi="Arial"/>
          <w:sz w:val="20"/>
          <w:szCs w:val="20"/>
          <w:i w:val="1"/>
          <w:iCs w:val="1"/>
          <w:color w:val="auto"/>
        </w:rPr>
        <w:t>Overall</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August 1, 2021, we complied with our financial covenants.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No interest payments were made during the first quarter of fiscal 2022. Interest paid during the first quarter of fiscal 2021 totaled $60,000.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Fair Value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hierarchy consists of three broad levels as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1 – Quoted market prices in active markets for identical assets or liabilities.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20"/>
          <w:szCs w:val="20"/>
          <w:color w:val="auto"/>
        </w:rPr>
        <w:t>Level 2 – Inputs other than level 1 inputs that are either directly or indirectly observable, and</w:t>
      </w:r>
    </w:p>
    <w:p>
      <w:pPr>
        <w:spacing w:after="0" w:line="189"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Level 3 – Unobservable inputs developed using the company’s estimates and assumptions, which reflect those that market participants would use.</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Recurring Basis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information about assets measured at fair value on a recurring basis:</w:t>
      </w:r>
    </w:p>
    <w:p>
      <w:pPr>
        <w:spacing w:after="0" w:line="26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Fair value measurements as of August 1, 2021,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259"/>
              <w:spacing w:after="0"/>
              <w:rPr>
                <w:sz w:val="20"/>
                <w:szCs w:val="20"/>
                <w:color w:val="auto"/>
              </w:rPr>
            </w:pPr>
            <w:r>
              <w:rPr>
                <w:rFonts w:ascii="Arial" w:cs="Arial" w:eastAsia="Arial" w:hAnsi="Arial"/>
                <w:sz w:val="16"/>
                <w:szCs w:val="16"/>
                <w:color w:val="auto"/>
                <w:w w:val="90"/>
              </w:rPr>
              <w:t>Quoted prices</w:t>
            </w:r>
          </w:p>
        </w:tc>
        <w:tc>
          <w:tcPr>
            <w:tcW w:w="140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color w:val="auto"/>
                <w:w w:val="97"/>
              </w:rPr>
              <w:t>Significant</w:t>
            </w: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1"/>
              </w:rPr>
              <w:t>in active</w:t>
            </w:r>
          </w:p>
        </w:tc>
        <w:tc>
          <w:tcPr>
            <w:tcW w:w="1400" w:type="dxa"/>
            <w:vAlign w:val="bottom"/>
          </w:tcPr>
          <w:p>
            <w:pPr>
              <w:jc w:val="center"/>
              <w:ind w:right="5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Significant</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5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5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unobservable</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31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inputs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inputs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9"/>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Level 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Level 3</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U.S. Government Money Market Fund</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8,205</w:t>
            </w:r>
          </w:p>
        </w:tc>
        <w:tc>
          <w:tcPr>
            <w:tcW w:w="140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8,205</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Bond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4,656</w:t>
            </w:r>
          </w:p>
        </w:tc>
        <w:tc>
          <w:tcPr>
            <w:tcW w:w="140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4,656</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Inflation Protected Bond Mutual Funds</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2,979</w:t>
            </w:r>
          </w:p>
        </w:tc>
        <w:tc>
          <w:tcPr>
            <w:tcW w:w="140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2,979</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Mortgage Securities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1,124</w:t>
            </w:r>
          </w:p>
        </w:tc>
        <w:tc>
          <w:tcPr>
            <w:tcW w:w="140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1,124</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Large Cap Equity Mutual Funds</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708</w:t>
            </w:r>
          </w:p>
        </w:tc>
        <w:tc>
          <w:tcPr>
            <w:tcW w:w="140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708</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Growth Allocation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419</w:t>
            </w:r>
          </w:p>
        </w:tc>
        <w:tc>
          <w:tcPr>
            <w:tcW w:w="140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419</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U.S. Event Driven Equity Mutual Fund</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194</w:t>
            </w:r>
          </w:p>
        </w:tc>
        <w:tc>
          <w:tcPr>
            <w:tcW w:w="140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Pr>
          <w:p>
            <w:pPr>
              <w:jc w:val="center"/>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194</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Mutual Fund</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91</w:t>
            </w:r>
          </w:p>
        </w:tc>
        <w:tc>
          <w:tcPr>
            <w:tcW w:w="140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w:t>
            </w:r>
          </w:p>
        </w:tc>
      </w:tr>
      <w:tr>
        <w:trPr>
          <w:trHeight w:val="21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163</w:t>
            </w: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r>
      <w:tr>
        <w:trPr>
          <w:trHeight w:val="452"/>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Fair value measurements as of August 2, 2020, using:</w:t>
            </w:r>
          </w:p>
        </w:tc>
        <w:tc>
          <w:tcPr>
            <w:tcW w:w="960" w:type="dxa"/>
            <w:vAlign w:val="bottom"/>
            <w:tcBorders>
              <w:bottom w:val="single" w:sz="8" w:color="auto"/>
            </w:tcBorders>
          </w:tcPr>
          <w:p>
            <w:pPr>
              <w:spacing w:after="0"/>
              <w:rPr>
                <w:sz w:val="24"/>
                <w:szCs w:val="24"/>
                <w:color w:val="auto"/>
              </w:rPr>
            </w:pPr>
          </w:p>
        </w:tc>
      </w:tr>
      <w:tr>
        <w:trPr>
          <w:trHeight w:val="207"/>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80" w:type="dxa"/>
            <w:vAlign w:val="bottom"/>
          </w:tcPr>
          <w:p>
            <w:pPr>
              <w:jc w:val="center"/>
              <w:ind w:right="299"/>
              <w:spacing w:after="0"/>
              <w:rPr>
                <w:sz w:val="20"/>
                <w:szCs w:val="20"/>
                <w:color w:val="auto"/>
              </w:rPr>
            </w:pPr>
            <w:r>
              <w:rPr>
                <w:rFonts w:ascii="Arial" w:cs="Arial" w:eastAsia="Arial" w:hAnsi="Arial"/>
                <w:sz w:val="16"/>
                <w:szCs w:val="16"/>
                <w:color w:val="auto"/>
                <w:w w:val="90"/>
              </w:rPr>
              <w:t>Quoted prices</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4"/>
              </w:rPr>
              <w:t>Significant</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79"/>
              <w:spacing w:after="0"/>
              <w:rPr>
                <w:sz w:val="20"/>
                <w:szCs w:val="20"/>
                <w:color w:val="auto"/>
              </w:rPr>
            </w:pPr>
            <w:r>
              <w:rPr>
                <w:rFonts w:ascii="Arial" w:cs="Arial" w:eastAsia="Arial" w:hAnsi="Arial"/>
                <w:sz w:val="16"/>
                <w:szCs w:val="16"/>
                <w:color w:val="auto"/>
                <w:w w:val="95"/>
              </w:rPr>
              <w:t>in active</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9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unobservable</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0"/>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2</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Level 3</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7,533</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7,533</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Bond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983</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983</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Growth Allocation Mutual Funds</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246</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246</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Mutual Fund</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71</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w:t>
            </w:r>
          </w:p>
        </w:tc>
      </w:tr>
      <w:tr>
        <w:trPr>
          <w:trHeight w:val="21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66</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N/A</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w:t>
            </w:r>
          </w:p>
        </w:tc>
      </w:tr>
      <w:tr>
        <w:trPr>
          <w:trHeight w:val="453"/>
        </w:trPr>
        <w:tc>
          <w:tcPr>
            <w:tcW w:w="4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Fair value measurements as of May 2, 2021, using:</w:t>
            </w:r>
          </w:p>
        </w:tc>
        <w:tc>
          <w:tcPr>
            <w:tcW w:w="960" w:type="dxa"/>
            <w:vAlign w:val="bottom"/>
            <w:tcBorders>
              <w:bottom w:val="single" w:sz="8" w:color="auto"/>
            </w:tcBorders>
          </w:tcPr>
          <w:p>
            <w:pPr>
              <w:spacing w:after="0"/>
              <w:rPr>
                <w:sz w:val="24"/>
                <w:szCs w:val="24"/>
                <w:color w:val="auto"/>
              </w:rPr>
            </w:pPr>
          </w:p>
        </w:tc>
      </w:tr>
      <w:tr>
        <w:trPr>
          <w:trHeight w:val="207"/>
        </w:trPr>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80" w:type="dxa"/>
            <w:vAlign w:val="bottom"/>
          </w:tcPr>
          <w:p>
            <w:pPr>
              <w:jc w:val="center"/>
              <w:ind w:right="299"/>
              <w:spacing w:after="0"/>
              <w:rPr>
                <w:sz w:val="20"/>
                <w:szCs w:val="20"/>
                <w:color w:val="auto"/>
              </w:rPr>
            </w:pPr>
            <w:r>
              <w:rPr>
                <w:rFonts w:ascii="Arial" w:cs="Arial" w:eastAsia="Arial" w:hAnsi="Arial"/>
                <w:sz w:val="16"/>
                <w:szCs w:val="16"/>
                <w:color w:val="auto"/>
                <w:w w:val="90"/>
              </w:rPr>
              <w:t>Quoted prices</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4"/>
              </w:rPr>
              <w:t>Significant</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79"/>
              <w:spacing w:after="0"/>
              <w:rPr>
                <w:sz w:val="20"/>
                <w:szCs w:val="20"/>
                <w:color w:val="auto"/>
              </w:rPr>
            </w:pPr>
            <w:r>
              <w:rPr>
                <w:rFonts w:ascii="Arial" w:cs="Arial" w:eastAsia="Arial" w:hAnsi="Arial"/>
                <w:sz w:val="16"/>
                <w:szCs w:val="16"/>
                <w:color w:val="auto"/>
                <w:w w:val="95"/>
              </w:rPr>
              <w:t>in active</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center"/>
              <w:ind w:right="29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unobservable</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0"/>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2</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Level 3</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7,879</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7,879</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Bond Mutual Funds</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4,101</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4,101</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Inflation Protected Bond Mutual Funds</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722</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722</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Mortgage Securities Mutual Fund</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719</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719</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Growth Allocation Mutual Funds</w:t>
            </w:r>
          </w:p>
        </w:tc>
        <w:tc>
          <w:tcPr>
            <w:tcW w:w="17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339</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3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339</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Mutual Fund</w:t>
            </w:r>
          </w:p>
        </w:tc>
        <w:tc>
          <w:tcPr>
            <w:tcW w:w="1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86</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w:t>
            </w:r>
          </w:p>
        </w:tc>
      </w:tr>
      <w:tr>
        <w:trPr>
          <w:trHeight w:val="21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111</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N/A</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i w:val="1"/>
          <w:iCs w:val="1"/>
          <w:color w:val="auto"/>
        </w:rPr>
        <w:t>Short-Term Investments – Available for Sale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short-term investments classified as available for sale consisted of various types of bond and equity mutual funds and had an accumulated unrealized gain totaling $143,000, $6,000 and $24,000 as of August 1, 2021, August 2, 2020, and May 2, 2021, respectively. Our short-term investments classified as available for sale were recorded at their fair values of $9.7 million, $983,000, and $5.5 million as of August 1, 2021, August 2, 2020, and May 2, 2021, respectively. As of August 1, 2021, August 2, 2020, and May 2, 2021, the fair value of our short-term investments classified as available for sale approximated their cost basis.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and Long-Term Investments - Held-To-Maturity</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investments classified as held-to-maturity consisted of investment grade U.S. corporate bonds, foreign bonds, and government bonds with remaining maturities of less than 4 years as of August 1, 2021. These investments were classified as held-to-maturity as we have the positive intent and ability to hold these investments until maturity. Our held-to-maturity investments were recorded as either current or noncurrent on our Consolidated Balance Sheets, based on the maturity date in relation to the respective reporting period, and were recorded at amortized cost.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August 1, 2021, August 2, 2020, and May 2, 2021, our held-to-maturity investments recorded at amortized cost totaled $8.3 million, $6.4 million, and $4.3 million, respectively. The fair value of our held-to-maturity investments as of August 1, 2021, August 2, 2020, and May 2, 2021, totaled $8.3 million, $6.5 million, and $4.3 million, respectively.</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bond investments were classified as level 2 within the fair value hierarchy as they were traded over the counter within a broker network and not on an active market. The fair value of our bond investments was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Current Expected Credit Loses (“CECL”)- Available for Sale and Held-To-Maturity Investments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August 1, 2021, August 2, 2020, and May 2, 2021, we did not record an allowance for credit losses related to our short-term available for sale or held-to-maturity investments, which are comprised of high-grade U.S. and foreign corporate bonds, U.S. Treasury bonds, and bond and equity mutual funds.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determined that our credit loss exposure was immaterial as we have experienced historically low unrealized losses and gains during past reporting periods. In addition, it is not our intention to sell, and it is not likely that we will be required to sell, our held-to-maturity investments before the recovery of their amortized cost basis.</w:t>
      </w:r>
    </w:p>
    <w:p>
      <w:pPr>
        <w:spacing w:after="0" w:line="14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August 1, 2021, we reported an accumulated unrealized gain of $143,000 associated with our short-term investments classified as available for sale. As mentioned above, it is not our intention to sell nor is it likely that we will be required to sell, our held-to-maturity investments before the recovery of their amortized cost basis. Accordingly, we did not record any credit loss expense during the three-month period ending August 1, 2021.</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Investments - Rabbi Trust</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rabbi trust for the participants of our deferred compensation plan (the “Plan”), that enables our participants to credit their contributions to various investment options of the Plan. The investments associated with the rabbi trust consist of a U.S. Government money market fund and various equity related mutual funds that are classified as available for sale.</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long-term investments associated with our rabbi trust are classified as available for sale and recorded at their fair values of $8.8 million, $7.9 million, and $8.4 million as of August 1, 2021, August 2, 2020, and May 2, 2021, respectively. The long-term investments associated with our rabbi trust had an accumulated unrealized gain of $151,000, $53,000, and 122,000, as of August 1, 2021, August 2, 2020, and May 2, 2021, respectively. The fair value of our long-term investments associated with our rabbi trust approximates their cost basis.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amount of our cash and cash equivalents, accounts receivable, other current assets, accounts payable, and accrued expenses approximate their fair value because of the short maturity of these financial instruments.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i w:val="1"/>
          <w:iCs w:val="1"/>
          <w:color w:val="auto"/>
        </w:rPr>
        <w:t>Nonrecurring Basis – Fourth Quarter of Fiscal 2021</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three-month period ending May 2, 2021, we had assets and liabilities that were required to be measured at fair value on a nonrecurring basis that pertained to assets acquired and certain liabilities that were assumed in connection with the CIH business combination effective February 1, 2021. See Note 3 of the consolidated financial statements for further details regarding this business combination.</w:t>
      </w:r>
    </w:p>
    <w:p>
      <w:pPr>
        <w:spacing w:after="0" w:line="39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Fair value measurements as of May 2, 2021,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center"/>
              <w:ind w:left="1299"/>
              <w:spacing w:after="0"/>
              <w:rPr>
                <w:sz w:val="20"/>
                <w:szCs w:val="20"/>
                <w:color w:val="auto"/>
              </w:rPr>
            </w:pPr>
            <w:r>
              <w:rPr>
                <w:rFonts w:ascii="Arial" w:cs="Arial" w:eastAsia="Arial" w:hAnsi="Arial"/>
                <w:sz w:val="16"/>
                <w:szCs w:val="16"/>
                <w:color w:val="auto"/>
                <w:w w:val="90"/>
              </w:rPr>
              <w:t>Quoted prices</w:t>
            </w: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7"/>
              </w:rPr>
              <w:t>Significant</w:t>
            </w:r>
          </w:p>
        </w:tc>
        <w:tc>
          <w:tcPr>
            <w:tcW w:w="1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960" w:type="dxa"/>
            <w:vAlign w:val="bottom"/>
          </w:tcPr>
          <w:p>
            <w:pPr>
              <w:jc w:val="center"/>
              <w:ind w:left="1299"/>
              <w:spacing w:after="0"/>
              <w:rPr>
                <w:sz w:val="20"/>
                <w:szCs w:val="20"/>
                <w:color w:val="auto"/>
              </w:rPr>
            </w:pPr>
            <w:r>
              <w:rPr>
                <w:rFonts w:ascii="Arial" w:cs="Arial" w:eastAsia="Arial" w:hAnsi="Arial"/>
                <w:sz w:val="16"/>
                <w:szCs w:val="16"/>
                <w:color w:val="auto"/>
                <w:w w:val="91"/>
              </w:rPr>
              <w:t>in active</w:t>
            </w: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87"/>
              </w:rPr>
              <w:t>other</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Significant</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960" w:type="dxa"/>
            <w:vAlign w:val="bottom"/>
          </w:tcPr>
          <w:p>
            <w:pPr>
              <w:jc w:val="center"/>
              <w:ind w:left="1299"/>
              <w:spacing w:after="0"/>
              <w:rPr>
                <w:sz w:val="20"/>
                <w:szCs w:val="20"/>
                <w:color w:val="auto"/>
              </w:rPr>
            </w:pPr>
            <w:r>
              <w:rPr>
                <w:rFonts w:ascii="Arial" w:cs="Arial" w:eastAsia="Arial" w:hAnsi="Arial"/>
                <w:sz w:val="16"/>
                <w:szCs w:val="16"/>
                <w:color w:val="auto"/>
                <w:w w:val="92"/>
              </w:rPr>
              <w:t>markets for</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89"/>
              </w:rPr>
              <w:t>observable</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unobservable</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89"/>
              </w:rPr>
              <w:t>identical assets</w:t>
            </w: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3"/>
              </w:rPr>
              <w:t>inputs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inputs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0"/>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29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6"/>
              </w:rPr>
              <w:t>Level 1</w:t>
            </w: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2"/>
              </w:rPr>
              <w:t>Level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2"/>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29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Right of use assets</w:t>
            </w:r>
          </w:p>
        </w:tc>
        <w:tc>
          <w:tcPr>
            <w:tcW w:w="2960" w:type="dxa"/>
            <w:vAlign w:val="bottom"/>
          </w:tcPr>
          <w:p>
            <w:pPr>
              <w:ind w:left="2500"/>
              <w:spacing w:after="0"/>
              <w:rPr>
                <w:sz w:val="20"/>
                <w:szCs w:val="20"/>
                <w:color w:val="auto"/>
              </w:rPr>
            </w:pPr>
            <w:r>
              <w:rPr>
                <w:rFonts w:ascii="Arial" w:cs="Arial" w:eastAsia="Arial" w:hAnsi="Arial"/>
                <w:sz w:val="16"/>
                <w:szCs w:val="16"/>
                <w:color w:val="auto"/>
              </w:rPr>
              <w:t>N/A</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2,544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N/A</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2,544</w:t>
            </w:r>
          </w:p>
        </w:tc>
      </w:tr>
      <w:tr>
        <w:trPr>
          <w:trHeight w:val="21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Equipment and leasehold improvements</w:t>
            </w:r>
          </w:p>
        </w:tc>
        <w:tc>
          <w:tcPr>
            <w:tcW w:w="2960" w:type="dxa"/>
            <w:vAlign w:val="bottom"/>
            <w:shd w:val="clear" w:color="auto" w:fill="CFF0FC"/>
          </w:tcPr>
          <w:p>
            <w:pPr>
              <w:ind w:left="25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846</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846</w:t>
            </w: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Inventory</w:t>
            </w:r>
          </w:p>
        </w:tc>
        <w:tc>
          <w:tcPr>
            <w:tcW w:w="2960" w:type="dxa"/>
            <w:vAlign w:val="bottom"/>
            <w:tcBorders>
              <w:bottom w:val="single" w:sz="8" w:color="auto"/>
            </w:tcBorders>
          </w:tcPr>
          <w:p>
            <w:pPr>
              <w:ind w:left="250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r>
    </w:tbl>
    <w:p>
      <w:pPr>
        <w:spacing w:after="0" w:line="200" w:lineRule="exact"/>
        <w:rPr>
          <w:sz w:val="20"/>
          <w:szCs w:val="20"/>
          <w:color w:val="auto"/>
        </w:rPr>
      </w:pP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fair value of our right of use assets was based on our analysis of a recent appraisal of annual lease rates per square foot for industrial buildings that are similar in nature and within the same locale. We believe the annual lease rates per square foot presented in our recent appraisal represent significant observable inputs and therefore the right of use assets were classified as level 2.</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Additionally, in connection with the CIH business combination effective February 1, 2021, we acquired cash, accounts receivable, and certain other current assets, and we assumed accounts payable. Based on the nature of these items and their short-term maturity, the carrying amount of these items approximated their fair values. See Note 3 of the consolidated financial statements for the final allocation of the acquisition cost to assets acquired and liabilities assumed based on their fair values.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Net Income (Loss) Per Share</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Basic net income (loss) per share is computed using the weighted-average number of shares outstanding during the period. Diluted net income (loss) per share uses the weighted-average number of shares outstanding during the period plus the dilutive effect of stock-based compensation calculated using the treasury stock method.</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Weighted average shares used in the computation of basic and diluted net income (loss)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60" w:type="dxa"/>
            <w:vAlign w:val="bottom"/>
          </w:tcPr>
          <w:p>
            <w:pPr>
              <w:spacing w:after="0"/>
              <w:rPr>
                <w:sz w:val="17"/>
                <w:szCs w:val="17"/>
                <w:color w:val="auto"/>
              </w:rPr>
            </w:pPr>
          </w:p>
        </w:tc>
        <w:tc>
          <w:tcPr>
            <w:tcW w:w="5480" w:type="dxa"/>
            <w:vAlign w:val="bottom"/>
            <w:gridSpan w:val="2"/>
          </w:tcPr>
          <w:p>
            <w:pPr>
              <w:jc w:val="right"/>
              <w:ind w:right="1079"/>
              <w:spacing w:after="0"/>
              <w:rPr>
                <w:sz w:val="20"/>
                <w:szCs w:val="20"/>
                <w:color w:val="auto"/>
              </w:rPr>
            </w:pPr>
            <w:r>
              <w:rPr>
                <w:rFonts w:ascii="Arial" w:cs="Arial" w:eastAsia="Arial" w:hAnsi="Arial"/>
                <w:sz w:val="16"/>
                <w:szCs w:val="16"/>
                <w:color w:val="auto"/>
              </w:rPr>
              <w:t>Three months ended</w:t>
            </w:r>
          </w:p>
        </w:tc>
      </w:tr>
      <w:tr>
        <w:trPr>
          <w:trHeight w:val="219"/>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7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August 1, 2021</w:t>
            </w:r>
          </w:p>
        </w:tc>
        <w:tc>
          <w:tcPr>
            <w:tcW w:w="1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August 2, 2020</w:t>
            </w: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basic</w:t>
            </w:r>
          </w:p>
        </w:tc>
        <w:tc>
          <w:tcPr>
            <w:tcW w:w="37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12,313</w:t>
            </w:r>
          </w:p>
        </w:tc>
        <w:tc>
          <w:tcPr>
            <w:tcW w:w="1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12,287</w:t>
            </w: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stock-based compensation</w:t>
            </w:r>
          </w:p>
        </w:tc>
        <w:tc>
          <w:tcPr>
            <w:tcW w:w="3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102</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5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12,415</w:t>
            </w:r>
          </w:p>
        </w:tc>
        <w:tc>
          <w:tcPr>
            <w:tcW w:w="1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12,287</w:t>
            </w:r>
          </w:p>
        </w:tc>
      </w:tr>
    </w:tbl>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first quarter of fiscal 2022, all unvested shares of common stock were included in the computation of diluted net income per share.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first quarter of fiscal 2021, 33,828 shares of unvested common stock were not included in the computation of diluted net loss per share, as their effect would be antidilutive. Of the 33,828 shares of unvested common stock, 27,153 shares were not included in the computation as their effect would be antidilutive due to the decrease in the price per share of our common stock during the reporting period in relation to the price per share of our common stock as of the respective grant dates of the related stock-based compensation awards. In addition, 6,675 shares of unvested common stock were not included in the computation as we incurred a net loss for the first quarter of fiscal 2021, and therefore, their effect would be antidilutive.</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Segment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20"/>
          <w:szCs w:val="20"/>
          <w:color w:val="auto"/>
        </w:rPr>
        <w:t>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Information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evaluate the operating performance of our business segments based upon income (loss) from operations before certain unallocated corporate expenses, asset impairments, restructuring credit (expense) and related charges, and other non-recurring items.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 Segment assets include assets used in the operations of each segment and primarily consist of accounts receivable, inventories, property, plant, and equipment, and right of use assets. The mattress fabrics segment also included in segment assets its investment in an unconsolidated joint venture as of August 2, 2020.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Statements of operations for our operating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3"/>
          </w:tcPr>
          <w:p>
            <w:pPr>
              <w:jc w:val="right"/>
              <w:ind w:right="107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8"/>
              </w:rPr>
              <w:t>August 1, 2021</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8"/>
              </w:rPr>
              <w:t>August 2, 2020</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sales by segment:</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43,058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36,103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39,989</w:t>
            </w:r>
          </w:p>
        </w:tc>
        <w:tc>
          <w:tcPr>
            <w:tcW w:w="3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28,361</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83,047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64,464</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6,795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4,608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5,704</w:t>
            </w:r>
          </w:p>
        </w:tc>
        <w:tc>
          <w:tcPr>
            <w:tcW w:w="3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5,293</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12,499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 by segment:</w:t>
            </w: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3,184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3,437</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unallocated corporate expenses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2,560</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2,075</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9,181</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8,018</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income (loss) from operations by segment:</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3,611</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upholstery fabrics</w:t>
            </w:r>
          </w:p>
        </w:tc>
        <w:tc>
          <w:tcPr>
            <w:tcW w:w="18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2,267</w:t>
            </w:r>
          </w:p>
        </w:tc>
        <w:tc>
          <w:tcPr>
            <w:tcW w:w="3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 corporate expenses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(2,560)</w:t>
            </w:r>
          </w:p>
        </w:tc>
        <w:tc>
          <w:tcPr>
            <w:tcW w:w="3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(2,075)</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spacing w:after="0"/>
              <w:rPr>
                <w:sz w:val="17"/>
                <w:szCs w:val="17"/>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3,318</w:t>
            </w:r>
          </w:p>
        </w:tc>
        <w:tc>
          <w:tcPr>
            <w:tcW w:w="3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(237)</w:t>
            </w:r>
          </w:p>
        </w:tc>
        <w:tc>
          <w:tcPr>
            <w:tcW w:w="3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3,155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Balance sheet information for our operating segments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98"/>
              </w:rPr>
              <w:t>August 1, 2021</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August 2, 2020</w:t>
            </w:r>
          </w:p>
        </w:tc>
        <w:tc>
          <w:tcPr>
            <w:tcW w:w="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May 2, 2021</w:t>
            </w:r>
          </w:p>
        </w:tc>
      </w:tr>
      <w:tr>
        <w:trPr>
          <w:trHeight w:val="212"/>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Segment 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18,016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15,585</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20,427</w:t>
            </w: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31,778</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20,070</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30,047</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Property, plant and equipment (1)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40,881</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39,597</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41,264</w:t>
            </w: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Right of use assets (2)</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4,058</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832</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4,278</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 in unconsolidated joint venture</w:t>
            </w: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1,759</w:t>
            </w:r>
          </w:p>
        </w:tc>
        <w:tc>
          <w:tcPr>
            <w:tcW w:w="3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7"/>
        </w:trPr>
        <w:tc>
          <w:tcPr>
            <w:tcW w:w="62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mattress fabrics assets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94,733</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77,843</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96,016</w:t>
            </w:r>
          </w:p>
        </w:tc>
      </w:tr>
      <w:tr>
        <w:trPr>
          <w:trHeight w:val="213"/>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16,992</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14,308</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17,299</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26,835</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20,332</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25,870</w:t>
            </w:r>
          </w:p>
        </w:tc>
      </w:tr>
      <w:tr>
        <w:trPr>
          <w:trHeight w:val="213"/>
        </w:trPr>
        <w:tc>
          <w:tcPr>
            <w:tcW w:w="6220" w:type="dxa"/>
            <w:vAlign w:val="bottom"/>
          </w:tcPr>
          <w:p>
            <w:pPr>
              <w:ind w:left="500"/>
              <w:spacing w:after="0"/>
              <w:rPr>
                <w:sz w:val="20"/>
                <w:szCs w:val="20"/>
                <w:color w:val="auto"/>
              </w:rPr>
            </w:pPr>
            <w:r>
              <w:rPr>
                <w:rFonts w:ascii="Arial" w:cs="Arial" w:eastAsia="Arial" w:hAnsi="Arial"/>
                <w:sz w:val="16"/>
                <w:szCs w:val="16"/>
                <w:color w:val="auto"/>
              </w:rPr>
              <w:t>Property, plant and equipment (3)</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2,080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1,634</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1,925</w:t>
            </w:r>
          </w:p>
        </w:tc>
      </w:tr>
      <w:tr>
        <w:trPr>
          <w:trHeight w:val="219"/>
        </w:trPr>
        <w:tc>
          <w:tcPr>
            <w:tcW w:w="6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Right of use assets (4)</w:t>
            </w: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5,984</w:t>
            </w:r>
          </w:p>
        </w:tc>
        <w:tc>
          <w:tcPr>
            <w:tcW w:w="2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3,802</w:t>
            </w:r>
          </w:p>
        </w:tc>
        <w:tc>
          <w:tcPr>
            <w:tcW w:w="3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5,945</w:t>
            </w:r>
          </w:p>
        </w:tc>
      </w:tr>
      <w:tr>
        <w:trPr>
          <w:trHeight w:val="207"/>
        </w:trPr>
        <w:tc>
          <w:tcPr>
            <w:tcW w:w="62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upholstery fabrics assets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51,891</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40,076</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51,039</w:t>
            </w:r>
          </w:p>
        </w:tc>
      </w:tr>
      <w:tr>
        <w:trPr>
          <w:trHeight w:val="213"/>
        </w:trPr>
        <w:tc>
          <w:tcPr>
            <w:tcW w:w="62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segment assets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146,624</w:t>
            </w: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117,919</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147,055</w:t>
            </w:r>
          </w:p>
        </w:tc>
      </w:tr>
      <w:tr>
        <w:trPr>
          <w:trHeight w:val="207"/>
        </w:trPr>
        <w:tc>
          <w:tcPr>
            <w:tcW w:w="6220" w:type="dxa"/>
            <w:vAlign w:val="bottom"/>
          </w:tcPr>
          <w:p>
            <w:pPr>
              <w:ind w:left="260"/>
              <w:spacing w:after="0"/>
              <w:rPr>
                <w:sz w:val="20"/>
                <w:szCs w:val="20"/>
                <w:color w:val="auto"/>
              </w:rPr>
            </w:pPr>
            <w:r>
              <w:rPr>
                <w:rFonts w:ascii="Arial" w:cs="Arial" w:eastAsia="Arial" w:hAnsi="Arial"/>
                <w:sz w:val="16"/>
                <w:szCs w:val="16"/>
                <w:color w:val="auto"/>
              </w:rPr>
              <w:t>Non-segment assets: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26,061</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39,986</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37,009</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9,698</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983</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5,542</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1,661</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5,092</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3,161</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Current income taxes receivable</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782</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3,889</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3,547</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3,852</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593</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545</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plant and equipment (5)</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969</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814</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Right of use assets (6)</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1,405</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1,809</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1,507</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2,910</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3,004</w:t>
            </w: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Long-term investments - rabbi trust</w:t>
            </w: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8,841</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7,916</w:t>
            </w:r>
          </w:p>
        </w:tc>
        <w:tc>
          <w:tcPr>
            <w:tcW w:w="3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8,415</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investments - held-to-maturity</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6,629</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1,141</w:t>
            </w:r>
          </w:p>
        </w:tc>
      </w:tr>
      <w:tr>
        <w:trPr>
          <w:trHeight w:val="213"/>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2,582</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2,035</w:t>
            </w:r>
          </w:p>
        </w:tc>
      </w:tr>
      <w:tr>
        <w:trPr>
          <w:trHeight w:val="210"/>
        </w:trPr>
        <w:tc>
          <w:tcPr>
            <w:tcW w:w="62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212,248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184,587</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214,080</w:t>
            </w: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3"/>
          </w:tcPr>
          <w:p>
            <w:pPr>
              <w:spacing w:after="0" w:line="20" w:lineRule="exact"/>
              <w:rPr>
                <w:sz w:val="1"/>
                <w:szCs w:val="1"/>
                <w:color w:val="auto"/>
              </w:rPr>
            </w:pPr>
          </w:p>
        </w:tc>
      </w:tr>
      <w:tr>
        <w:trPr>
          <w:trHeight w:val="173"/>
        </w:trPr>
        <w:tc>
          <w:tcPr>
            <w:tcW w:w="6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3"/>
          </w:tcPr>
          <w:p>
            <w:pPr>
              <w:spacing w:after="0"/>
              <w:rPr>
                <w:sz w:val="15"/>
                <w:szCs w:val="15"/>
                <w:color w:val="auto"/>
              </w:rPr>
            </w:pPr>
          </w:p>
        </w:tc>
      </w:tr>
      <w:tr>
        <w:trPr>
          <w:trHeight w:val="230"/>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3"/>
          </w:tcPr>
          <w:p>
            <w:pPr>
              <w:jc w:val="right"/>
              <w:ind w:right="1019"/>
              <w:spacing w:after="0"/>
              <w:rPr>
                <w:sz w:val="20"/>
                <w:szCs w:val="20"/>
                <w:color w:val="auto"/>
              </w:rPr>
            </w:pPr>
            <w:r>
              <w:rPr>
                <w:rFonts w:ascii="Arial" w:cs="Arial" w:eastAsia="Arial" w:hAnsi="Arial"/>
                <w:sz w:val="16"/>
                <w:szCs w:val="16"/>
                <w:color w:val="auto"/>
              </w:rPr>
              <w:t>Three months ended</w:t>
            </w:r>
          </w:p>
        </w:tc>
      </w:tr>
      <w:tr>
        <w:trPr>
          <w:trHeight w:val="219"/>
        </w:trPr>
        <w:tc>
          <w:tcPr>
            <w:tcW w:w="6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2"/>
              </w:rPr>
              <w:t>August 1, 2021</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6"/>
              </w:rPr>
              <w:t>August 2, 2020</w:t>
            </w:r>
          </w:p>
        </w:tc>
      </w:tr>
      <w:tr>
        <w:trPr>
          <w:trHeight w:val="213"/>
        </w:trPr>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(7):</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3"/>
        </w:trPr>
        <w:tc>
          <w:tcPr>
            <w:tcW w:w="62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1,117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545</w:t>
            </w: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262</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w:t>
            </w:r>
          </w:p>
        </w:tc>
      </w:tr>
      <w:tr>
        <w:trPr>
          <w:trHeight w:val="213"/>
        </w:trPr>
        <w:tc>
          <w:tcPr>
            <w:tcW w:w="6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Unallocated Corporate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274</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r>
      <w:tr>
        <w:trPr>
          <w:trHeight w:val="209"/>
        </w:trPr>
        <w:tc>
          <w:tcPr>
            <w:tcW w:w="6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 capital expenditures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1,653</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726</w:t>
            </w:r>
          </w:p>
        </w:tc>
      </w:tr>
      <w:tr>
        <w:trPr>
          <w:trHeight w:val="210"/>
        </w:trPr>
        <w:tc>
          <w:tcPr>
            <w:tcW w:w="6220" w:type="dxa"/>
            <w:vAlign w:val="bottom"/>
          </w:tcPr>
          <w:p>
            <w:pPr>
              <w:spacing w:after="0"/>
              <w:rPr>
                <w:sz w:val="20"/>
                <w:szCs w:val="20"/>
                <w:color w:val="auto"/>
              </w:rPr>
            </w:pPr>
            <w:r>
              <w:rPr>
                <w:rFonts w:ascii="Arial" w:cs="Arial" w:eastAsia="Arial" w:hAnsi="Arial"/>
                <w:sz w:val="16"/>
                <w:szCs w:val="16"/>
                <w:color w:val="auto"/>
              </w:rPr>
              <w:t>Depreciation expense:</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6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1,521</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1,631</w:t>
            </w:r>
          </w:p>
        </w:tc>
      </w:tr>
      <w:tr>
        <w:trPr>
          <w:trHeight w:val="213"/>
        </w:trPr>
        <w:tc>
          <w:tcPr>
            <w:tcW w:w="6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Upholstery Fabrics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r>
      <w:tr>
        <w:trPr>
          <w:trHeight w:val="209"/>
        </w:trPr>
        <w:tc>
          <w:tcPr>
            <w:tcW w:w="6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 depreciation expense</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1,726</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1,822</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360" w:hanging="352"/>
        <w:spacing w:after="0" w:line="282"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$40.9 million as of August 1, 2021, represents property, plant, and equipment of $27.6 million, $12.4 million, and $875,000 located in the U.S., Canada, and Haiti, respectively. The $39.6 million as of August 2, 2020, represents property, plant, and equipment of $27.0 million and $12.6 million located in the U.S. and Canada, respectively. The $41.3 million as of May 2, 2021, represents property, plant, and equipment of $28.4 million, $12.0 million, and $855,000 located in the U.S., Canada, and Haiti, respectively.</w:t>
      </w:r>
    </w:p>
    <w:p>
      <w:pPr>
        <w:spacing w:after="0" w:line="120" w:lineRule="exact"/>
        <w:rPr>
          <w:rFonts w:ascii="Arial" w:cs="Arial" w:eastAsia="Arial" w:hAnsi="Arial"/>
          <w:sz w:val="18"/>
          <w:szCs w:val="18"/>
          <w:color w:val="auto"/>
        </w:rPr>
      </w:pPr>
    </w:p>
    <w:p>
      <w:pPr>
        <w:jc w:val="both"/>
        <w:ind w:left="360" w:hanging="352"/>
        <w:spacing w:after="0" w:line="246" w:lineRule="auto"/>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$4.1 million as of August 1, 2021, represents right of use assets of $2.3 million, $1.4 million, and $355,000 located in Haiti, the U.S., and Canada, respectively. The $832,000 as of August 2, 2020, represents right of use assets of $535,000 and $297,000 located in Canada and the U.S., respectively. The $4.3 million as of May 2, 2021, represents right of use assets of $2.4 million, $1.4 million, and $400,000 located in Haiti, the U.S., and Canada, respectively.</w:t>
      </w:r>
    </w:p>
    <w:p>
      <w:pPr>
        <w:spacing w:after="0" w:line="150"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$2.1 million as of August 1, 2021, represents property, plant, and equipment of $1.1 million, $830,000, and $130,000 located in the U.S., China, and Haiti, respectively. The $1.6 million as of August 2, 2020, represents property, plant, and equipment of $1.2 million and $456,000 located in the U.S. and China, respectively. The $1.9 million as of May 2, 2021, represents property, plant, and equipment of $1.1 million and $850,000 located in the U.S. and China,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9" w:name="page20"/>
    <w:bookmarkEnd w:id="19"/>
    <w:p>
      <w:pPr>
        <w:jc w:val="both"/>
        <w:ind w:left="360" w:hanging="352"/>
        <w:spacing w:after="0" w:line="246"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$6.0 million as of August 1, 2021, represents right of use assets of $4.6 million and $1.4 million located in China and the U.S., respectively. The $3.8 million as of August 2, 2020, represents right of use assets of $3.1 million and $710,000 located in China and the U.S., respectively. The $5.9 million as of May 2, 2021, represents right of use assets of $5.0 million and $952,000 located in China and the U.S., respectively.</w:t>
      </w:r>
    </w:p>
    <w:p>
      <w:pPr>
        <w:spacing w:after="0" w:line="150" w:lineRule="exact"/>
        <w:rPr>
          <w:rFonts w:ascii="Arial" w:cs="Arial" w:eastAsia="Arial" w:hAnsi="Arial"/>
          <w:sz w:val="20"/>
          <w:szCs w:val="20"/>
          <w:color w:val="auto"/>
        </w:rPr>
      </w:pPr>
    </w:p>
    <w:p>
      <w:pPr>
        <w:jc w:val="both"/>
        <w:ind w:left="360" w:right="20" w:hanging="352"/>
        <w:spacing w:after="0" w:line="291"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$969,000, $820,000, and $814,000 as of August 1, 2021, August 2, 2020, and May 2, 2021,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11" w:lineRule="exact"/>
        <w:rPr>
          <w:rFonts w:ascii="Arial" w:cs="Arial" w:eastAsia="Arial" w:hAnsi="Arial"/>
          <w:sz w:val="18"/>
          <w:szCs w:val="18"/>
          <w:color w:val="auto"/>
        </w:rPr>
      </w:pPr>
    </w:p>
    <w:p>
      <w:pPr>
        <w:ind w:left="360" w:hanging="352"/>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$1.4 million, $1.8 million, and $1.5 million as of August 1, 2021, August 2, 2020, and May 2, 2021, respectively, represent right of use assets located in the U.S.</w:t>
      </w:r>
    </w:p>
    <w:p>
      <w:pPr>
        <w:spacing w:after="0" w:line="136"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Capital expenditure amounts are stated on the accrual basis. See Consolidated Statements of Cash Flows for capital expenditure amounts on a cash basis.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recorded income tax expense of $905,000, or 28.7% of income before income taxes, for the three-month period ending August 1, 2021, compared with income tax expense of $4.3 million, or 283.7% of income before income taxes, for the three-month period ending August 2, 2020.</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effective income tax rates for the three-month periods ended August 1, 2021, and August 2, 2020, were based upon the estimated effective income tax rate applicable for the full year after giving effect to any significant items related specifically to interim periods. When calculating the annual estimated effective income tax rate for the three-month periods ended August 1, 2021, and August 2, 2020, we were subject to a loss limitation rule in accordance with ASC Topic 740-270-30-36(a). This loss limitation rule requires any taxable loss associated with our U.S. or foreign operations to be excluded from the annual estimated effective income tax rate calculation if it was determined that no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August 1, 2021, and August 2,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40" w:type="dxa"/>
            <w:vAlign w:val="bottom"/>
          </w:tcPr>
          <w:p>
            <w:pPr>
              <w:spacing w:after="0"/>
              <w:rPr>
                <w:sz w:val="17"/>
                <w:szCs w:val="17"/>
                <w:color w:val="auto"/>
              </w:rPr>
            </w:pPr>
          </w:p>
        </w:tc>
        <w:tc>
          <w:tcPr>
            <w:tcW w:w="3840" w:type="dxa"/>
            <w:vAlign w:val="bottom"/>
          </w:tcPr>
          <w:p>
            <w:pPr>
              <w:jc w:val="right"/>
              <w:ind w:right="859"/>
              <w:spacing w:after="0"/>
              <w:rPr>
                <w:sz w:val="20"/>
                <w:szCs w:val="20"/>
                <w:color w:val="auto"/>
              </w:rPr>
            </w:pPr>
            <w:r>
              <w:rPr>
                <w:rFonts w:ascii="Arial" w:cs="Arial" w:eastAsia="Arial" w:hAnsi="Arial"/>
                <w:sz w:val="16"/>
                <w:szCs w:val="16"/>
                <w:color w:val="auto"/>
              </w:rPr>
              <w:t>August 1,</w:t>
            </w:r>
          </w:p>
        </w:tc>
        <w:tc>
          <w:tcPr>
            <w:tcW w:w="1560" w:type="dxa"/>
            <w:vAlign w:val="bottom"/>
          </w:tcPr>
          <w:p>
            <w:pPr>
              <w:jc w:val="right"/>
              <w:ind w:right="539"/>
              <w:spacing w:after="0"/>
              <w:rPr>
                <w:sz w:val="20"/>
                <w:szCs w:val="20"/>
                <w:color w:val="auto"/>
              </w:rPr>
            </w:pPr>
            <w:r>
              <w:rPr>
                <w:rFonts w:ascii="Arial" w:cs="Arial" w:eastAsia="Arial" w:hAnsi="Arial"/>
                <w:sz w:val="16"/>
                <w:szCs w:val="16"/>
                <w:color w:val="auto"/>
              </w:rPr>
              <w:t>August 2,</w:t>
            </w:r>
          </w:p>
        </w:tc>
      </w:tr>
      <w:tr>
        <w:trPr>
          <w:trHeight w:val="219"/>
        </w:trPr>
        <w:tc>
          <w:tcPr>
            <w:tcW w:w="58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2021</w:t>
            </w:r>
          </w:p>
        </w:tc>
        <w:tc>
          <w:tcPr>
            <w:tcW w:w="15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2020</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38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21.0%</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U.S. valuation allowance</w:t>
            </w:r>
          </w:p>
        </w:tc>
        <w:tc>
          <w:tcPr>
            <w:tcW w:w="3840" w:type="dxa"/>
            <w:vAlign w:val="bottom"/>
          </w:tcPr>
          <w:p>
            <w:pPr>
              <w:jc w:val="right"/>
              <w:ind w:right="339"/>
              <w:spacing w:after="0"/>
              <w:rPr>
                <w:sz w:val="20"/>
                <w:szCs w:val="20"/>
                <w:color w:val="auto"/>
              </w:rPr>
            </w:pPr>
            <w:r>
              <w:rPr>
                <w:rFonts w:ascii="Arial" w:cs="Arial" w:eastAsia="Arial" w:hAnsi="Arial"/>
                <w:sz w:val="16"/>
                <w:szCs w:val="16"/>
                <w:color w:val="auto"/>
              </w:rPr>
              <w:t>(3.9)</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474.4</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w:t>
            </w:r>
          </w:p>
        </w:tc>
        <w:tc>
          <w:tcPr>
            <w:tcW w:w="3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(232.5)</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3840" w:type="dxa"/>
            <w:vAlign w:val="bottom"/>
          </w:tcPr>
          <w:p>
            <w:pPr>
              <w:jc w:val="right"/>
              <w:ind w:right="399"/>
              <w:spacing w:after="0"/>
              <w:rPr>
                <w:sz w:val="20"/>
                <w:szCs w:val="20"/>
                <w:color w:val="auto"/>
              </w:rPr>
            </w:pPr>
            <w:r>
              <w:rPr>
                <w:rFonts w:ascii="Arial" w:cs="Arial" w:eastAsia="Arial" w:hAnsi="Arial"/>
                <w:sz w:val="16"/>
                <w:szCs w:val="16"/>
                <w:color w:val="auto"/>
              </w:rPr>
              <w:t>6.2</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10.1</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Foreign income tax rate differential</w:t>
            </w:r>
          </w:p>
        </w:tc>
        <w:tc>
          <w:tcPr>
            <w:tcW w:w="3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1.6</w:t>
            </w:r>
          </w:p>
        </w:tc>
        <w:tc>
          <w:tcPr>
            <w:tcW w:w="15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9.1</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Global Intangible Low Taxed Income Tax ("GILTI")</w:t>
            </w:r>
          </w:p>
        </w:tc>
        <w:tc>
          <w:tcPr>
            <w:tcW w:w="3840" w:type="dxa"/>
            <w:vAlign w:val="bottom"/>
          </w:tcPr>
          <w:p>
            <w:pPr>
              <w:jc w:val="right"/>
              <w:ind w:right="399"/>
              <w:spacing w:after="0"/>
              <w:rPr>
                <w:sz w:val="20"/>
                <w:szCs w:val="20"/>
                <w:color w:val="auto"/>
              </w:rPr>
            </w:pPr>
            <w:r>
              <w:rPr>
                <w:rFonts w:ascii="Arial" w:cs="Arial" w:eastAsia="Arial" w:hAnsi="Arial"/>
                <w:sz w:val="16"/>
                <w:szCs w:val="16"/>
                <w:color w:val="auto"/>
              </w:rPr>
              <w:t>3.4</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384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0.4</w:t>
            </w:r>
          </w:p>
        </w:tc>
        <w:tc>
          <w:tcPr>
            <w:tcW w:w="15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w:t>
            </w:r>
          </w:p>
        </w:tc>
      </w:tr>
      <w:tr>
        <w:trPr>
          <w:trHeight w:val="210"/>
        </w:trPr>
        <w:tc>
          <w:tcPr>
            <w:tcW w:w="58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28.7%</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effective income tax rate during the first quarter of fiscal 2022 was negatively affected, but not nearly to the extent as in the first quarter of fiscal 2021, by the mix of taxable income that is mostly earned by our foreign operations located in China and Canada, which have higher income tax rates than the U.S. This is due mostly to higher annual forecasted taxable income from our U.S. operations as of the end of the first quarter of fiscal 2022, as compared with lower annual forecasted taxable as of the end of the first quarter of fiscal 2021. The annual forecasted taxable income at the end of the first quarter of fiscal 2021 was significantly affected by the ongoing disruption and uncertain economic conditions relating to the COVID-19 pandemic. As a result of the increase in forecasted taxable income, the principal differences in the above table are not as pronounced during the first quarter of fiscal 2022 as compared with those differences during the first quarter of fiscal 2021.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GILTI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2021</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July 20, 2020, the U.S. Treasury Department finalized and enacted previously proposed regulations regarding the GILTI tax provisions of the Tax Cuts and Jobs Act of 2017 (“TCJA”). With the enactment of these final regulations, we became eligible for an exclusion from GILTI if we meet the provisions of the GILTI High-Tax exception included in these final regulations. To meet the provisions of the GILTI high tax exception, the tested foreign entity’s effective income tax rate related to current year’s earnings must be higher than 90% of the U.S. Federal income tax rate of 21% (i.e., 18.9%). In addition, the enactment of the new regulations and the provisions for the GILTI High-Tax exception are retroactive to the original enactment of the GILTI tax provision, which includes our 2019 and 2020 fiscal years.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Since we met the requirements for the High-Tax exception for our 2019 and 2020 fiscal years,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of fiscal 2021.</w:t>
      </w:r>
    </w:p>
    <w:p>
      <w:pPr>
        <w:spacing w:after="0" w:line="125" w:lineRule="exact"/>
        <w:rPr>
          <w:sz w:val="20"/>
          <w:szCs w:val="20"/>
          <w:color w:val="auto"/>
        </w:rPr>
      </w:pPr>
    </w:p>
    <w:p>
      <w:pPr>
        <w:ind w:right="460"/>
        <w:spacing w:after="0" w:line="443" w:lineRule="auto"/>
        <w:rPr>
          <w:sz w:val="20"/>
          <w:szCs w:val="20"/>
          <w:color w:val="auto"/>
        </w:rPr>
      </w:pPr>
      <w:r>
        <w:rPr>
          <w:rFonts w:ascii="Arial" w:cs="Arial" w:eastAsia="Arial" w:hAnsi="Arial"/>
          <w:sz w:val="20"/>
          <w:szCs w:val="20"/>
          <w:color w:val="auto"/>
        </w:rPr>
        <w:t xml:space="preserve">Additionally, we met the requirements for the High-Tax exception for our 2021 fiscal year, and therefore, were not subject to GILTI tax. </w:t>
      </w:r>
      <w:r>
        <w:rPr>
          <w:rFonts w:ascii="Arial" w:cs="Arial" w:eastAsia="Arial" w:hAnsi="Arial"/>
          <w:sz w:val="20"/>
          <w:szCs w:val="20"/>
          <w:u w:val="single" w:color="auto"/>
          <w:color w:val="auto"/>
        </w:rPr>
        <w:t>Fiscal 2022</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the end of the first quarter of fiscal 2022, we believe we will not meet the requirements for the GILTI High-Tax exception regarding our foreign subsidiaries located in Canada and Haiti, and therefore, will be subject to GILTI tax for the 2022 fiscal year.</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Based on our assessment associated with our operation located in Canada, we expect that several significant capital projects will be placed into service during fiscal 2022, and therefore we will be eligible for a significant amount of deductible accelerated depreciation. As a result, our current year’s income tax expense is expected to be much lower than prior fiscal years’, and therefore, our projected current effective income tax rate is expected to be lower than the required 18.9% current effective income tax rate to meet the GILTI High-Tax exception.</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Based on our assessment associated with our operations located in Haiti, we expect to earn taxable income that is not subject to income tax, as we are located in an economic zone that permits a 0% income tax rate for the first fifteen years of operations, for which we have ten years remaining. Since our operations located in Haiti are not expected to be subject to income tax, our projected current effective income tax rate of 0% will be lower than the required 18.9% current effective income tax rate to meet the GILTI High-Tax exception. Fiscal 2022 is the first fiscal year in which we expect to earn taxable income from our operations located in Haiti.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Allowance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as a result of the retroactivity of the new GILTI regulations. Consequently, due to the retroactivity of the new regulations, we experienced a recent history of cumulative U.S. taxable losses during our last two fiscal years, and we expected at the time of this assessment that our history of U.S. pre-tax losses would continue into fiscal 2021. As a result of the significant weight of this negative evidence, we believed it was more-likely-than-not that our U.S. net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As of August 1, 2021, we evaluated the realizability of our U.S. net deferred income tax assets to determine if a full valuation allowance was required. Based on our assessment, we determined we have a recent history of cumulative U.S. taxable losses,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1" w:name="page22"/>
    <w:bookmarkEnd w:id="21"/>
    <w:p>
      <w:pPr>
        <w:jc w:val="both"/>
        <w:spacing w:after="0" w:line="243" w:lineRule="auto"/>
        <w:rPr>
          <w:sz w:val="20"/>
          <w:szCs w:val="20"/>
          <w:color w:val="auto"/>
        </w:rPr>
      </w:pPr>
      <w:r>
        <w:rPr>
          <w:rFonts w:ascii="Arial" w:cs="Arial" w:eastAsia="Arial" w:hAnsi="Arial"/>
          <w:sz w:val="20"/>
          <w:szCs w:val="20"/>
          <w:color w:val="auto"/>
        </w:rPr>
        <w:t>that we experienced U.S. taxable losses during each of the fiscal years 2020 and 2021. In addition, as of August 1, 2021, we are currently expecting U.S. taxable income during fiscal 2022 stemming from the source of taxable income provided by GILTI noted above. However, the cumulative losses that we have experienced during fiscal years 2020 and 2021 significantly exceed the U.S. taxable income expected during fiscal 2022.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our assessments as of August 1, 2021, August 2, 2020, and May 2, 2021, valuation allowances against our net deferred income taxes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8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2"/>
              </w:rPr>
              <w:t>August 1, 2021</w:t>
            </w:r>
          </w:p>
        </w:tc>
        <w:tc>
          <w:tcPr>
            <w:tcW w:w="15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August 2, 2020</w:t>
            </w:r>
          </w:p>
        </w:tc>
        <w:tc>
          <w:tcPr>
            <w:tcW w:w="14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May 2, 2021</w:t>
            </w:r>
          </w:p>
        </w:tc>
      </w:tr>
      <w:tr>
        <w:trPr>
          <w:trHeight w:val="212"/>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9,221</w:t>
            </w:r>
          </w:p>
        </w:tc>
        <w:tc>
          <w:tcPr>
            <w:tcW w:w="15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7,830</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9,344</w:t>
            </w: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1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2,330</w:t>
            </w: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2,281</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2,330</w:t>
            </w:r>
          </w:p>
        </w:tc>
      </w:tr>
      <w:tr>
        <w:trPr>
          <w:trHeight w:val="209"/>
        </w:trPr>
        <w:tc>
          <w:tcPr>
            <w:tcW w:w="508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11,551</w:t>
            </w:r>
          </w:p>
        </w:tc>
        <w:tc>
          <w:tcPr>
            <w:tcW w:w="15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10,111</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11,674</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accordance with ASC Topic 740, we assess whether the undistributed earnings from our foreign subsidiaries will be reinvested indefinitely or eventually distributed to our U.S. parent company. ASC Topic 740 requires that a deferred income tax liability should be recorded for undistributed earnings from foreign subsidiaries that will not be reinvested indefinitely. As of August 1, 2021,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was consistent with prior years.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a result of the TCJA, a U.S. corporation is allowed a 100% dividend received deduction for earnings and profits received from a 10% owned foreign corporation. Therefore, a deferred income tax liability will be required for unremitted withholding taxes associated with earnings and profits generated by our foreign subsidiaries that will ultimately be repatriated to the U.S. parent company. As a result, as of August 1, 2021, August 2, 2020, and May 2, 2021, we recorded a deferred income tax liability of $3.2 million, $3.6 million, and $3.5 million, respectively, for withholding taxes associated with undistributed earnings and profits from our foreign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an unrecognized income tax benefit for an uncertain income tax position can be recognized in the first interim period if the more-likely-than-not recognition threshold is met by the end of the reporting period, or is effectively settled through examination, negotiation,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August 1, 2021, August 2, 2020, and May 2, 2021, we had a $1.4 million total gross unrecognized income tax benefit, of which $1.1 million and $380,000 were recorded to income taxes payable-long-term and noncurrent deferred income taxes, respectively, in the accompanying Consolidated Balance Sheets. Of this $1.4 million total gross unrecognized income tax benefit, $1.1 million would favorably affect the income tax rate in future periods.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gross unrecognized income tax benefit of $1.4 million relates to income tax positions for which significant change is currently not expected within the next year. This amount primarily relates to double taxation under applicable income tax treaties with foreign tax jurisdictions.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 Paid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taxes paid (refunded) by jurisdiction: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jc w:val="right"/>
              <w:ind w:right="359"/>
              <w:spacing w:after="0"/>
              <w:rPr>
                <w:sz w:val="20"/>
                <w:szCs w:val="20"/>
                <w:color w:val="auto"/>
              </w:rPr>
            </w:pPr>
            <w:r>
              <w:rPr>
                <w:rFonts w:ascii="Arial" w:cs="Arial" w:eastAsia="Arial" w:hAnsi="Arial"/>
                <w:sz w:val="16"/>
                <w:szCs w:val="16"/>
                <w:color w:val="auto"/>
                <w:w w:val="99"/>
              </w:rPr>
              <w:t>Three Months</w:t>
            </w:r>
          </w:p>
        </w:tc>
        <w:tc>
          <w:tcPr>
            <w:tcW w:w="1720" w:type="dxa"/>
            <w:vAlign w:val="bottom"/>
          </w:tcPr>
          <w:p>
            <w:pPr>
              <w:spacing w:after="0"/>
              <w:rPr>
                <w:sz w:val="17"/>
                <w:szCs w:val="17"/>
                <w:color w:val="auto"/>
              </w:rPr>
            </w:pPr>
          </w:p>
        </w:tc>
      </w:tr>
      <w:tr>
        <w:trPr>
          <w:trHeight w:val="209"/>
        </w:trPr>
        <w:tc>
          <w:tcPr>
            <w:tcW w:w="65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Ended</w:t>
            </w:r>
          </w:p>
        </w:tc>
        <w:tc>
          <w:tcPr>
            <w:tcW w:w="1720" w:type="dxa"/>
            <w:vAlign w:val="bottom"/>
            <w:tcBorders>
              <w:bottom w:val="single" w:sz="8" w:color="auto"/>
            </w:tcBorders>
          </w:tcPr>
          <w:p>
            <w:pPr>
              <w:spacing w:after="0"/>
              <w:rPr>
                <w:sz w:val="18"/>
                <w:szCs w:val="18"/>
                <w:color w:val="auto"/>
              </w:rPr>
            </w:pPr>
          </w:p>
        </w:tc>
      </w:tr>
      <w:tr>
        <w:trPr>
          <w:trHeight w:val="233"/>
        </w:trPr>
        <w:tc>
          <w:tcPr>
            <w:tcW w:w="6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August 1,</w:t>
            </w: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jc w:val="right"/>
              <w:ind w:right="719"/>
              <w:spacing w:after="0"/>
              <w:rPr>
                <w:sz w:val="20"/>
                <w:szCs w:val="20"/>
                <w:color w:val="auto"/>
              </w:rPr>
            </w:pPr>
            <w:r>
              <w:rPr>
                <w:rFonts w:ascii="Arial" w:cs="Arial" w:eastAsia="Arial" w:hAnsi="Arial"/>
                <w:sz w:val="16"/>
                <w:szCs w:val="16"/>
                <w:color w:val="auto"/>
              </w:rPr>
              <w:t>August 2,</w:t>
            </w:r>
          </w:p>
        </w:tc>
      </w:tr>
      <w:tr>
        <w:trPr>
          <w:trHeight w:val="236"/>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2020</w:t>
            </w:r>
          </w:p>
        </w:tc>
      </w:tr>
      <w:tr>
        <w:trPr>
          <w:trHeight w:val="200"/>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 Alternative Minimum Tax</w:t>
            </w:r>
          </w:p>
        </w:tc>
        <w:tc>
          <w:tcPr>
            <w:tcW w:w="10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r>
      <w:tr>
        <w:trPr>
          <w:trHeight w:val="212"/>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(AMT) credit refunds (1)</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China</w:t>
            </w:r>
          </w:p>
        </w:tc>
        <w:tc>
          <w:tcPr>
            <w:tcW w:w="104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1,408</w:t>
            </w:r>
          </w:p>
        </w:tc>
        <w:tc>
          <w:tcPr>
            <w:tcW w:w="144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349</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10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280</w:t>
            </w:r>
          </w:p>
        </w:tc>
        <w:tc>
          <w:tcPr>
            <w:tcW w:w="14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405</w:t>
            </w:r>
          </w:p>
        </w:tc>
      </w:tr>
      <w:tr>
        <w:trPr>
          <w:trHeight w:val="209"/>
        </w:trPr>
        <w:tc>
          <w:tcPr>
            <w:tcW w:w="6560" w:type="dxa"/>
            <w:vAlign w:val="bottom"/>
          </w:tcPr>
          <w:p>
            <w:pPr>
              <w:spacing w:after="0"/>
              <w:rPr>
                <w:sz w:val="18"/>
                <w:szCs w:val="18"/>
                <w:color w:val="auto"/>
              </w:rPr>
            </w:pPr>
          </w:p>
        </w:tc>
        <w:tc>
          <w:tcPr>
            <w:tcW w:w="1040" w:type="dxa"/>
            <w:vAlign w:val="bottom"/>
            <w:tcBorders>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1,688</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360" w:right="20" w:hanging="352"/>
        <w:spacing w:after="0" w:line="260"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accordance with the provisions of the TCJA, corporate taxpayers were eligible to treat prior AMT credit carryforwards as refundable. Accordingly, we elected to treat our prior AMT credit carryforward balance of $1.5 million as refundable, and 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2" w:name="page23"/>
    <w:bookmarkEnd w:id="22"/>
    <w:p>
      <w:pPr>
        <w:jc w:val="both"/>
        <w:ind w:left="360"/>
        <w:spacing w:after="0" w:line="278" w:lineRule="auto"/>
        <w:rPr>
          <w:sz w:val="20"/>
          <w:szCs w:val="20"/>
          <w:color w:val="auto"/>
        </w:rPr>
      </w:pPr>
      <w:r>
        <w:rPr>
          <w:rFonts w:ascii="Arial" w:cs="Arial" w:eastAsia="Arial" w:hAnsi="Arial"/>
          <w:sz w:val="18"/>
          <w:szCs w:val="18"/>
          <w:color w:val="auto"/>
        </w:rPr>
        <w:t>a result, 50% of the $1.5 million refundable balance was received during the first quarter of fiscal 2021, with the remaining balance expected to be received in fiscal 2022. In accordance with the provisions of the U.S. federal Coronavirus Aid, Relief, and Economic Security (CARES) Act (2020), 100% of AMT credit carryforwards for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Stock-Based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Incentive Plan Description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As of August 1, 2021, there were 474,575 shares available for future equity-based grants under the 2015 Plan.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Performance-Based Restricted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Executives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have granted performance-based restricted stock units to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performance targets that have been achieved may be adjusted based on a market-based total shareholder return component as defined in the related restricted stock unit agreements.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Employees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have granted performance-based restricted stock units which could earn up to a certain number of shares of common stock if certain performance targets are met over a three-fiscal year performance period as defined in the related restricted stock unit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Overall</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information related to our grants of performance-based restricted stock units associated with senior executives and key employees that are unvested as of 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3040" w:type="dxa"/>
            <w:vAlign w:val="bottom"/>
          </w:tcPr>
          <w:p>
            <w:pPr>
              <w:jc w:val="center"/>
              <w:ind w:left="699"/>
              <w:spacing w:after="0"/>
              <w:rPr>
                <w:sz w:val="20"/>
                <w:szCs w:val="20"/>
                <w:color w:val="auto"/>
              </w:rPr>
            </w:pPr>
            <w:r>
              <w:rPr>
                <w:rFonts w:ascii="Arial" w:cs="Arial" w:eastAsia="Arial" w:hAnsi="Arial"/>
                <w:sz w:val="16"/>
                <w:szCs w:val="16"/>
                <w:color w:val="auto"/>
                <w:w w:val="91"/>
              </w:rPr>
              <w:t>(3)</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w w:val="91"/>
              </w:rPr>
              <w:t>(4)</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3040" w:type="dxa"/>
            <w:vAlign w:val="bottom"/>
          </w:tcPr>
          <w:p>
            <w:pPr>
              <w:jc w:val="center"/>
              <w:ind w:left="679"/>
              <w:spacing w:after="0"/>
              <w:rPr>
                <w:sz w:val="20"/>
                <w:szCs w:val="20"/>
                <w:color w:val="auto"/>
              </w:rPr>
            </w:pPr>
            <w:r>
              <w:rPr>
                <w:rFonts w:ascii="Arial" w:cs="Arial" w:eastAsia="Arial" w:hAnsi="Arial"/>
                <w:sz w:val="16"/>
                <w:szCs w:val="16"/>
                <w:color w:val="auto"/>
                <w:w w:val="89"/>
              </w:rPr>
              <w:t>Performance-Based</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w w:val="90"/>
              </w:rPr>
              <w:t>Restricted Stock</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040" w:type="dxa"/>
            <w:vAlign w:val="bottom"/>
          </w:tcPr>
          <w:p>
            <w:pPr>
              <w:jc w:val="center"/>
              <w:ind w:left="699"/>
              <w:spacing w:after="0"/>
              <w:rPr>
                <w:sz w:val="20"/>
                <w:szCs w:val="20"/>
                <w:color w:val="auto"/>
              </w:rPr>
            </w:pPr>
            <w:r>
              <w:rPr>
                <w:rFonts w:ascii="Arial" w:cs="Arial" w:eastAsia="Arial" w:hAnsi="Arial"/>
                <w:sz w:val="16"/>
                <w:szCs w:val="16"/>
                <w:color w:val="auto"/>
                <w:w w:val="90"/>
              </w:rPr>
              <w:t>Restricted Stock</w:t>
            </w:r>
          </w:p>
        </w:tc>
        <w:tc>
          <w:tcPr>
            <w:tcW w:w="1780" w:type="dxa"/>
            <w:vAlign w:val="bottom"/>
          </w:tcPr>
          <w:p>
            <w:pPr>
              <w:jc w:val="center"/>
              <w:ind w:right="79"/>
              <w:spacing w:after="0"/>
              <w:rPr>
                <w:sz w:val="20"/>
                <w:szCs w:val="20"/>
                <w:color w:val="auto"/>
              </w:rPr>
            </w:pPr>
            <w:r>
              <w:rPr>
                <w:rFonts w:ascii="Arial" w:cs="Arial" w:eastAsia="Arial" w:hAnsi="Arial"/>
                <w:sz w:val="16"/>
                <w:szCs w:val="16"/>
                <w:color w:val="auto"/>
                <w:w w:val="91"/>
              </w:rPr>
              <w:t>Units Expected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304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4"/>
              </w:rPr>
              <w:t>Units Awarded</w:t>
            </w:r>
          </w:p>
        </w:tc>
        <w:tc>
          <w:tcPr>
            <w:tcW w:w="1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to Vest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7"/>
              </w:rPr>
              <w:t>Price Per Share</w:t>
            </w:r>
          </w:p>
        </w:tc>
        <w:tc>
          <w:tcPr>
            <w:tcW w:w="5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Vesting Period</w:t>
            </w:r>
          </w:p>
        </w:tc>
      </w:tr>
      <w:tr>
        <w:trPr>
          <w:trHeight w:val="213"/>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July 22, 2021 (1)</w:t>
            </w:r>
          </w:p>
        </w:tc>
        <w:tc>
          <w:tcPr>
            <w:tcW w:w="30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122,477</w:t>
            </w:r>
          </w:p>
        </w:tc>
        <w:tc>
          <w:tcPr>
            <w:tcW w:w="1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61,237</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July 22, 2021 (2)</w:t>
            </w:r>
          </w:p>
        </w:tc>
        <w:tc>
          <w:tcPr>
            <w:tcW w:w="3040" w:type="dxa"/>
            <w:vAlign w:val="bottom"/>
          </w:tcPr>
          <w:p>
            <w:pPr>
              <w:jc w:val="right"/>
              <w:ind w:right="219"/>
              <w:spacing w:after="0"/>
              <w:rPr>
                <w:sz w:val="20"/>
                <w:szCs w:val="20"/>
                <w:color w:val="auto"/>
              </w:rPr>
            </w:pPr>
            <w:r>
              <w:rPr>
                <w:rFonts w:ascii="Arial" w:cs="Arial" w:eastAsia="Arial" w:hAnsi="Arial"/>
                <w:sz w:val="16"/>
                <w:szCs w:val="16"/>
                <w:color w:val="auto"/>
              </w:rPr>
              <w:t>21,900</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10,950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14.75</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(6)</w:t>
            </w:r>
          </w:p>
        </w:tc>
        <w:tc>
          <w:tcPr>
            <w:tcW w:w="1640" w:type="dxa"/>
            <w:vAlign w:val="bottom"/>
          </w:tcPr>
          <w:p>
            <w:pPr>
              <w:ind w:left="1160"/>
              <w:spacing w:after="0"/>
              <w:rPr>
                <w:sz w:val="20"/>
                <w:szCs w:val="20"/>
                <w:color w:val="auto"/>
              </w:rPr>
            </w:pPr>
            <w:r>
              <w:rPr>
                <w:rFonts w:ascii="Arial" w:cs="Arial" w:eastAsia="Arial" w:hAnsi="Arial"/>
                <w:sz w:val="16"/>
                <w:szCs w:val="16"/>
                <w:color w:val="auto"/>
                <w:w w:val="87"/>
              </w:rPr>
              <w:t>3 years</w:t>
            </w: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July 18, 2019 (1)</w:t>
            </w:r>
          </w:p>
        </w:tc>
        <w:tc>
          <w:tcPr>
            <w:tcW w:w="30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93,653</w:t>
            </w:r>
          </w:p>
        </w:tc>
        <w:tc>
          <w:tcPr>
            <w:tcW w:w="1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5,749</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July 18, 2019 (2)</w:t>
            </w:r>
          </w:p>
        </w:tc>
        <w:tc>
          <w:tcPr>
            <w:tcW w:w="3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29,227</w:t>
            </w:r>
          </w:p>
        </w:tc>
        <w:tc>
          <w:tcPr>
            <w:tcW w:w="1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3,442</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w:t>
            </w:r>
          </w:p>
        </w:tc>
        <w:tc>
          <w:tcPr>
            <w:tcW w:w="16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w w:val="87"/>
              </w:rPr>
              <w:t>3 years</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senior executives.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key employees.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3" w:name="page24"/>
    <w:bookmarkEnd w:id="23"/>
    <w:p>
      <w:pPr>
        <w:ind w:left="360" w:right="20" w:hanging="352"/>
        <w:spacing w:after="0" w:line="260"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Amounts represent the maximum number of common stock shares that could be earned if certain performance targets are met as defined in the related restricted stock unit agreements.</w:t>
      </w:r>
    </w:p>
    <w:p>
      <w:pPr>
        <w:spacing w:after="0" w:line="136" w:lineRule="exact"/>
        <w:rPr>
          <w:rFonts w:ascii="Arial" w:cs="Arial" w:eastAsia="Arial" w:hAnsi="Arial"/>
          <w:sz w:val="20"/>
          <w:szCs w:val="20"/>
          <w:color w:val="auto"/>
        </w:rPr>
      </w:pPr>
    </w:p>
    <w:p>
      <w:pPr>
        <w:jc w:val="both"/>
        <w:ind w:left="360" w:hanging="352"/>
        <w:spacing w:after="0" w:line="250"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August 1, 2021.</w:t>
      </w:r>
    </w:p>
    <w:p>
      <w:pPr>
        <w:spacing w:after="0" w:line="145"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senior executives on July 18, 2019.</w:t>
      </w:r>
    </w:p>
    <w:p>
      <w:pPr>
        <w:spacing w:after="0" w:line="150" w:lineRule="exact"/>
        <w:rPr>
          <w:rFonts w:ascii="Arial" w:cs="Arial" w:eastAsia="Arial" w:hAnsi="Arial"/>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summarizes information related to our performance-based restricted stock units that vested during the three-month periods ending August 1, 2021, and 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20" w:type="dxa"/>
            <w:vAlign w:val="bottom"/>
          </w:tcPr>
          <w:p>
            <w:pPr>
              <w:spacing w:after="0"/>
              <w:rPr>
                <w:sz w:val="17"/>
                <w:szCs w:val="17"/>
                <w:color w:val="auto"/>
              </w:rPr>
            </w:pPr>
          </w:p>
        </w:tc>
        <w:tc>
          <w:tcPr>
            <w:tcW w:w="4060" w:type="dxa"/>
            <w:vAlign w:val="bottom"/>
          </w:tcPr>
          <w:p>
            <w:pPr>
              <w:jc w:val="center"/>
              <w:ind w:left="1979"/>
              <w:spacing w:after="0"/>
              <w:rPr>
                <w:sz w:val="20"/>
                <w:szCs w:val="20"/>
                <w:color w:val="auto"/>
              </w:rPr>
            </w:pPr>
            <w:r>
              <w:rPr>
                <w:rFonts w:ascii="Arial" w:cs="Arial" w:eastAsia="Arial" w:hAnsi="Arial"/>
                <w:sz w:val="16"/>
                <w:szCs w:val="16"/>
                <w:color w:val="auto"/>
                <w:w w:val="89"/>
              </w:rPr>
              <w:t>Performance-Based</w:t>
            </w: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center"/>
              <w:ind w:right="299"/>
              <w:spacing w:after="0"/>
              <w:rPr>
                <w:sz w:val="20"/>
                <w:szCs w:val="20"/>
                <w:color w:val="auto"/>
              </w:rPr>
            </w:pPr>
            <w:r>
              <w:rPr>
                <w:rFonts w:ascii="Arial" w:cs="Arial" w:eastAsia="Arial" w:hAnsi="Arial"/>
                <w:sz w:val="16"/>
                <w:szCs w:val="16"/>
                <w:color w:val="auto"/>
              </w:rPr>
              <w:t>(4)</w:t>
            </w:r>
          </w:p>
        </w:tc>
      </w:tr>
      <w:tr>
        <w:trPr>
          <w:trHeight w:val="216"/>
        </w:trPr>
        <w:tc>
          <w:tcPr>
            <w:tcW w:w="3420" w:type="dxa"/>
            <w:vAlign w:val="bottom"/>
          </w:tcPr>
          <w:p>
            <w:pPr>
              <w:spacing w:after="0"/>
              <w:rPr>
                <w:sz w:val="18"/>
                <w:szCs w:val="18"/>
                <w:color w:val="auto"/>
              </w:rPr>
            </w:pPr>
          </w:p>
        </w:tc>
        <w:tc>
          <w:tcPr>
            <w:tcW w:w="4060" w:type="dxa"/>
            <w:vAlign w:val="bottom"/>
          </w:tcPr>
          <w:p>
            <w:pPr>
              <w:jc w:val="center"/>
              <w:ind w:left="1999"/>
              <w:spacing w:after="0"/>
              <w:rPr>
                <w:sz w:val="20"/>
                <w:szCs w:val="20"/>
                <w:color w:val="auto"/>
              </w:rPr>
            </w:pPr>
            <w:r>
              <w:rPr>
                <w:rFonts w:ascii="Arial" w:cs="Arial" w:eastAsia="Arial" w:hAnsi="Arial"/>
                <w:sz w:val="16"/>
                <w:szCs w:val="16"/>
                <w:color w:val="auto"/>
                <w:w w:val="90"/>
              </w:rPr>
              <w:t>Restricted Stock</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ind w:right="299"/>
              <w:spacing w:after="0"/>
              <w:rPr>
                <w:sz w:val="20"/>
                <w:szCs w:val="20"/>
                <w:color w:val="auto"/>
              </w:rPr>
            </w:pPr>
            <w:r>
              <w:rPr>
                <w:rFonts w:ascii="Arial" w:cs="Arial" w:eastAsia="Arial" w:hAnsi="Arial"/>
                <w:sz w:val="16"/>
                <w:szCs w:val="16"/>
                <w:color w:val="auto"/>
                <w:w w:val="87"/>
              </w:rPr>
              <w:t>Price</w:t>
            </w:r>
          </w:p>
        </w:tc>
      </w:tr>
      <w:tr>
        <w:trPr>
          <w:trHeight w:val="219"/>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w:t>
            </w:r>
          </w:p>
        </w:tc>
        <w:tc>
          <w:tcPr>
            <w:tcW w:w="4060" w:type="dxa"/>
            <w:vAlign w:val="bottom"/>
            <w:tcBorders>
              <w:bottom w:val="single" w:sz="8" w:color="auto"/>
            </w:tcBorders>
          </w:tcPr>
          <w:p>
            <w:pPr>
              <w:jc w:val="center"/>
              <w:ind w:left="1999"/>
              <w:spacing w:after="0"/>
              <w:rPr>
                <w:sz w:val="20"/>
                <w:szCs w:val="20"/>
                <w:color w:val="auto"/>
              </w:rPr>
            </w:pPr>
            <w:r>
              <w:rPr>
                <w:rFonts w:ascii="Arial" w:cs="Arial" w:eastAsia="Arial" w:hAnsi="Arial"/>
                <w:sz w:val="16"/>
                <w:szCs w:val="16"/>
                <w:color w:val="auto"/>
                <w:w w:val="90"/>
              </w:rPr>
              <w:t>Units Vested</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Fair Value</w:t>
            </w: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8"/>
              </w:rPr>
              <w:t>Per Share</w:t>
            </w:r>
          </w:p>
        </w:tc>
      </w:tr>
      <w:tr>
        <w:trPr>
          <w:trHeight w:val="213"/>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Fiscal 2022 (1)</w:t>
            </w:r>
          </w:p>
        </w:tc>
        <w:tc>
          <w:tcPr>
            <w:tcW w:w="4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6,734</w:t>
            </w:r>
          </w:p>
        </w:tc>
        <w:tc>
          <w:tcPr>
            <w:tcW w:w="14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17.14</w:t>
            </w:r>
          </w:p>
        </w:tc>
      </w:tr>
      <w:tr>
        <w:trPr>
          <w:trHeight w:val="213"/>
        </w:trPr>
        <w:tc>
          <w:tcPr>
            <w:tcW w:w="3420" w:type="dxa"/>
            <w:vAlign w:val="bottom"/>
          </w:tcPr>
          <w:p>
            <w:pPr>
              <w:spacing w:after="0"/>
              <w:rPr>
                <w:sz w:val="20"/>
                <w:szCs w:val="20"/>
                <w:color w:val="auto"/>
              </w:rPr>
            </w:pPr>
            <w:r>
              <w:rPr>
                <w:rFonts w:ascii="Arial" w:cs="Arial" w:eastAsia="Arial" w:hAnsi="Arial"/>
                <w:sz w:val="16"/>
                <w:szCs w:val="16"/>
                <w:color w:val="auto"/>
              </w:rPr>
              <w:t>Fiscal 2022 (2)</w:t>
            </w:r>
          </w:p>
        </w:tc>
        <w:tc>
          <w:tcPr>
            <w:tcW w:w="4060" w:type="dxa"/>
            <w:vAlign w:val="bottom"/>
          </w:tcPr>
          <w:p>
            <w:pPr>
              <w:jc w:val="right"/>
              <w:ind w:right="59"/>
              <w:spacing w:after="0"/>
              <w:rPr>
                <w:sz w:val="20"/>
                <w:szCs w:val="20"/>
                <w:color w:val="auto"/>
              </w:rPr>
            </w:pPr>
            <w:r>
              <w:rPr>
                <w:rFonts w:ascii="Arial" w:cs="Arial" w:eastAsia="Arial" w:hAnsi="Arial"/>
                <w:sz w:val="16"/>
                <w:szCs w:val="16"/>
                <w:color w:val="auto"/>
              </w:rPr>
              <w:t>5,812</w:t>
            </w:r>
          </w:p>
        </w:tc>
        <w:tc>
          <w:tcPr>
            <w:tcW w:w="14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17.14</w:t>
            </w:r>
          </w:p>
        </w:tc>
      </w:tr>
      <w:tr>
        <w:trPr>
          <w:trHeight w:val="219"/>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Fiscal 2021 (1)</w:t>
            </w:r>
          </w:p>
        </w:tc>
        <w:tc>
          <w:tcPr>
            <w:tcW w:w="4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3,277</w:t>
            </w:r>
          </w:p>
        </w:tc>
        <w:tc>
          <w:tcPr>
            <w:tcW w:w="14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9.96</w:t>
            </w:r>
          </w:p>
        </w:tc>
      </w:tr>
      <w:tr>
        <w:trPr>
          <w:trHeight w:val="213"/>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2021 (2)</w:t>
            </w:r>
          </w:p>
        </w:tc>
        <w:tc>
          <w:tcPr>
            <w:tcW w:w="4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3,710</w:t>
            </w:r>
          </w:p>
        </w:tc>
        <w:tc>
          <w:tcPr>
            <w:tcW w:w="14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9.96</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senior executives.</w:t>
      </w:r>
    </w:p>
    <w:p>
      <w:pPr>
        <w:spacing w:after="0" w:line="188" w:lineRule="exact"/>
        <w:rPr>
          <w:rFonts w:ascii="Arial" w:cs="Arial" w:eastAsia="Arial" w:hAnsi="Arial"/>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key employees.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Dollar amounts are in thousands.</w:t>
      </w:r>
    </w:p>
    <w:p>
      <w:pPr>
        <w:spacing w:after="0" w:line="175"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Price per share is derived from the closing price of our common stock on the date the respective performance-based restricted stock units vested.</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recorded a charge or a (credit) to compensation expense of $20,000 and $(11,000) within selling, general, and administrative expenses for the three-month periods ending August 1, 2021, and August 2, 2020, respectively. Compensation cost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cost would not be recorded, and any previously recognized compensation cost would be reversed.</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August 1, 2021, the remaining unrecognized compensation cost related to our performance-based restricted stock units was $1.1 million, which is expected to be recognized over a weighted average vesting period of 2.8 years. As of August 1, 2021, the performance-based restricted stock units that were expected to vest had a fair value totaling $1.1 million.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Time-Based Restricted Stock Units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information related to our grants of time-based restricted stock unit awards associated with senior executives and key members of management that are unvested as of 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tcPr>
          <w:p>
            <w:pPr>
              <w:spacing w:after="0"/>
              <w:rPr>
                <w:sz w:val="17"/>
                <w:szCs w:val="17"/>
                <w:color w:val="auto"/>
              </w:rPr>
            </w:pPr>
          </w:p>
        </w:tc>
        <w:tc>
          <w:tcPr>
            <w:tcW w:w="3880" w:type="dxa"/>
            <w:vAlign w:val="bottom"/>
          </w:tcPr>
          <w:p>
            <w:pPr>
              <w:jc w:val="center"/>
              <w:ind w:left="1859"/>
              <w:spacing w:after="0"/>
              <w:rPr>
                <w:sz w:val="20"/>
                <w:szCs w:val="20"/>
                <w:color w:val="auto"/>
              </w:rPr>
            </w:pPr>
            <w:r>
              <w:rPr>
                <w:rFonts w:ascii="Arial" w:cs="Arial" w:eastAsia="Arial" w:hAnsi="Arial"/>
                <w:sz w:val="16"/>
                <w:szCs w:val="16"/>
                <w:color w:val="auto"/>
                <w:w w:val="90"/>
              </w:rPr>
              <w:t>Time-Based</w:t>
            </w: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3880" w:type="dxa"/>
            <w:vAlign w:val="bottom"/>
          </w:tcPr>
          <w:p>
            <w:pPr>
              <w:jc w:val="center"/>
              <w:ind w:left="1859"/>
              <w:spacing w:after="0"/>
              <w:rPr>
                <w:sz w:val="20"/>
                <w:szCs w:val="20"/>
                <w:color w:val="auto"/>
              </w:rPr>
            </w:pPr>
            <w:r>
              <w:rPr>
                <w:rFonts w:ascii="Arial" w:cs="Arial" w:eastAsia="Arial" w:hAnsi="Arial"/>
                <w:sz w:val="16"/>
                <w:szCs w:val="16"/>
                <w:color w:val="auto"/>
                <w:w w:val="90"/>
              </w:rPr>
              <w:t>Restricted Stock</w:t>
            </w:r>
          </w:p>
        </w:tc>
        <w:tc>
          <w:tcPr>
            <w:tcW w:w="380" w:type="dxa"/>
            <w:vAlign w:val="bottom"/>
          </w:tcPr>
          <w:p>
            <w:pPr>
              <w:spacing w:after="0"/>
              <w:rPr>
                <w:sz w:val="18"/>
                <w:szCs w:val="18"/>
                <w:color w:val="auto"/>
              </w:rPr>
            </w:pPr>
          </w:p>
        </w:tc>
        <w:tc>
          <w:tcPr>
            <w:tcW w:w="1720" w:type="dxa"/>
            <w:vAlign w:val="bottom"/>
          </w:tcPr>
          <w:p>
            <w:pPr>
              <w:jc w:val="right"/>
              <w:ind w:right="1059"/>
              <w:spacing w:after="0"/>
              <w:rPr>
                <w:sz w:val="20"/>
                <w:szCs w:val="20"/>
                <w:color w:val="auto"/>
              </w:rPr>
            </w:pPr>
            <w:r>
              <w:rPr>
                <w:rFonts w:ascii="Arial" w:cs="Arial" w:eastAsia="Arial" w:hAnsi="Arial"/>
                <w:sz w:val="16"/>
                <w:szCs w:val="16"/>
                <w:color w:val="auto"/>
              </w:rPr>
              <w:t>(1)</w:t>
            </w:r>
          </w:p>
        </w:tc>
        <w:tc>
          <w:tcPr>
            <w:tcW w:w="1860" w:type="dxa"/>
            <w:vAlign w:val="bottom"/>
          </w:tcPr>
          <w:p>
            <w:pPr>
              <w:spacing w:after="0"/>
              <w:rPr>
                <w:sz w:val="18"/>
                <w:szCs w:val="18"/>
                <w:color w:val="auto"/>
              </w:rPr>
            </w:pPr>
          </w:p>
        </w:tc>
      </w:tr>
      <w:tr>
        <w:trPr>
          <w:trHeight w:val="219"/>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38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w w:val="94"/>
              </w:rPr>
              <w:t>Units Awarded</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Price Per Share</w:t>
            </w: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Vesting Period</w:t>
            </w:r>
          </w:p>
        </w:tc>
      </w:tr>
      <w:tr>
        <w:trPr>
          <w:trHeight w:val="213"/>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July 22, 2021</w:t>
            </w:r>
          </w:p>
        </w:tc>
        <w:tc>
          <w:tcPr>
            <w:tcW w:w="3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38,289</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14.75</w:t>
            </w:r>
          </w:p>
        </w:tc>
        <w:tc>
          <w:tcPr>
            <w:tcW w:w="18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87"/>
              </w:rPr>
              <w:t>3 years</w:t>
            </w: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August 6, 2020</w:t>
            </w:r>
          </w:p>
        </w:tc>
        <w:tc>
          <w:tcPr>
            <w:tcW w:w="3880" w:type="dxa"/>
            <w:vAlign w:val="bottom"/>
          </w:tcPr>
          <w:p>
            <w:pPr>
              <w:jc w:val="right"/>
              <w:ind w:right="59"/>
              <w:spacing w:after="0"/>
              <w:rPr>
                <w:sz w:val="20"/>
                <w:szCs w:val="20"/>
                <w:color w:val="auto"/>
              </w:rPr>
            </w:pPr>
            <w:r>
              <w:rPr>
                <w:rFonts w:ascii="Arial" w:cs="Arial" w:eastAsia="Arial" w:hAnsi="Arial"/>
                <w:sz w:val="16"/>
                <w:szCs w:val="16"/>
                <w:color w:val="auto"/>
              </w:rPr>
              <w:t>129,896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11.01</w:t>
            </w:r>
          </w:p>
        </w:tc>
        <w:tc>
          <w:tcPr>
            <w:tcW w:w="1860" w:type="dxa"/>
            <w:vAlign w:val="bottom"/>
          </w:tcPr>
          <w:p>
            <w:pPr>
              <w:ind w:left="1380"/>
              <w:spacing w:after="0"/>
              <w:rPr>
                <w:sz w:val="20"/>
                <w:szCs w:val="20"/>
                <w:color w:val="auto"/>
              </w:rPr>
            </w:pPr>
            <w:r>
              <w:rPr>
                <w:rFonts w:ascii="Arial" w:cs="Arial" w:eastAsia="Arial" w:hAnsi="Arial"/>
                <w:sz w:val="16"/>
                <w:szCs w:val="16"/>
                <w:color w:val="auto"/>
                <w:w w:val="87"/>
              </w:rPr>
              <w:t>3 years</w:t>
            </w: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July 18, 2019</w:t>
            </w:r>
          </w:p>
        </w:tc>
        <w:tc>
          <w:tcPr>
            <w:tcW w:w="3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34,399</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18.49</w:t>
            </w:r>
          </w:p>
        </w:tc>
        <w:tc>
          <w:tcPr>
            <w:tcW w:w="18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87"/>
              </w:rPr>
              <w:t>3 years</w:t>
            </w:r>
          </w:p>
        </w:tc>
      </w:tr>
      <w:tr>
        <w:trPr>
          <w:trHeight w:val="21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August 2, 2018</w:t>
            </w:r>
          </w:p>
        </w:tc>
        <w:tc>
          <w:tcPr>
            <w:tcW w:w="3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24.35</w:t>
            </w:r>
          </w:p>
        </w:tc>
        <w:tc>
          <w:tcPr>
            <w:tcW w:w="186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w w:val="87"/>
              </w:rPr>
              <w:t>5 years</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5460" w:right="2720" w:hanging="5452"/>
        <w:spacing w:after="0" w:line="486" w:lineRule="auto"/>
        <w:tabs>
          <w:tab w:leader="none" w:pos="3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Price per share represents closing price of common stock on the date the respective award was granted. 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u w:val="single" w:color="auto"/>
          <w:color w:val="auto"/>
        </w:rPr>
        <w:t>Overall</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recorded compensation expense of $184,000 and $67,000 within selling, general, and administrative expenses associated with our time-based restricted stock unit awards for the three-month periods ending August 1, 2021, and August 2, 2020, respectively.</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August 1, 2021, the remaining unrecognized compensation cost related to our time-based restricted stock units was $1.8 million, which is expected to be recognized over a weighted average vesting period of 1.3 years. As of August 1, 2021, the time-based restricted stock units that are expected to vest had a fair value totaling $3.2 million.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Award</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granted a total of 4,312 shares of common stock to our outside directors on July 1, 2021. These shares of common stock vested immediately and were measured at their fair value on the date of grant. The fair value of these awards was $16.24 per share on July 1, 2021, which represents the closing price of our common stock on the date of grant.</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granted a total of 7,000 shares of common stock to our outside directors on July 1, 2020. These shares of common stock vested immediately and were measured at their fair value on the date of grant. The fair value of these awards was $10.00 per share on July 1, 2020 which represents the closing price of our common stock on the date of grant.</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recorded $70,000 of compensation expense within selling, general, and administrative expenses for common stock awards to our outside directors for each of the three-month periods ending August 1, 2021, and August 2, 2020.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Leases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lease manufacturing facilities, showroom and office space, distribution centers, and equipment under operating lease arrangements. Our operating leases have remaining lease terms of one to ten years, with renewal options for additional periods ranging up to twelve years.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right of use assets and lease liabilities associated with our operating leases as of August 1, 2021, August 2, 2020, and May 2,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August 1,</w:t>
            </w:r>
          </w:p>
        </w:tc>
        <w:tc>
          <w:tcPr>
            <w:tcW w:w="340" w:type="dxa"/>
            <w:vAlign w:val="bottom"/>
          </w:tcPr>
          <w:p>
            <w:pPr>
              <w:spacing w:after="0"/>
              <w:rPr>
                <w:sz w:val="17"/>
                <w:szCs w:val="17"/>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color w:val="auto"/>
              </w:rPr>
              <w:t>August 2,</w:t>
            </w:r>
          </w:p>
        </w:tc>
        <w:tc>
          <w:tcPr>
            <w:tcW w:w="3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color w:val="auto"/>
              </w:rPr>
              <w:t>May 2,</w:t>
            </w:r>
          </w:p>
        </w:tc>
      </w:tr>
      <w:tr>
        <w:trPr>
          <w:trHeight w:val="20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w:t>
            </w:r>
          </w:p>
        </w:tc>
        <w:tc>
          <w:tcPr>
            <w:tcW w:w="2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11,447</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6,443</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11,730</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Operating lease liability - current</w:t>
            </w:r>
          </w:p>
        </w:tc>
        <w:tc>
          <w:tcPr>
            <w:tcW w:w="234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2,727</w:t>
            </w:r>
          </w:p>
        </w:tc>
        <w:tc>
          <w:tcPr>
            <w:tcW w:w="3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2,387</w:t>
            </w:r>
          </w:p>
        </w:tc>
        <w:tc>
          <w:tcPr>
            <w:tcW w:w="3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2,736</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lease liability – noncurrent</w:t>
            </w:r>
          </w:p>
        </w:tc>
        <w:tc>
          <w:tcPr>
            <w:tcW w:w="2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6,665</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4,214</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6,821</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Supplemental Cash Flow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center"/>
              <w:ind w:left="2439"/>
              <w:spacing w:after="0"/>
              <w:rPr>
                <w:sz w:val="20"/>
                <w:szCs w:val="20"/>
                <w:color w:val="auto"/>
              </w:rPr>
            </w:pPr>
            <w:r>
              <w:rPr>
                <w:rFonts w:ascii="Arial" w:cs="Arial" w:eastAsia="Arial" w:hAnsi="Arial"/>
                <w:sz w:val="16"/>
                <w:szCs w:val="16"/>
                <w:color w:val="auto"/>
                <w:w w:val="93"/>
              </w:rPr>
              <w:t>Three Months</w:t>
            </w:r>
          </w:p>
        </w:tc>
        <w:tc>
          <w:tcPr>
            <w:tcW w:w="4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color w:val="auto"/>
                <w:w w:val="93"/>
              </w:rPr>
              <w:t>Three Months</w:t>
            </w:r>
          </w:p>
        </w:tc>
      </w:tr>
      <w:tr>
        <w:trPr>
          <w:trHeight w:val="206"/>
        </w:trPr>
        <w:tc>
          <w:tcPr>
            <w:tcW w:w="5460" w:type="dxa"/>
            <w:vAlign w:val="bottom"/>
          </w:tcPr>
          <w:p>
            <w:pPr>
              <w:spacing w:after="0"/>
              <w:rPr>
                <w:sz w:val="17"/>
                <w:szCs w:val="17"/>
                <w:color w:val="auto"/>
              </w:rPr>
            </w:pPr>
          </w:p>
        </w:tc>
        <w:tc>
          <w:tcPr>
            <w:tcW w:w="3560" w:type="dxa"/>
            <w:vAlign w:val="bottom"/>
          </w:tcPr>
          <w:p>
            <w:pPr>
              <w:jc w:val="center"/>
              <w:ind w:left="2439"/>
              <w:spacing w:after="0"/>
              <w:rPr>
                <w:sz w:val="20"/>
                <w:szCs w:val="20"/>
                <w:color w:val="auto"/>
              </w:rPr>
            </w:pPr>
            <w:r>
              <w:rPr>
                <w:rFonts w:ascii="Arial" w:cs="Arial" w:eastAsia="Arial" w:hAnsi="Arial"/>
                <w:sz w:val="16"/>
                <w:szCs w:val="16"/>
                <w:color w:val="auto"/>
                <w:w w:val="86"/>
              </w:rPr>
              <w:t>Ended</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ind w:right="239"/>
              <w:spacing w:after="0"/>
              <w:rPr>
                <w:sz w:val="20"/>
                <w:szCs w:val="20"/>
                <w:color w:val="auto"/>
              </w:rPr>
            </w:pPr>
            <w:r>
              <w:rPr>
                <w:rFonts w:ascii="Arial" w:cs="Arial" w:eastAsia="Arial" w:hAnsi="Arial"/>
                <w:sz w:val="16"/>
                <w:szCs w:val="16"/>
                <w:color w:val="auto"/>
                <w:w w:val="90"/>
              </w:rPr>
              <w:t>Ended</w:t>
            </w:r>
          </w:p>
        </w:tc>
      </w:tr>
      <w:tr>
        <w:trPr>
          <w:trHeight w:val="21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560" w:type="dxa"/>
            <w:vAlign w:val="bottom"/>
            <w:tcBorders>
              <w:bottom w:val="single" w:sz="8" w:color="auto"/>
            </w:tcBorders>
          </w:tcPr>
          <w:p>
            <w:pPr>
              <w:jc w:val="center"/>
              <w:ind w:left="2439"/>
              <w:spacing w:after="0"/>
              <w:rPr>
                <w:sz w:val="20"/>
                <w:szCs w:val="20"/>
                <w:color w:val="auto"/>
              </w:rPr>
            </w:pPr>
            <w:r>
              <w:rPr>
                <w:rFonts w:ascii="Arial" w:cs="Arial" w:eastAsia="Arial" w:hAnsi="Arial"/>
                <w:sz w:val="16"/>
                <w:szCs w:val="16"/>
                <w:color w:val="auto"/>
                <w:w w:val="92"/>
              </w:rPr>
              <w:t>August 1, 2021</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2"/>
              </w:rPr>
              <w:t>August 2, 2020</w:t>
            </w:r>
          </w:p>
        </w:tc>
      </w:tr>
      <w:tr>
        <w:trPr>
          <w:trHeight w:val="21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payments</w:t>
            </w:r>
          </w:p>
        </w:tc>
        <w:tc>
          <w:tcPr>
            <w:tcW w:w="35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2"/>
              </w:rPr>
              <w:t>717</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445</w:t>
            </w:r>
          </w:p>
        </w:tc>
      </w:tr>
      <w:tr>
        <w:trPr>
          <w:trHeight w:val="213"/>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 exchanged for lease liabilities</w:t>
            </w:r>
          </w:p>
        </w:tc>
        <w:tc>
          <w:tcPr>
            <w:tcW w:w="3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2"/>
              </w:rPr>
              <w:t>547</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3,154</w:t>
            </w:r>
          </w:p>
        </w:tc>
      </w:tr>
    </w:tbl>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lease expense for the three-month periods ended August 1, 2021, and August 2, 2020, was $876,000 and $658,000, respectively. Short-term lease and variable lease expenses were immaterial for the three-month periods ended August 1, 2021, and August 2,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i w:val="1"/>
          <w:i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Maturity of our operating lease liabilities for the remainder of fiscal 2022,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2022</w:t>
            </w: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2,098</w:t>
            </w:r>
          </w:p>
        </w:tc>
      </w:tr>
      <w:tr>
        <w:trPr>
          <w:trHeight w:val="213"/>
        </w:trPr>
        <w:tc>
          <w:tcPr>
            <w:tcW w:w="9240" w:type="dxa"/>
            <w:vAlign w:val="bottom"/>
          </w:tcPr>
          <w:p>
            <w:pPr>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2,760</w:t>
            </w:r>
          </w:p>
        </w:tc>
      </w:tr>
      <w:tr>
        <w:trPr>
          <w:trHeight w:val="21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2,458</w:t>
            </w:r>
          </w:p>
        </w:tc>
      </w:tr>
      <w:tr>
        <w:trPr>
          <w:trHeight w:val="213"/>
        </w:trPr>
        <w:tc>
          <w:tcPr>
            <w:tcW w:w="9240" w:type="dxa"/>
            <w:vAlign w:val="bottom"/>
          </w:tcPr>
          <w:p>
            <w:pPr>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1,525</w:t>
            </w:r>
          </w:p>
        </w:tc>
      </w:tr>
      <w:tr>
        <w:trPr>
          <w:trHeight w:val="219"/>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272</w:t>
            </w:r>
          </w:p>
        </w:tc>
      </w:tr>
      <w:tr>
        <w:trPr>
          <w:trHeight w:val="213"/>
        </w:trPr>
        <w:tc>
          <w:tcPr>
            <w:tcW w:w="9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617</w:t>
            </w:r>
          </w:p>
        </w:tc>
      </w:tr>
      <w:tr>
        <w:trPr>
          <w:trHeight w:val="213"/>
        </w:trPr>
        <w:tc>
          <w:tcPr>
            <w:tcW w:w="9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9,730</w:t>
            </w:r>
          </w:p>
        </w:tc>
      </w:tr>
      <w:tr>
        <w:trPr>
          <w:trHeight w:val="213"/>
        </w:trPr>
        <w:tc>
          <w:tcPr>
            <w:tcW w:w="9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interest</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r>
      <w:tr>
        <w:trPr>
          <w:trHeight w:val="209"/>
        </w:trPr>
        <w:tc>
          <w:tcPr>
            <w:tcW w:w="9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Present value of lease liabilities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9,392</w:t>
            </w:r>
          </w:p>
        </w:tc>
      </w:tr>
      <w:tr>
        <w:trPr>
          <w:trHeight w:val="20"/>
        </w:trPr>
        <w:tc>
          <w:tcPr>
            <w:tcW w:w="9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33"/>
        </w:trPr>
        <w:tc>
          <w:tcPr>
            <w:tcW w:w="9240" w:type="dxa"/>
            <w:vAlign w:val="bottom"/>
          </w:tcPr>
          <w:p>
            <w:pPr>
              <w:spacing w:after="0"/>
              <w:rPr>
                <w:sz w:val="20"/>
                <w:szCs w:val="20"/>
                <w:color w:val="auto"/>
              </w:rPr>
            </w:pPr>
            <w:r>
              <w:rPr>
                <w:rFonts w:ascii="Arial" w:cs="Arial" w:eastAsia="Arial" w:hAnsi="Arial"/>
                <w:sz w:val="20"/>
                <w:szCs w:val="20"/>
                <w:color w:val="auto"/>
                <w:w w:val="89"/>
              </w:rPr>
              <w:t>As of August 1, 2021, the weighted average remaining lease term and discount rate for our operating leases follows: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2"/>
        </w:trPr>
        <w:tc>
          <w:tcPr>
            <w:tcW w:w="9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233"/>
        </w:trPr>
        <w:tc>
          <w:tcPr>
            <w:tcW w:w="9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August 1, 2021</w:t>
            </w:r>
          </w:p>
        </w:tc>
      </w:tr>
      <w:tr>
        <w:trPr>
          <w:trHeight w:val="213"/>
        </w:trPr>
        <w:tc>
          <w:tcPr>
            <w:tcW w:w="92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lease term</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 years</w:t>
            </w:r>
          </w:p>
        </w:tc>
      </w:tr>
      <w:tr>
        <w:trPr>
          <w:trHeight w:val="213"/>
        </w:trPr>
        <w:tc>
          <w:tcPr>
            <w:tcW w:w="9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discount rate</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 Contracts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Culp Upholstery Fabrics – Haiti, Ltd.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Effective April 9, 2021, we entered into an agreement to lease a 90,000 square foot facility located in a modern industrial park on the northeastern border of Haiti. This facility will be dedicated to the production of cut and sewn upholstery kits and is expected to be operational during the second quarter of fiscal 2022. The lease agreement has an initial non-cancelable lease term of eight years, which will commence after the construction of the facility has been completed, and at such time we will have control of the facility based on the terms of the lease. The rent payments for the initial term of the lease total $2.8 million and will be paid in advance of the commencement of the lease. Of the $2.8 million rent payments, $1.4 million was paid during April 2021, $558,000 was paid during July 2021, $418,500 is due August 30, 2021, and $418,500 is due October 30, 2021, or 30 days after commencement of the lease as defined in the agreement. As of August 1, 2021, the $2.0 million paid in April and July 2021 was classified as other assets in the accompanying Consolidated Balance Sheets.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initial non-cancelable term of the lease can be subsequently renewed and extended for successive eight-year periods by written communication as defined in the lease agreement.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High Point, NC – Design and Innovation Campus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Effective May 7, 2021, we entered into an agreement to lease showroom and office space encompassing 21,000 square feet located in downtown High Point, NC. This facility will be used to advance synergies between our upholstery fabrics and mattress fabrics business segments by bringing our creative talent together to collaborate, develop new products through shared innovation and technology, and meet with new and existing customers. The lease agreement has an initial non-cancelable lease term of ten years, which will commence once certain lessor-owned leasehold improvements have been completed, and at such time we will have control of the facility based on the terms of the lease. The rent payments for the initial term of the lease total $2.2 million and will be paid in monthly installments beginning at the commencement of the lease, which is expected to occur near the end of the second quarter of fiscal 2022.</w:t>
      </w:r>
    </w:p>
    <w:p>
      <w:pPr>
        <w:spacing w:after="0" w:line="18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initial non-cancelable term of the lease can be subsequently renewed and extended up to four additional periods of three years each by written communication as defined in the lease agreement.</w:t>
      </w:r>
    </w:p>
    <w:p>
      <w:pPr>
        <w:spacing w:after="0" w:line="19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As of August 1, 2021, we had a commitment for the construction of leasehold improvements associated with this lease totaling $865,000.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16. Commitments, Contingencies, and Guarantees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August 1, 2021, August 2, 2020, and May 2, 2021, we had total amounts due regarding capital expenditures totaling $48,000, $333,000, and $348,000, respectively, which pertained to outstanding vendor invoices, none of which were financed. .</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August 1, 2021, we had open purchase commitments to acquire equipment for our mattress fabrics segment totaling $1.2 million.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Supply and Royalty Agreements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connection with the sale of our entire ownership interest in eLuxury, LLC (“eLuxury”) on March 31, 2020, we entered into supply and royalty agreements with eLuxury to preserve an additional sales channel for our core products – upholstery and mattress fabrics. The supply agreement requires eLuxury to purchase all its requirements at fair market prices for mattress and upholstery fabric products of the type we were supplying to eLuxury at the time of the sale transaction, as well as certain home accessories and soft good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which we referred to eLuxury prior to the sale transaction and new customer relationships we develop for eLuxury going forward, as well as sales of eLuxury products generated by sales representatives that we develop or introduce to eLuxury.</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There are no guarantees or provisions under either the supply or royalty agreements that require eLuxury to purchase a minimum amount of our products or sell a certain amount of eLuxury products to customers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provide an additional sales channel for eLuxury to grow its business-to-business sales platform.</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three-month periods ending August 1, 2021, and August 2, 2020, shipments to eLuxury under the supply agreement totaled $43,000 and $244,000, respectively. During the three-month periods ending August 1, 2021, and August 2, 2020, we received payments pursuant to the royalty agreement totaling $14,000 and $17,000,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Financial Guarantee</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Currently, we have an agreement that guarantees 70% of any unpaid lease payments associated with eLuxury’s facility located in Evansville, Indiana. The lease agreement expires in September 2024 and requires monthly payments of $18,865. Under the terms of the sale of our controlling interest in eLuxury, the buyer (the former noncontrolling interest holder) must use commercially reasonable efforts to cause the lessor to release us from this financial guarantee of eLuxury’s lease agreement. Following the sale transaction, eLuxury and its sole owner have indemnified us from any liabilities and obligations that we would be required to pay regarding this lease agreement.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Statutory Reserves</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August 1, 2021,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spacing w:after="0" w:line="278" w:lineRule="auto"/>
        <w:rPr>
          <w:sz w:val="20"/>
          <w:szCs w:val="20"/>
          <w:color w:val="auto"/>
        </w:rPr>
      </w:pPr>
      <w:r>
        <w:rPr>
          <w:rFonts w:ascii="Arial" w:cs="Arial" w:eastAsia="Arial" w:hAnsi="Arial"/>
          <w:sz w:val="18"/>
          <w:szCs w:val="18"/>
          <w:color w:val="auto"/>
        </w:rPr>
        <w:t>The transfer to this reserve must be made before distributions of any dividend to shareholders. As of August 1, 2021, the company’s statutory surplus reserve was $4.5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subsidiary located in China can transfer funds to the parent company, except for the statutory surplus reserve of $4.5 million, to assist with debt repayment, capital expenditures, and other expenses of the company’s business.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Common Stock Repurchase Program</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quarter of fiscal 2022, we repurchased 48,686 shares of our common stock at a cost of $723,000. As a result, as of August 1, 2021, we had $4.3 million available for additional repurchases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During the first quarter of fiscal 2021, we did not repurchase any shares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Dividend Program</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September 1, 2021, our board of directors approved a quarterly cash dividend of $0.11 per share. This payment will be made on October 18, 2021, to shareholders of record as of October 11, 2021.</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first quarter of fiscal 2022, dividend payments totaled $1.4 million, which represented a quarterly dividend payment of $0.11 per share. During the first quarter of fiscal 2021, dividend payments totaled $1.3 million, which represented a quarterly dividend payment of $0.105 per share.</w:t>
      </w:r>
    </w:p>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CAUTIONARY STATEMENT CONCERNING FORWARD-LOOKING INFORMATION</w:t>
      </w:r>
    </w:p>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we will realize these expectations or meet our guidance, or that these beliefs will prove correct.</w:t>
      </w: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the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or valuation allowances could affect our financial results. Finally, increases in market prices for petrochemical products can significantly affect the prices we pay for raw materials, and in turn, increase our operating costs and decrease our profitability.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tabs>
          <w:tab w:leader="none" w:pos="1060" w:val="left"/>
        </w:tabs>
        <w:rPr>
          <w:sz w:val="20"/>
          <w:szCs w:val="20"/>
          <w:color w:val="auto"/>
        </w:rPr>
      </w:pPr>
      <w:r>
        <w:rPr>
          <w:rFonts w:ascii="Arial" w:cs="Arial" w:eastAsia="Arial" w:hAnsi="Arial"/>
          <w:sz w:val="20"/>
          <w:szCs w:val="20"/>
          <w:u w:val="single" w:color="auto"/>
          <w:color w:val="auto"/>
        </w:rPr>
        <w:t>ITEM 2.</w:t>
      </w:r>
      <w:r>
        <w:rPr>
          <w:sz w:val="20"/>
          <w:szCs w:val="20"/>
          <w:color w:val="auto"/>
        </w:rPr>
        <w:tab/>
      </w:r>
      <w:r>
        <w:rPr>
          <w:rFonts w:ascii="Arial" w:cs="Arial" w:eastAsia="Arial" w:hAnsi="Arial"/>
          <w:sz w:val="19"/>
          <w:szCs w:val="19"/>
          <w:u w:val="single" w:color="auto"/>
          <w:color w:val="auto"/>
        </w:rPr>
        <w:t>MANAGEMENT’S DISCUSSION AND ANALYSIS OF FINANCIAL CONDITION AND RESULTS OF OPERATIONS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fiscal year is the 52 or 53-week period ending on the Sunday closest to April 30. The three months ended August 1, 2021, and August 2, 2020, both represent 13-week periods.</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operations are classified into two business segments: mattress fabrics and upholstery fabrics. The mattress fabrics segment manufactures, sources, and sells fabrics and mattress covers primarily to bedding manufacturers. We have mattress fabric operations located in Stokesdale, NC, High Point, NC, and Quebec, Canada. Additionally, we acquired the remaining fifty percent ownership interest in our former unconsolidated joint venture in Ouanaminthe, Haiti, during the fourth quarter of fiscal 2021. As a result, we are now the sole owner with full control of this cut and sewn mattress cover operation (see Note 3 of the consolidated financial statements for further details regarding this business combination).</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upholstery fabrics segment develops, sources, manufactures, and sells fabrics primarily to residential and commercial furniture manufacturers. We have upholstery fabric operations located in Shanghai, China, and Burlington, NC. We also commenced construction on a new leased facility in Haiti during the fourth quarter of last fiscal year. This new operation will be dedicated to production of cut and sewn upholstery kits and is expected to begin operating during the second quarter of this fiscal year. Additionally, Read Window Products, LLC (“Read”), a wholly-owned subsidiary with operations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evaluate the operating performance of our business segments based upon income (loss) from operations before certain unallocated corporate expenses, asset impairments, restructuring credit (expense) and related charges, and other non-recurring items. Cost of sales in each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and other miscellaneous expenses.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40" w:type="dxa"/>
            <w:vAlign w:val="bottom"/>
            <w:gridSpan w:val="3"/>
          </w:tcPr>
          <w:p>
            <w:pPr>
              <w:jc w:val="right"/>
              <w:ind w:right="1379"/>
              <w:spacing w:after="0"/>
              <w:rPr>
                <w:sz w:val="20"/>
                <w:szCs w:val="20"/>
                <w:color w:val="auto"/>
              </w:rPr>
            </w:pPr>
            <w:r>
              <w:rPr>
                <w:rFonts w:ascii="Arial" w:cs="Arial" w:eastAsia="Arial" w:hAnsi="Arial"/>
                <w:sz w:val="16"/>
                <w:szCs w:val="16"/>
                <w:color w:val="auto"/>
              </w:rPr>
              <w:t>Three Months Ended</w:t>
            </w:r>
          </w:p>
        </w:tc>
        <w:tc>
          <w:tcPr>
            <w:tcW w:w="1480" w:type="dxa"/>
            <w:vAlign w:val="bottom"/>
          </w:tcPr>
          <w:p>
            <w:pPr>
              <w:spacing w:after="0"/>
              <w:rPr>
                <w:sz w:val="17"/>
                <w:szCs w:val="17"/>
                <w:color w:val="auto"/>
              </w:rPr>
            </w:pPr>
          </w:p>
        </w:tc>
      </w:tr>
      <w:tr>
        <w:trPr>
          <w:trHeight w:val="219"/>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98"/>
              </w:rPr>
              <w:t>August 1, 2021</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98"/>
              </w:rPr>
              <w:t>August 2, 2020</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Change</w:t>
            </w: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83,047</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64,464</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28.8%</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Gross profit</w:t>
            </w:r>
          </w:p>
        </w:tc>
        <w:tc>
          <w:tcPr>
            <w:tcW w:w="168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12,499</w:t>
            </w:r>
          </w:p>
        </w:tc>
        <w:tc>
          <w:tcPr>
            <w:tcW w:w="28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9,901</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2"/>
              </w:rPr>
              <w:t>26.2%</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15.4%</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0"/>
              </w:rPr>
              <w:t>(30)bp</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8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9,181</w:t>
            </w:r>
          </w:p>
        </w:tc>
        <w:tc>
          <w:tcPr>
            <w:tcW w:w="28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8,018</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2"/>
              </w:rPr>
              <w:t>14.5%</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3,318</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1,883</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76.2%</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Operating margin</w:t>
            </w:r>
          </w:p>
        </w:tc>
        <w:tc>
          <w:tcPr>
            <w:tcW w:w="16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2.9%</w:t>
            </w:r>
          </w:p>
        </w:tc>
        <w:tc>
          <w:tcPr>
            <w:tcW w:w="1480" w:type="dxa"/>
            <w:vAlign w:val="bottom"/>
          </w:tcPr>
          <w:p>
            <w:pPr>
              <w:jc w:val="center"/>
              <w:ind w:right="199"/>
              <w:spacing w:after="0"/>
              <w:rPr>
                <w:sz w:val="20"/>
                <w:szCs w:val="20"/>
                <w:color w:val="auto"/>
              </w:rPr>
            </w:pPr>
            <w:r>
              <w:rPr>
                <w:rFonts w:ascii="Arial" w:cs="Arial" w:eastAsia="Arial" w:hAnsi="Arial"/>
                <w:sz w:val="16"/>
                <w:szCs w:val="16"/>
                <w:color w:val="auto"/>
                <w:w w:val="89"/>
              </w:rPr>
              <w:t>110bp</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68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3,155</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1,524</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107.0%</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Income tax expense</w:t>
            </w:r>
          </w:p>
        </w:tc>
        <w:tc>
          <w:tcPr>
            <w:tcW w:w="168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905</w:t>
            </w:r>
          </w:p>
        </w:tc>
        <w:tc>
          <w:tcPr>
            <w:tcW w:w="28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4,324</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(79.1)%</w:t>
            </w:r>
          </w:p>
        </w:tc>
      </w:tr>
      <w:tr>
        <w:trPr>
          <w:trHeight w:val="216"/>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6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2,250</w:t>
            </w:r>
          </w:p>
        </w:tc>
        <w:tc>
          <w:tcPr>
            <w:tcW w:w="2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(2,733)</w:t>
            </w:r>
          </w:p>
        </w:tc>
        <w:tc>
          <w:tcPr>
            <w:tcW w:w="1480" w:type="dxa"/>
            <w:vAlign w:val="bottom"/>
            <w:tcBorders>
              <w:bottom w:val="single" w:sz="8" w:color="auto"/>
            </w:tcBorders>
            <w:shd w:val="clear" w:color="auto" w:fill="CFF0FC"/>
          </w:tcPr>
          <w:p>
            <w:pPr>
              <w:jc w:val="center"/>
              <w:ind w:right="179"/>
              <w:spacing w:after="0"/>
              <w:rPr>
                <w:sz w:val="20"/>
                <w:szCs w:val="20"/>
                <w:color w:val="auto"/>
              </w:rPr>
            </w:pPr>
            <w:r>
              <w:rPr>
                <w:rFonts w:ascii="Arial" w:cs="Arial" w:eastAsia="Arial" w:hAnsi="Arial"/>
                <w:sz w:val="16"/>
                <w:szCs w:val="16"/>
                <w:color w:val="auto"/>
              </w:rPr>
              <w:t>N.M.</w:t>
            </w: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Sales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Overall, our net sales for the first quarter of fiscal 2022 increased by 28.8% compared with the same period a year ago, with mattress fabrics sales increasing 19.3% and upholstery fabrics sales increasing 41.0%. The first quarter of fiscal 2021 was negatively affected by the economic disruption caused by the COVID-19 pandemic, especially during the early part of the quarter.</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net sales in both segments reflects increased demand for both our mattress and residential upholstery fabric products, as well as our ability to meet this demand and respond quickly to the needs of our customers through our flexible global platform and the support of our long-term supplier relationships. It also reflects a price increase that was effective during the quarter for both divisions, which increased our consolidated net sales by approximately 2.5%.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Before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income before income taxes for the first quarter of fiscal 2022 was $3.2 million, compared with $1.5 million for the prior-year period.</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improved operating performance for the first quarter of fiscal 2022 primarily reflects higher sales as compared with the same period a year ago, partially offset by higher freight and raw material costs, unfavorable foreign exchange rate fluctuations associated with our operations in China and Canada, and operating inefficiencies due to labor shortages in the U.S. and Canada.</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recorded income tax expense of $905,000, or 28.7% of income before income taxes, for the three-month period ended August 1, 2021, compared with income tax expense of $4.3 million, or 283.7% of income before income taxes, for the three-month period ended August 2, 2020. Our effective income tax rate during the first quarter of fiscal 2022 was negatively affected, but not nearly to the extent as in the first quarter of fiscal 2021, by the mix of taxable income that is mostly earned by our foreign operations located in China and Canada, which have higher income tax rates than the U.S. This is due mostly to higher annual forecasted taxable income from our U.S. operations as of the end of the first quarter of fiscal 2022 compared with the annual forecasted taxable income as of the end of the first quarter of fiscal 2021, which was affected by the ongoing disruption and uncertain economic conditions relating to the COVID-19 pandemic during the first quarter of fiscal 2021. Income tax expense during the first quarter of fiscal 2021 was also affected by a $3.7 million net income tax charge, which consisted of a $7.2 million non-cash income tax charge to record a full valuation allowance against the company’s U.S. net deferred income tax assets, partially offset by a $3.5 million non-cash income tax benefit that re-established certain U.S. federal net operating loss carryforwards in connection with U.S. Treasury regulations regarding the Global Intangible Low Taxed Income (“GILTI”) tax provisions of the Tax Cuts and Jobs Act of 2017.</w:t>
      </w:r>
    </w:p>
    <w:p>
      <w:pPr>
        <w:spacing w:after="0" w:line="157" w:lineRule="exact"/>
        <w:rPr>
          <w:sz w:val="20"/>
          <w:szCs w:val="20"/>
          <w:color w:val="auto"/>
        </w:rPr>
      </w:pPr>
    </w:p>
    <w:p>
      <w:pPr>
        <w:ind w:right="1960"/>
        <w:spacing w:after="0" w:line="422" w:lineRule="auto"/>
        <w:rPr>
          <w:sz w:val="20"/>
          <w:szCs w:val="20"/>
          <w:color w:val="auto"/>
        </w:rPr>
      </w:pPr>
      <w:r>
        <w:rPr>
          <w:rFonts w:ascii="Arial" w:cs="Arial" w:eastAsia="Arial" w:hAnsi="Arial"/>
          <w:sz w:val="20"/>
          <w:szCs w:val="20"/>
          <w:color w:val="auto"/>
        </w:rPr>
        <w:t xml:space="preserve">Refer to Note 13 of the consolidated financial statements for further details regarding our provision for income taxes. </w:t>
      </w:r>
      <w:r>
        <w:rPr>
          <w:rFonts w:ascii="Arial" w:cs="Arial" w:eastAsia="Arial" w:hAnsi="Arial"/>
          <w:sz w:val="20"/>
          <w:szCs w:val="20"/>
          <w:u w:val="single" w:color="auto"/>
          <w:color w:val="auto"/>
        </w:rPr>
        <w:t>Liquidity</w:t>
      </w:r>
    </w:p>
    <w:p>
      <w:pPr>
        <w:spacing w:after="0" w:line="1"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As of August 1, 2021, our cash and cash equivalents, short-term investments (available for sale), and short-term and long-term investments (held-to-maturity) (collectively “cash and investments”) totaled $44.0 million compared with $46.9 million as of May 2, 2021.</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our cash and investments from the end of fiscal 2021 was mostly due to (i) $2.0 million of capital expenditures primarily related to our mattress fabrics segment and our innovation campus located in downtown High Point, NC, (ii) a cash payment of $1.4 million for a regular quarterly dividend payment to shareholders, and (iii) common stock repurchases totaling $723,000, partially offset by (iv) net cash provided by operating activities totaling $1.6 million.</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net cash provided by operating activities was $1.6 million during the first quarter of fiscal 2022, compared with $10.6 million during the first quarter of fiscal 2021. This decrease was mostly due to (i) increased inventory purchases due to increased sales volume, (ii) annual incentive plan award payments made during the first quarter of fiscal 2022 (compared with minimal payments made during the first quarter of fiscal 2021), (iii) an increase in income tax payments due primarily to an Alternative Minimum Tax credit refund of $745,000 received during the first quarter of fiscal 2021 that did not recur during fiscal 2022, and a withholding tax payment made to the Chinese government of $533,000 during the first quarter (such payment was not made until the third quarter of fiscal 2021), and (iv) payments relating to our new building lease associated with our upholstery cut and sewn operation located in Haiti, partially offset by (v) improved cash collections on accounts receivable resulting from more customers taking advantage of early payment discounts and their continuing return to making payments based on normal credit terms, rather than the extended terms previously granted in response to the COVID-19 pandemic.</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As of August 1, 2021, there were no outstanding borrowings under our lines of credit.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 Program</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September 1, 2021, our board of directors approved a quarterly cash dividend of $0.11 per share. This payment will be made on October 18, 2021, to shareholders of record as of October 11,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1" w:name="page32"/>
    <w:bookmarkEnd w:id="31"/>
    <w:p>
      <w:pPr>
        <w:jc w:val="both"/>
        <w:spacing w:after="0" w:line="250" w:lineRule="auto"/>
        <w:rPr>
          <w:sz w:val="20"/>
          <w:szCs w:val="20"/>
          <w:color w:val="auto"/>
        </w:rPr>
      </w:pPr>
      <w:r>
        <w:rPr>
          <w:rFonts w:ascii="Arial" w:cs="Arial" w:eastAsia="Arial" w:hAnsi="Arial"/>
          <w:sz w:val="20"/>
          <w:szCs w:val="20"/>
          <w:color w:val="auto"/>
        </w:rPr>
        <w:t>During the first quarter of fiscal 2022, dividend payments totaled $1.4 million, which represented a quarterly dividend payment of $0.11 per share. During the first quarter of fiscal 2021, dividend payments totaled $1.3 million, which represented a quarterly dividend payment of $0.105 per share.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Common Stock Repurchases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quarter of fiscal 2022, we repurchased 48,686 shares of common stock at a cost of $723,000. As a result, as of August 1, 2021, we had $4.3 million available for additional repurchases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During the first quarter of fiscal 2021, we did not repurchase any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Analysis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Mattress Fabrics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20" w:type="dxa"/>
            <w:vAlign w:val="bottom"/>
            <w:gridSpan w:val="3"/>
          </w:tcPr>
          <w:p>
            <w:pPr>
              <w:jc w:val="right"/>
              <w:ind w:right="1119"/>
              <w:spacing w:after="0"/>
              <w:rPr>
                <w:sz w:val="20"/>
                <w:szCs w:val="20"/>
                <w:color w:val="auto"/>
              </w:rPr>
            </w:pPr>
            <w:r>
              <w:rPr>
                <w:rFonts w:ascii="Arial" w:cs="Arial" w:eastAsia="Arial" w:hAnsi="Arial"/>
                <w:sz w:val="16"/>
                <w:szCs w:val="16"/>
                <w:color w:val="auto"/>
              </w:rPr>
              <w:t>Three Months Ended</w:t>
            </w:r>
          </w:p>
        </w:tc>
        <w:tc>
          <w:tcPr>
            <w:tcW w:w="1300" w:type="dxa"/>
            <w:vAlign w:val="bottom"/>
          </w:tcPr>
          <w:p>
            <w:pPr>
              <w:spacing w:after="0"/>
              <w:rPr>
                <w:sz w:val="17"/>
                <w:szCs w:val="17"/>
                <w:color w:val="auto"/>
              </w:rPr>
            </w:pPr>
          </w:p>
        </w:tc>
      </w:tr>
      <w:tr>
        <w:trPr>
          <w:trHeight w:val="219"/>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4"/>
              </w:rPr>
              <w:t>August 1, 2021</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92"/>
              </w:rPr>
              <w:t>August 2, 2020</w:t>
            </w: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Change</w:t>
            </w:r>
          </w:p>
        </w:tc>
      </w:tr>
      <w:tr>
        <w:trPr>
          <w:trHeight w:val="213"/>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43,058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36,103</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19.3%</w:t>
            </w: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Gross profit</w:t>
            </w:r>
          </w:p>
        </w:tc>
        <w:tc>
          <w:tcPr>
            <w:tcW w:w="1940" w:type="dxa"/>
            <w:vAlign w:val="bottom"/>
          </w:tcPr>
          <w:p>
            <w:pPr>
              <w:spacing w:after="0"/>
              <w:rPr>
                <w:sz w:val="18"/>
                <w:szCs w:val="18"/>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6,795</w:t>
            </w:r>
          </w:p>
        </w:tc>
        <w:tc>
          <w:tcPr>
            <w:tcW w:w="2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4,608</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2"/>
              </w:rPr>
              <w:t>47.5%</w:t>
            </w: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12.8%</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4"/>
              </w:rPr>
              <w:t>300bp</w:t>
            </w:r>
          </w:p>
        </w:tc>
      </w:tr>
      <w:tr>
        <w:trPr>
          <w:trHeight w:val="213"/>
        </w:trPr>
        <w:tc>
          <w:tcPr>
            <w:tcW w:w="47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940" w:type="dxa"/>
            <w:vAlign w:val="bottom"/>
          </w:tcPr>
          <w:p>
            <w:pPr>
              <w:spacing w:after="0"/>
              <w:rPr>
                <w:sz w:val="18"/>
                <w:szCs w:val="18"/>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3,184</w:t>
            </w:r>
          </w:p>
        </w:tc>
        <w:tc>
          <w:tcPr>
            <w:tcW w:w="2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2,763</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2"/>
              </w:rPr>
              <w:t>15.2%</w:t>
            </w:r>
          </w:p>
        </w:tc>
      </w:tr>
      <w:tr>
        <w:trPr>
          <w:trHeight w:val="219"/>
        </w:trPr>
        <w:tc>
          <w:tcPr>
            <w:tcW w:w="478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3,611</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1,845</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95.7%</w:t>
            </w:r>
          </w:p>
        </w:tc>
      </w:tr>
      <w:tr>
        <w:trPr>
          <w:trHeight w:val="213"/>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margin</w:t>
            </w:r>
          </w:p>
        </w:tc>
        <w:tc>
          <w:tcPr>
            <w:tcW w:w="1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5.1%</w:t>
            </w: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4"/>
              </w:rPr>
              <w:t>330bp</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Mattress fabrics sales increased 19.3% in the first quarter of fiscal 2022 compared to the prior-year period, which was adversely affected by disruption from the COVID-19 pandemic.</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mattress fabrics net sales for the quarter reflects an increase in demand driven by the continued strength of our product offerings. It was also supplemented by a price increase implemented during the quarter to help offset certain inflationary pressures, which increased net sales by approximately 3.0%.</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During the quarter, the strength and flexibility of our global manufacturing and sourcing operations in the U.S., Canada, Haiti, Asia, and Turkey enabled us to support current demand levels and serve the needs of our mattress fabrics and cover customers. We maintained our focus on product innovation, creative designs, and customer marketing during the quarter, and we further expanded our digital design platform to offer enhanced accessibility for our customers. Demand trends for sewn mattress covers also remained strong, as our on-shore, near-shore, and off-shore supply chain strategy, as well as our fabric-to-cover model, continued to provide a preferred platform that provides customers with the agility and value they need for their business.</w:t>
      </w:r>
    </w:p>
    <w:p>
      <w:pPr>
        <w:spacing w:after="0" w:line="15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Looking ahead, we are faced with some continued near-term pressures relating to labor shortages and ongoing customer capacity limitations due to supply chain disruption for non-fabric components, but we expect that most of these headwinds are temporary. Additionally, the ongoing impact of the COVID-19 pandemic remains unknown and depends on factors beyond our knowledge or control, including the duration and severity of the outbreak, actions taken to contain its spread and mitigate the public health and economic effects, the short- and long-term disruption of the global economy, consumer confidence, unemployment, employee health, and the financial health of our customers, suppliers, and distribution channels. At this time, we cannot reasonably estimate the ongoing impact of the COVID-19 pandemic on our mattress fabrics segment; however, if conditions relating to the pandemic worsen, the disruption could adversely affect our operations and financial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mattress fabrics profitability during the first quarter of fiscal 2022, as compared to the prior-year period, was primarily due to the higher mattress fabrics sales noted above, somewhat offset by increased raw material prices, freight costs, unfavorable foreign currency fluctuations in Canada and China, and inefficiencies due to labor shortages at our facilities in the U.S. and Canada. Our previously implemented price increase helped cover some inflationary pressures. However, with the continued rapid rise in labor, freight, and raw material costs, we are implementing a surcharge during the second quarter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20"/>
          <w:szCs w:val="20"/>
          <w:color w:val="auto"/>
        </w:rPr>
        <w:t>further mitigate these pressures. This surcharge will not take effect until midway through the second quarter, resulting in a temporary cost-price lag that will affect our profitability during the period.</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expect continued near-term inflationary pressures relating to increasing labor, freight, and raw material costs, as well as ongoing foreign currency fluctuations in China and Canada. We believe most of these headwinds are temporary and will be mitigated to some extent by the surcharge noted above, as well as our ongoing efforts to control costs.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CLASS International Holdings, Ltd. (“CIH”)</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Effective January 1, 2017, Culp International Holdings, Ltd. (“Culp International”), a wholly-owned subsidiary of the company, entered into a joint venture agreement pursuant to which Culp International owned 50% of Class International Holdings, Ltd. (“CIH”). During the fourth quarter of fiscal 2021, Culp International acquired the remaining 50% ownership interest in CIH from its former joint venture partner, such that we are now the sole owner with full control of CIH. CIH produces cut and sewn mattress covers and is housed in two facilities totaling 120,000 square feet, located in a modern industrial park on the northeastern border of Haiti. We believe having sole ownership of this operation enhances our capacity and increases our flexibility by having near-shore capabilities that help us meet the needs of our mattress cover customers. See Note 3 of the consolidated financial statements for further details regarding this business combination.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Segment assets consist of accounts receivable, inventory, property, plant, and equipment, right of use assets, and investment in unconsolidated joint venture.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92"/>
              </w:rPr>
              <w:t>August 1, 2021</w:t>
            </w: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August 2, 2020</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0"/>
              </w:rPr>
              <w:t>May 2, 2021</w:t>
            </w:r>
          </w:p>
        </w:tc>
      </w:tr>
      <w:tr>
        <w:trPr>
          <w:trHeight w:val="213"/>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18,016</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15,585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20,427</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Inventory</w:t>
            </w:r>
          </w:p>
        </w:tc>
        <w:tc>
          <w:tcPr>
            <w:tcW w:w="220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31,778</w:t>
            </w:r>
          </w:p>
        </w:tc>
        <w:tc>
          <w:tcPr>
            <w:tcW w:w="2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20,070</w:t>
            </w:r>
          </w:p>
        </w:tc>
        <w:tc>
          <w:tcPr>
            <w:tcW w:w="2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30,047</w:t>
            </w: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2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40,881</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39,597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41,264</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Right of use assets</w:t>
            </w:r>
          </w:p>
        </w:tc>
        <w:tc>
          <w:tcPr>
            <w:tcW w:w="220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4,058</w:t>
            </w:r>
          </w:p>
        </w:tc>
        <w:tc>
          <w:tcPr>
            <w:tcW w:w="2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832</w:t>
            </w:r>
          </w:p>
        </w:tc>
        <w:tc>
          <w:tcPr>
            <w:tcW w:w="2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4,278</w:t>
            </w:r>
          </w:p>
        </w:tc>
      </w:tr>
      <w:tr>
        <w:trPr>
          <w:trHeight w:val="216"/>
        </w:trPr>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Investment in unconsolidated joint venture</w:t>
            </w:r>
          </w:p>
        </w:tc>
        <w:tc>
          <w:tcPr>
            <w:tcW w:w="2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1,759</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8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94,733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77,843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96,016</w:t>
            </w:r>
          </w:p>
        </w:tc>
      </w:tr>
    </w:tbl>
    <w:p>
      <w:pPr>
        <w:spacing w:after="0" w:line="226" w:lineRule="exact"/>
        <w:rPr>
          <w:sz w:val="20"/>
          <w:szCs w:val="20"/>
          <w:color w:val="auto"/>
        </w:rPr>
      </w:pPr>
    </w:p>
    <w:p>
      <w:pPr>
        <w:ind w:right="1760"/>
        <w:spacing w:after="0" w:line="429" w:lineRule="auto"/>
        <w:rPr>
          <w:sz w:val="20"/>
          <w:szCs w:val="20"/>
          <w:color w:val="auto"/>
        </w:rPr>
      </w:pPr>
      <w:r>
        <w:rPr>
          <w:rFonts w:ascii="Arial" w:cs="Arial" w:eastAsia="Arial" w:hAnsi="Arial"/>
          <w:sz w:val="20"/>
          <w:szCs w:val="20"/>
          <w:color w:val="auto"/>
        </w:rPr>
        <w:t xml:space="preserve">Refer to Note 12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August 1, 2021, accounts receivable increased by $2.4 million, or 15.6%, compared with August 2, 2020. This increase reflects the significant increase in net sales during the first quarter of fiscal 2022 compared with the first quarter of fiscal 2021. Net sales during the first quarter of fiscal 2021 were adversely affected by the economic disruption caused by the COVID-19 pandemic. Although we experienced a substantial increase in net sales during the first quarter of fiscal 2022, the increase in accounts receivable was partially offset by improved cash collections during the first quarter of fiscal 2022 as compared with the first quarter of fiscal 2021. The improved cash collections are due to more customers taking advantage of early payment discounts, as well as their continued return to making payments based on normal credit terms as opposed to the extended terms previously granted in response to the COVID-19 pandemic.</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August 1, 2021, accounts receivable decreased by $2.4 million, or 11.8%, compared with May 2, 2021. This decrease reflects improved cash collections during the first quarter of fiscal 2022 compared with the fourth quarter of fiscal 2021, as more customers started taking advantage of early payment discounts and also continued their return to making payments based on normal credit terms, as opposed to extended terms previously granted in response to the COVID-19 pandemic.</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Days’ sales outstanding was 37 days for the first quarter of fiscal 2022, compared with 39 days for the first quarter of fiscal 2021 and 43 days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August 1, 2021, inventory increased by $11.7 million, or 58.3%, compared August 2, 2020. This increase reflects the significant increase in net sales during the first quarter of fiscal 2022 as compared with the first quarter of fiscal 2021. Net sales during the first quarter of fiscal 2021 were adversely affected by the economic disruption caused by the COVID-19 pandemic.</w:t>
      </w:r>
    </w:p>
    <w:p>
      <w:pPr>
        <w:spacing w:after="0" w:line="15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As of August 1, 2021, inventory modestly increased by $1.7 million, or 5.8%, compared with May 2, 2021. This increase represents management’s ability to maintain a consistent level of inventory that reflects our focus on inventory management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3" w:name="page34"/>
    <w:bookmarkEnd w:id="33"/>
    <w:p>
      <w:pPr>
        <w:jc w:val="both"/>
        <w:ind w:right="20"/>
        <w:spacing w:after="0" w:line="260" w:lineRule="auto"/>
        <w:rPr>
          <w:sz w:val="20"/>
          <w:szCs w:val="20"/>
          <w:color w:val="auto"/>
        </w:rPr>
      </w:pPr>
      <w:r>
        <w:rPr>
          <w:rFonts w:ascii="Arial" w:cs="Arial" w:eastAsia="Arial" w:hAnsi="Arial"/>
          <w:sz w:val="20"/>
          <w:szCs w:val="20"/>
          <w:color w:val="auto"/>
        </w:rPr>
        <w:t>aligning our inventory purchases to reflect current demand trends. Net sales during the first quarter of fiscal 2022 and the fourth quarter of fiscal 2021 were $43.1 million and $42.9 million, respectively.</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4.7 for the first quarter of fiscal 2022, compared with 5.9 for the first quarter of fiscal 2021 and 4.2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$40.9 million as of August 1, 2021, represents property, plant, and equipment of $27.6 million, $12.4 million, and $875,000 located in the U.S., Canada, and Haiti, respectively. The $39.6 million as of August 2, 2020, represents property, plant, and equipment of $27.0 million and $12.6 million located in the U.S. and Canada, respectively. The $41.3 million as of May 2, 2021, represents property, plant, and equipment of $28.4 million, $12.0 million, and $855,000 located in the U.S., Canada, and Haiti, respectively.</w:t>
      </w:r>
    </w:p>
    <w:p>
      <w:pPr>
        <w:spacing w:after="0" w:line="12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Property, plant, and equipment amounts are comparable for the periods presented as capital expenditures have been made commensurate with depreciation expense.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$4.1 million as of August 1, 2021, represents right of use assets of $2.3 million, $1.4 million, and $355,000 located Haiti, the U.S., and Canada, respectively. The $832,000 as of August 2, 2020, represents right of use assets of $535,000 and $297,000 located in Canada and the U.S., respectively. The $4.3 million as of May 2, 2021, represents right of use assets of $2.4 million, $1.4 million, and $400,000 located in Haiti, the U.S., and Canada,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August 1, 2021, and May 2, 2021, right of use assets have increased significantly from August 2, 2020. This increase mostly represents</w:t>
      </w:r>
    </w:p>
    <w:p>
      <w:pPr>
        <w:spacing w:after="0" w:line="39" w:lineRule="exact"/>
        <w:rPr>
          <w:sz w:val="20"/>
          <w:szCs w:val="20"/>
          <w:color w:val="auto"/>
        </w:rPr>
      </w:pPr>
    </w:p>
    <w:p>
      <w:pPr>
        <w:ind w:right="20" w:firstLine="8"/>
        <w:spacing w:after="0" w:line="244" w:lineRule="auto"/>
        <w:tabs>
          <w:tab w:leader="none" w:pos="243" w:val="left"/>
        </w:tabs>
        <w:numPr>
          <w:ilvl w:val="0"/>
          <w:numId w:val="11"/>
        </w:numPr>
        <w:rPr>
          <w:rFonts w:ascii="Arial" w:cs="Arial" w:eastAsia="Arial" w:hAnsi="Arial"/>
          <w:sz w:val="20"/>
          <w:szCs w:val="20"/>
          <w:color w:val="auto"/>
        </w:rPr>
      </w:pPr>
      <w:r>
        <w:rPr>
          <w:rFonts w:ascii="Arial" w:cs="Arial" w:eastAsia="Arial" w:hAnsi="Arial"/>
          <w:sz w:val="20"/>
          <w:szCs w:val="20"/>
          <w:color w:val="auto"/>
        </w:rPr>
        <w:t>$2.5 million that related to building leases acquired from Class International Holdings, Ltd. (“CIH”); and (ii) $879,000 that related to the renewal and amendment of a building lease located in the U.S. associated with our mattress cover operation.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Unconsolidated Joint Venture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August 2, 2020, our investment in unconsolidated joint venture represented our 50% ownership in CIH and was accounted for under the equity method in accordance with ASC Topic 823. Accordingly, the carrying value of our investment in CIH was reported as a single line item in the Consolidated Balance Sheets titled “Investment in unconsolidated joint venture”. Effective February 1, 2021, we entered into an agreement with our former joint venture partner to acquire the remaining 50% interest in CIH. Pursuant to this transaction, we are now the sole owner with full control over CIH. Accordingly, our consolidated financial statements now include all of the accounts of CIH, and any significant intercompany balances and transactions have been eliminated. Furthermore, the equity method will no longer be used and the former investment in unconsolidated joint venture is now included in the net assets of our now 100% interest in CIH</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See Note 3 to the consolidated financial statements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Upholstery Fabrics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40" w:type="dxa"/>
            <w:vAlign w:val="bottom"/>
            <w:gridSpan w:val="3"/>
          </w:tcPr>
          <w:p>
            <w:pPr>
              <w:jc w:val="right"/>
              <w:ind w:right="1119"/>
              <w:spacing w:after="0"/>
              <w:rPr>
                <w:sz w:val="20"/>
                <w:szCs w:val="20"/>
                <w:color w:val="auto"/>
              </w:rPr>
            </w:pPr>
            <w:r>
              <w:rPr>
                <w:rFonts w:ascii="Arial" w:cs="Arial" w:eastAsia="Arial" w:hAnsi="Arial"/>
                <w:sz w:val="16"/>
                <w:szCs w:val="16"/>
                <w:color w:val="auto"/>
                <w:w w:val="95"/>
              </w:rPr>
              <w:t>Three Months Ended</w:t>
            </w:r>
          </w:p>
        </w:tc>
        <w:tc>
          <w:tcPr>
            <w:tcW w:w="9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9"/>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8"/>
              </w:rPr>
              <w:t>August 1, 2021</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8"/>
              </w:rPr>
              <w:t>August 2, 2020</w:t>
            </w: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Non-U.S. Produced</w:t>
            </w:r>
          </w:p>
        </w:tc>
        <w:tc>
          <w:tcPr>
            <w:tcW w:w="1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38,222</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26,011</w:t>
            </w:r>
          </w:p>
        </w:tc>
        <w:tc>
          <w:tcPr>
            <w:tcW w:w="9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92%</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w:t>
            </w:r>
          </w:p>
        </w:tc>
      </w:tr>
      <w:tr>
        <w:trPr>
          <w:trHeight w:val="213"/>
        </w:trPr>
        <w:tc>
          <w:tcPr>
            <w:tcW w:w="2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Produced</w:t>
            </w:r>
          </w:p>
        </w:tc>
        <w:tc>
          <w:tcPr>
            <w:tcW w:w="1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2,350</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r>
        <w:trPr>
          <w:trHeight w:val="209"/>
        </w:trPr>
        <w:tc>
          <w:tcPr>
            <w:tcW w:w="2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39,989</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28,361</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100%</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w:t>
            </w: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Upholstery fabrics sales increased 41.0% in the first quarter of fiscal 2022 compared to the prior-year period, which was adversely affected by disruption from the COVID-19 pandemic.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upholstery fabrics net sales for the quarter reflects a significant increase in demand for our residential upholstery business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prior-year period, partially offset by lower sales for Read Window Products in our hospitality business, which remained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significant pressure from the ongoing COVID-19 disruption that continues to affect the travel and leisure industries. The increase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first quarter also reflects a price increase that was implemented on products sold in the U.S. to help offset unfavorable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 rate fluctuations associated with our operations in China. This price increase accounted for approximately 1.5%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net sales for the quarter.</w:t>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4" w:name="page35"/>
    <w:bookmarkEnd w:id="34"/>
    <w:p>
      <w:pPr>
        <w:jc w:val="both"/>
        <w:spacing w:after="0" w:line="260" w:lineRule="auto"/>
        <w:rPr>
          <w:sz w:val="20"/>
          <w:szCs w:val="20"/>
          <w:color w:val="auto"/>
        </w:rPr>
      </w:pPr>
      <w:r>
        <w:rPr>
          <w:rFonts w:ascii="Arial" w:cs="Arial" w:eastAsia="Arial" w:hAnsi="Arial"/>
          <w:sz w:val="19"/>
          <w:szCs w:val="19"/>
          <w:color w:val="auto"/>
        </w:rPr>
        <w:t>Our residential upholstery fabrics business continued to benefit from growth in our market reach, the flexibility of our Asian platform, and the success of our product innovation strategy, including the continued popularity of our LiveSmart® product portfolio. Our highly durable, stain-resistant LiveSmart® performance fabrics, as well as our LiveSmart Evolve® performance plus sustainability fabrics, are important drivers of growth in our residential business. These product lines continued to experience strong demand trends amidst consumer desire for cleanability, ease of maintenance, and environmentally-conscious products.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Looking ahead, we are encouraged by the demand trends in our residential upholstery business. We expect that certain near-term headwinds, including customer supply chain constraints and ongoing pandemic-related disruptions such as quarantine and shutdown requirements currently affecting our sourcing partners in Vietnam, may temporarily pressure our business during fiscal 2022. However, we believe that our flexible Asian platform and the addition of our new facility in Haiti near the end of the second quarter, as well as our long-term supplier relationships and product-driven strategy, will benefit us as we navigate these challenges.</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Notably, the ongoing economic and health effects of the COVID-19 pandemic, as well as the duration of such effects, remain unknown and depend on factors beyond our control. At this time, we cannot reasonably estimate the ongoing impact of the pandemic on our upholstery fabrics segment, but note that if conditions worsen, the impact on our employees, suppliers, consumers, and the global economy could adversely affect our operations and financial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40" w:type="dxa"/>
            <w:vAlign w:val="bottom"/>
          </w:tcPr>
          <w:p>
            <w:pPr>
              <w:spacing w:after="0"/>
              <w:rPr>
                <w:sz w:val="17"/>
                <w:szCs w:val="17"/>
                <w:color w:val="auto"/>
              </w:rPr>
            </w:pPr>
          </w:p>
        </w:tc>
        <w:tc>
          <w:tcPr>
            <w:tcW w:w="5100" w:type="dxa"/>
            <w:vAlign w:val="bottom"/>
            <w:gridSpan w:val="2"/>
          </w:tcPr>
          <w:p>
            <w:pPr>
              <w:jc w:val="right"/>
              <w:ind w:right="1119"/>
              <w:spacing w:after="0"/>
              <w:rPr>
                <w:sz w:val="20"/>
                <w:szCs w:val="20"/>
                <w:color w:val="auto"/>
              </w:rPr>
            </w:pPr>
            <w:r>
              <w:rPr>
                <w:rFonts w:ascii="Arial" w:cs="Arial" w:eastAsia="Arial" w:hAnsi="Arial"/>
                <w:sz w:val="16"/>
                <w:szCs w:val="16"/>
                <w:color w:val="auto"/>
              </w:rPr>
              <w:t>Three Months Ended</w:t>
            </w:r>
          </w:p>
        </w:tc>
        <w:tc>
          <w:tcPr>
            <w:tcW w:w="1300" w:type="dxa"/>
            <w:vAlign w:val="bottom"/>
          </w:tcPr>
          <w:p>
            <w:pPr>
              <w:spacing w:after="0"/>
              <w:rPr>
                <w:sz w:val="17"/>
                <w:szCs w:val="17"/>
                <w:color w:val="auto"/>
              </w:rPr>
            </w:pPr>
          </w:p>
        </w:tc>
      </w:tr>
      <w:tr>
        <w:trPr>
          <w:trHeight w:val="219"/>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August 1, 2021</w:t>
            </w:r>
          </w:p>
        </w:tc>
        <w:tc>
          <w:tcPr>
            <w:tcW w:w="17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August 2, 2020</w:t>
            </w: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Change</w:t>
            </w: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3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5,704</w:t>
            </w:r>
          </w:p>
        </w:tc>
        <w:tc>
          <w:tcPr>
            <w:tcW w:w="17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5,293</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3"/>
              </w:rPr>
              <w:t>7.8%</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Gross profit margin</w:t>
            </w:r>
          </w:p>
        </w:tc>
        <w:tc>
          <w:tcPr>
            <w:tcW w:w="3380" w:type="dxa"/>
            <w:vAlign w:val="bottom"/>
          </w:tcPr>
          <w:p>
            <w:pPr>
              <w:jc w:val="right"/>
              <w:ind w:right="79"/>
              <w:spacing w:after="0"/>
              <w:rPr>
                <w:sz w:val="20"/>
                <w:szCs w:val="20"/>
                <w:color w:val="auto"/>
              </w:rPr>
            </w:pPr>
            <w:r>
              <w:rPr>
                <w:rFonts w:ascii="Arial" w:cs="Arial" w:eastAsia="Arial" w:hAnsi="Arial"/>
                <w:sz w:val="16"/>
                <w:szCs w:val="16"/>
                <w:color w:val="auto"/>
              </w:rPr>
              <w:t>14.3%</w:t>
            </w:r>
          </w:p>
        </w:tc>
        <w:tc>
          <w:tcPr>
            <w:tcW w:w="1720" w:type="dxa"/>
            <w:vAlign w:val="bottom"/>
          </w:tcPr>
          <w:p>
            <w:pPr>
              <w:jc w:val="right"/>
              <w:ind w:right="199"/>
              <w:spacing w:after="0"/>
              <w:rPr>
                <w:sz w:val="20"/>
                <w:szCs w:val="20"/>
                <w:color w:val="auto"/>
              </w:rPr>
            </w:pPr>
            <w:r>
              <w:rPr>
                <w:rFonts w:ascii="Arial" w:cs="Arial" w:eastAsia="Arial" w:hAnsi="Arial"/>
                <w:sz w:val="16"/>
                <w:szCs w:val="16"/>
                <w:color w:val="auto"/>
              </w:rPr>
              <w:t>18.7%</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0"/>
              </w:rPr>
              <w:t>(440)bp</w:t>
            </w: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33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3,437</w:t>
            </w:r>
          </w:p>
        </w:tc>
        <w:tc>
          <w:tcPr>
            <w:tcW w:w="17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3,180</w:t>
            </w:r>
          </w:p>
        </w:tc>
        <w:tc>
          <w:tcPr>
            <w:tcW w:w="1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3"/>
              </w:rPr>
              <w:t>8.1%</w:t>
            </w: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380" w:type="dxa"/>
            <w:vAlign w:val="bottom"/>
          </w:tcPr>
          <w:p>
            <w:pPr>
              <w:jc w:val="right"/>
              <w:ind w:right="239"/>
              <w:spacing w:after="0"/>
              <w:rPr>
                <w:sz w:val="20"/>
                <w:szCs w:val="20"/>
                <w:color w:val="auto"/>
              </w:rPr>
            </w:pPr>
            <w:r>
              <w:rPr>
                <w:rFonts w:ascii="Arial" w:cs="Arial" w:eastAsia="Arial" w:hAnsi="Arial"/>
                <w:sz w:val="16"/>
                <w:szCs w:val="16"/>
                <w:color w:val="auto"/>
              </w:rPr>
              <w:t>2,267</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2,113</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93"/>
              </w:rPr>
              <w:t>7.3%</w:t>
            </w:r>
          </w:p>
        </w:tc>
      </w:tr>
      <w:tr>
        <w:trPr>
          <w:trHeight w:val="216"/>
        </w:trPr>
        <w:tc>
          <w:tcPr>
            <w:tcW w:w="4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3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5.7%</w:t>
            </w:r>
          </w:p>
        </w:tc>
        <w:tc>
          <w:tcPr>
            <w:tcW w:w="17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7.5%</w:t>
            </w:r>
          </w:p>
        </w:tc>
        <w:tc>
          <w:tcPr>
            <w:tcW w:w="1300" w:type="dxa"/>
            <w:vAlign w:val="bottom"/>
            <w:tcBorders>
              <w:bottom w:val="single" w:sz="8" w:color="auto"/>
            </w:tcBorders>
            <w:shd w:val="clear" w:color="auto" w:fill="CFF0FC"/>
          </w:tcPr>
          <w:p>
            <w:pPr>
              <w:jc w:val="center"/>
              <w:ind w:right="159"/>
              <w:spacing w:after="0"/>
              <w:rPr>
                <w:sz w:val="20"/>
                <w:szCs w:val="20"/>
                <w:color w:val="auto"/>
              </w:rPr>
            </w:pPr>
            <w:r>
              <w:rPr>
                <w:rFonts w:ascii="Arial" w:cs="Arial" w:eastAsia="Arial" w:hAnsi="Arial"/>
                <w:sz w:val="16"/>
                <w:szCs w:val="16"/>
                <w:color w:val="auto"/>
                <w:w w:val="90"/>
              </w:rPr>
              <w:t>(180)bp</w:t>
            </w:r>
          </w:p>
        </w:tc>
      </w:tr>
    </w:tbl>
    <w:p>
      <w:pPr>
        <w:spacing w:after="0" w:line="22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decrease in upholstery fabrics profitability for the first quarter of fiscal 2022, as compared to the prior-year period, primarily reflects a dramatic increase in freight costs, unfavorable foreign currency fluctuations associated with our operations in China, lower sales in Read, and start-up costs for our new Haiti facility.</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Looking ahead, we expect that further pressures relating to rising freight and U.S. labor costs, as well as ongoing China foreign exchange rate fluctuations and additional start-up costs for our new facility in Haiti, may temporarily pressure our profitability during fiscal 2022. Our previously implemented price increase has helped offset foreign currency exchange rate fluctuations to some extent, as intended, but we are implementing an additional freight surcharge during the second quarter to help mitigate a continued rise in freight costs.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Segment assets consist of accounts receivable, inventory, property, plant, and equipment, and right of use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6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92"/>
              </w:rPr>
              <w:t>August 1, 2021</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92"/>
              </w:rPr>
              <w:t>August 2, 2020</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95"/>
              </w:rPr>
              <w:t>May 2, 2021</w:t>
            </w:r>
          </w:p>
        </w:tc>
      </w:tr>
      <w:tr>
        <w:trPr>
          <w:trHeight w:val="213"/>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2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16,992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14,308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17,299</w:t>
            </w:r>
          </w:p>
        </w:tc>
      </w:tr>
      <w:tr>
        <w:trPr>
          <w:trHeight w:val="213"/>
        </w:trPr>
        <w:tc>
          <w:tcPr>
            <w:tcW w:w="4380" w:type="dxa"/>
            <w:vAlign w:val="bottom"/>
          </w:tcPr>
          <w:p>
            <w:pPr>
              <w:spacing w:after="0"/>
              <w:rPr>
                <w:sz w:val="20"/>
                <w:szCs w:val="20"/>
                <w:color w:val="auto"/>
              </w:rPr>
            </w:pPr>
            <w:r>
              <w:rPr>
                <w:rFonts w:ascii="Arial" w:cs="Arial" w:eastAsia="Arial" w:hAnsi="Arial"/>
                <w:sz w:val="16"/>
                <w:szCs w:val="16"/>
                <w:color w:val="auto"/>
              </w:rPr>
              <w:t>Inventory</w:t>
            </w:r>
          </w:p>
        </w:tc>
        <w:tc>
          <w:tcPr>
            <w:tcW w:w="26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26,835</w:t>
            </w:r>
          </w:p>
        </w:tc>
        <w:tc>
          <w:tcPr>
            <w:tcW w:w="24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20,332</w:t>
            </w:r>
          </w:p>
        </w:tc>
        <w:tc>
          <w:tcPr>
            <w:tcW w:w="2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25,870</w:t>
            </w:r>
          </w:p>
        </w:tc>
      </w:tr>
      <w:tr>
        <w:trPr>
          <w:trHeight w:val="219"/>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26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2,080</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1,634</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1,925</w:t>
            </w:r>
          </w:p>
        </w:tc>
      </w:tr>
      <w:tr>
        <w:trPr>
          <w:trHeight w:val="213"/>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w:t>
            </w:r>
          </w:p>
        </w:tc>
        <w:tc>
          <w:tcPr>
            <w:tcW w:w="2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5,984</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3,802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5,945</w:t>
            </w:r>
          </w:p>
        </w:tc>
      </w:tr>
      <w:tr>
        <w:trPr>
          <w:trHeight w:val="209"/>
        </w:trPr>
        <w:tc>
          <w:tcPr>
            <w:tcW w:w="438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51,891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40,076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51,039</w:t>
            </w:r>
          </w:p>
        </w:tc>
      </w:tr>
    </w:tbl>
    <w:p>
      <w:pPr>
        <w:spacing w:after="0" w:line="226" w:lineRule="exact"/>
        <w:rPr>
          <w:sz w:val="20"/>
          <w:szCs w:val="20"/>
          <w:color w:val="auto"/>
        </w:rPr>
      </w:pPr>
    </w:p>
    <w:p>
      <w:pPr>
        <w:ind w:right="1760"/>
        <w:spacing w:after="0" w:line="422" w:lineRule="auto"/>
        <w:rPr>
          <w:sz w:val="20"/>
          <w:szCs w:val="20"/>
          <w:color w:val="auto"/>
        </w:rPr>
      </w:pPr>
      <w:r>
        <w:rPr>
          <w:rFonts w:ascii="Arial" w:cs="Arial" w:eastAsia="Arial" w:hAnsi="Arial"/>
          <w:sz w:val="20"/>
          <w:szCs w:val="20"/>
          <w:color w:val="auto"/>
        </w:rPr>
        <w:t xml:space="preserve">Refer to Note 12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of August 1, 2021, accounts receivable increased by $2.7 million, or 18.8%, compared with August 2, 2020. This increase reflects the significant increase in net sales during the first quarter of fiscal 2022, as compared with the first quarter of fiscal 2021. Net sales during the first quarter of fiscal 2021 were adversely affected by the economic disruption caused by the COVID-19 pandemic. Although we experienced a substantial increase in net sales during the first quarter of fiscal 2022, the increase in accounts receivable was partially offset by improved cash collections during the first quarter of fiscal 2022 as compared with the first quarter of fiscal 2021. The improved cash collections were due to our customers’ continuing return to making payments based on normal credit terms as opposed to the extended terms previously granted in response to the COVID-19 pandemic.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9"/>
          <w:szCs w:val="19"/>
          <w:color w:val="auto"/>
        </w:rPr>
        <w:t>As of August 1, 2021, accounts receivable modestly decreased by 1.8%, as compared with May 2, 2021. This decrease reflects improved cash collections due to our customers’ continuing return to making payments based on normal credit terms as opposed to extended terms previously granted in response to the COVID-19 pandemic. Although we experienced a substantial improvement in cash collections during the first quarter of fiscal 2022, the decrease in accounts receivable was partially offset by an increase in net sales during the first quarter of fiscal 2022, as compared with the fourth quarter of fiscal 2021, due to plant shutdowns for the Chinese New Year holiday that occurred during the fourth quarter of fiscal 2021. Net sales were $40.0 million during the first quarter of fiscal 2022, an increase of $3.9 million, or 10.8%, compared with $36.1 million during the fourth quarter of fiscal 2021.</w:t>
      </w:r>
    </w:p>
    <w:p>
      <w:pPr>
        <w:spacing w:after="0" w:line="15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Days’ sales outstanding were 38 days during the first quarter of fiscal 2022, as compared with 44 days during the first quarter of fiscal 2021 and 42 days during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August 1, 2021, inventory increased by $6.5 million, or 32.0%, compared with August 2, 2020. This increase reflects the significant increase in net sales during the first quarter of fiscal 2022 compared with the first quarter of fiscal 2021. Net sales during the first quarter of fiscal 2021 were adversely affected by the economic disruption caused by the COVID-19 pandemic.</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August 1, 2021, inventory increased by $1.0 million, or 3.7%, compared with May 2, 2021. This increase reflects the increase in net sales during the first quarter of fiscal 2022, compared with the fourth quarter of fiscal 2021, due to plant shutdowns for the Chinese New Year holiday that occurred during that period, as noted above. Net sales were $40.0 million during the first quarter of fiscal 2022, an increase of $3.9 million, or 10.8%, compared with $36.1 million during the fourth quarter of fiscal 2021.</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4.9 for the first quarter of fiscal 2022, as compared with 4.3 for the first quarter of fiscal 2021 and 4.6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$2.1 million as of August 1, 2021, represents property, plant, and equipment of $1.1 million, $830,000, and $130,000 located in the U.S., China, and Haiti, respectively. The $1.6 million as of August 2, 2020, represents property, plant, and equipment of $1.2 million and $456,000 located in the U.S. and China, respectively. The $1.9 million as of May 2, 2021, represents property, plant, and equipment of $1.1 million and $850,000 located in the U.S. and China, respectively.</w:t>
      </w:r>
    </w:p>
    <w:p>
      <w:pPr>
        <w:spacing w:after="0" w:line="15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Property, plant, and equipment amounts are comparable for the periods presented as capital expenditures have been made commensurate with depreciation expense.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$6.0 million as of August 1, 2021, represents right of use assets of $4.6 million and $1.4 million located in China and the U.S., respectively. The $3.8 million as of August 2, 2020, represents right of use assets of $3.1 million and $710,000 located in China and the U.S., respectively. The $5.9 million as of May 2, 2021, represents right of use assets of $5.0 million and $952,000 located in China and the U.S., respectively.</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April 9, 2021, we entered into an agreement to lease a 90,000 square foot facility located in a modern industrial park on the northeastern border of Haiti. The lease term is expected to commence during the second quarter of fiscal 2022, after construction of the facility has been completed, and at such time, we will have control of the facility based on the terms of the lease. As a result, right of use assets are expected to increase by $2.8 million at the commencement of the lease.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Income Statement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020" w:type="dxa"/>
            <w:vAlign w:val="bottom"/>
            <w:gridSpan w:val="3"/>
          </w:tcPr>
          <w:p>
            <w:pPr>
              <w:jc w:val="right"/>
              <w:ind w:right="939"/>
              <w:spacing w:after="0"/>
              <w:rPr>
                <w:sz w:val="20"/>
                <w:szCs w:val="20"/>
                <w:color w:val="auto"/>
              </w:rPr>
            </w:pPr>
            <w:r>
              <w:rPr>
                <w:rFonts w:ascii="Arial" w:cs="Arial" w:eastAsia="Arial" w:hAnsi="Arial"/>
                <w:sz w:val="16"/>
                <w:szCs w:val="16"/>
                <w:color w:val="auto"/>
              </w:rPr>
              <w:t>Three Months Ended</w:t>
            </w:r>
          </w:p>
        </w:tc>
        <w:tc>
          <w:tcPr>
            <w:tcW w:w="1500" w:type="dxa"/>
            <w:vAlign w:val="bottom"/>
          </w:tcPr>
          <w:p>
            <w:pPr>
              <w:spacing w:after="0"/>
              <w:rPr>
                <w:sz w:val="17"/>
                <w:szCs w:val="17"/>
                <w:color w:val="auto"/>
              </w:rPr>
            </w:pPr>
          </w:p>
        </w:tc>
      </w:tr>
      <w:tr>
        <w:trPr>
          <w:trHeight w:val="21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2"/>
              </w:rPr>
              <w:t>August 1, 2021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92"/>
              </w:rPr>
              <w:t>August 2, 2020</w:t>
            </w: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 Change</w:t>
            </w:r>
          </w:p>
        </w:tc>
      </w:tr>
      <w:tr>
        <w:trPr>
          <w:trHeight w:val="212"/>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SG&amp;A expenses</w:t>
            </w:r>
          </w:p>
        </w:tc>
        <w:tc>
          <w:tcPr>
            <w:tcW w:w="2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9,181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8,018</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Interest expense</w:t>
            </w:r>
          </w:p>
        </w:tc>
        <w:tc>
          <w:tcPr>
            <w:tcW w:w="27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51</w:t>
            </w:r>
          </w:p>
        </w:tc>
        <w:tc>
          <w:tcPr>
            <w:tcW w:w="15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7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58</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r>
      <w:tr>
        <w:trPr>
          <w:trHeight w:val="213"/>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expense</w:t>
            </w:r>
          </w:p>
        </w:tc>
        <w:tc>
          <w:tcPr>
            <w:tcW w:w="2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366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selling, general, and administrative expenses during the first quarter of fiscal 2022, as compared with the first quarter of fiscal 2021, is mostly due to our significant cost cutting measures during the fourth quarter of fiscal 2020 that continued into the first quarter of fiscal 2021 as part of our comprehensive response to the COVID-19 global pandemic. These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6" w:name="page37"/>
    <w:bookmarkEnd w:id="36"/>
    <w:p>
      <w:pPr>
        <w:jc w:val="both"/>
        <w:spacing w:after="0" w:line="250" w:lineRule="auto"/>
        <w:rPr>
          <w:sz w:val="20"/>
          <w:szCs w:val="20"/>
          <w:color w:val="auto"/>
        </w:rPr>
      </w:pPr>
      <w:r>
        <w:rPr>
          <w:rFonts w:ascii="Arial" w:cs="Arial" w:eastAsia="Arial" w:hAnsi="Arial"/>
          <w:sz w:val="20"/>
          <w:szCs w:val="20"/>
          <w:color w:val="auto"/>
        </w:rPr>
        <w:t>cost cutting measures primarily related to compensation and included (i) temporary salary reductions, (ii) workforce adjustments to align with demand, (iii) suspended merit pay increases, and (iv) aggressively reduced discretionary spending such as professional fees and travel and entertainment expenses.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quarter of fiscal 2022, we did not incur any interest expense, as we did not have any borrowings outstanding during such time.</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the first quarter of fiscal 2021, interest expense was attributable to interest paid on amounts borrowed during the fourth quarter of fiscal 2020 in connection with the economic uncertainty and disruption associated with the COVID-19 global pandemic. During the fourth quarter of fiscal 2020, we borrowed $30.8 million under our lines of credit and applied for and received a $7.6 million loan under the SBA’s Paycheck Protection Program. The total amount of these borrowings was repaid during the first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Interest income reflects interest earned on our current investments of excess cash held in (i) money market funds, (ii) bond, other fixed income, and equity-related mutual funds, and (iii) investment-grade U.S. corporate, foreign, and government bonds, as well as (iv) interest earned on a money market fund and equity-related mutual fund investment associated with our rabbi trust that funds our deferred compensation plan.</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increase in interest income during the first quarter of fiscal 2022, as compared with the first quarter of fiscal 2021, reflects an increase in our investments during the first quarter of fiscal 2022 as compared with the first quarter of fiscal 2021. Our investments include short-term investments (available for sale), short-term and long-term investments (held-to-maturity), and long-term investments associated with our rabbi trust. These investments totaled $26.8 million and $15.3 million as of August 1, 2021, and August 2, 2020,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other expense during the first quarter of fiscal 2022, as compared with the first quarter of fiscal 2021, was due mostly to more favorable foreign currency exchange rates applied against balance sheet accounts denominated in Chinese Renminbi to determine the corresponding U.S. dollar financial reporting amounts. During the first quarter of fiscal 2022, we reported a foreign exchange loss associated with our operations located in China of $9,000 compared with $139,000 for the first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 &amp; Income Tax Expense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recorded income tax expense of $905,000, or 28.7% of income before income taxes, for the three-month period ending August 1, 2021, compared with income tax expense of $4.3 million, or 283.7% of income before income taxes, for the three-month period ending August 2, 2020.</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effective income tax rates for the three-month periods ended August 1, 2021, and August 2, 2020, were based upon the estimated effective income tax rate applicable for the full year after giving effect to any significant items related specifically to interim periods. When calculating the annual estimated effective income tax rate for the three-month periods ended August 1, 2021, and August 2, 2020, we were subject to a loss limitation rule in accordance with ASC Topic 740-270-30-36(a). This loss limitation rule requires any taxable loss associated with our U.S. or foreign operations to be excluded from the annual estimated effective income tax rate calculation if it was determined that no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7" w:name="page38"/>
    <w:bookmarkEnd w:id="37"/>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three-month periods ending August 1, 2021, and August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60" w:type="dxa"/>
            <w:vAlign w:val="bottom"/>
          </w:tcPr>
          <w:p>
            <w:pPr>
              <w:spacing w:after="0"/>
              <w:rPr>
                <w:sz w:val="17"/>
                <w:szCs w:val="17"/>
                <w:color w:val="auto"/>
              </w:rPr>
            </w:pPr>
          </w:p>
        </w:tc>
        <w:tc>
          <w:tcPr>
            <w:tcW w:w="5480" w:type="dxa"/>
            <w:vAlign w:val="bottom"/>
            <w:gridSpan w:val="2"/>
          </w:tcPr>
          <w:p>
            <w:pPr>
              <w:jc w:val="right"/>
              <w:ind w:right="1099"/>
              <w:spacing w:after="0"/>
              <w:rPr>
                <w:sz w:val="20"/>
                <w:szCs w:val="20"/>
                <w:color w:val="auto"/>
              </w:rPr>
            </w:pPr>
            <w:r>
              <w:rPr>
                <w:rFonts w:ascii="Arial" w:cs="Arial" w:eastAsia="Arial" w:hAnsi="Arial"/>
                <w:sz w:val="16"/>
                <w:szCs w:val="16"/>
                <w:color w:val="auto"/>
              </w:rPr>
              <w:t>Three Months Ended</w:t>
            </w:r>
          </w:p>
        </w:tc>
      </w:tr>
      <w:tr>
        <w:trPr>
          <w:trHeight w:val="219"/>
        </w:trPr>
        <w:tc>
          <w:tcPr>
            <w:tcW w:w="57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August 1, 2021</w:t>
            </w: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August 2, 2020</w:t>
            </w: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38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21.0%</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U.S. valuation allowance</w:t>
            </w:r>
          </w:p>
        </w:tc>
        <w:tc>
          <w:tcPr>
            <w:tcW w:w="3820" w:type="dxa"/>
            <w:vAlign w:val="bottom"/>
          </w:tcPr>
          <w:p>
            <w:pPr>
              <w:jc w:val="right"/>
              <w:ind w:right="239"/>
              <w:spacing w:after="0"/>
              <w:rPr>
                <w:sz w:val="20"/>
                <w:szCs w:val="20"/>
                <w:color w:val="auto"/>
              </w:rPr>
            </w:pPr>
            <w:r>
              <w:rPr>
                <w:rFonts w:ascii="Arial" w:cs="Arial" w:eastAsia="Arial" w:hAnsi="Arial"/>
                <w:sz w:val="16"/>
                <w:szCs w:val="16"/>
                <w:color w:val="auto"/>
              </w:rPr>
              <w:t>(3.9)</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474.4</w:t>
            </w: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w:t>
            </w:r>
          </w:p>
        </w:tc>
        <w:tc>
          <w:tcPr>
            <w:tcW w:w="38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(232.5)</w:t>
            </w: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3820" w:type="dxa"/>
            <w:vAlign w:val="bottom"/>
          </w:tcPr>
          <w:p>
            <w:pPr>
              <w:jc w:val="right"/>
              <w:ind w:right="299"/>
              <w:spacing w:after="0"/>
              <w:rPr>
                <w:sz w:val="20"/>
                <w:szCs w:val="20"/>
                <w:color w:val="auto"/>
              </w:rPr>
            </w:pPr>
            <w:r>
              <w:rPr>
                <w:rFonts w:ascii="Arial" w:cs="Arial" w:eastAsia="Arial" w:hAnsi="Arial"/>
                <w:sz w:val="16"/>
                <w:szCs w:val="16"/>
                <w:color w:val="auto"/>
              </w:rPr>
              <w:t>6.2</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10.1</w:t>
            </w: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Foreign income tax rate differential</w:t>
            </w:r>
          </w:p>
        </w:tc>
        <w:tc>
          <w:tcPr>
            <w:tcW w:w="38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1.6</w:t>
            </w:r>
          </w:p>
        </w:tc>
        <w:tc>
          <w:tcPr>
            <w:tcW w:w="16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9.1</w:t>
            </w: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Global Intangible Low Taxed Income Tax ("GILTI")</w:t>
            </w:r>
          </w:p>
        </w:tc>
        <w:tc>
          <w:tcPr>
            <w:tcW w:w="3820" w:type="dxa"/>
            <w:vAlign w:val="bottom"/>
          </w:tcPr>
          <w:p>
            <w:pPr>
              <w:jc w:val="right"/>
              <w:ind w:right="299"/>
              <w:spacing w:after="0"/>
              <w:rPr>
                <w:sz w:val="20"/>
                <w:szCs w:val="20"/>
                <w:color w:val="auto"/>
              </w:rPr>
            </w:pPr>
            <w:r>
              <w:rPr>
                <w:rFonts w:ascii="Arial" w:cs="Arial" w:eastAsia="Arial" w:hAnsi="Arial"/>
                <w:sz w:val="16"/>
                <w:szCs w:val="16"/>
                <w:color w:val="auto"/>
              </w:rPr>
              <w:t>3.4</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5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382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0.4</w:t>
            </w:r>
          </w:p>
        </w:tc>
        <w:tc>
          <w:tcPr>
            <w:tcW w:w="16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w:t>
            </w:r>
          </w:p>
        </w:tc>
      </w:tr>
      <w:tr>
        <w:trPr>
          <w:trHeight w:val="210"/>
        </w:trPr>
        <w:tc>
          <w:tcPr>
            <w:tcW w:w="57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28.7%</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Our effective income tax rate during the first quarter of fiscal 2022 was negatively affected, but not nearly to the extent as in the first quarter of fiscal 2021, by the mix of taxable income that is mostly earned by our foreign operations located in China and Canada, which have higher income tax rates than the U.S. This is due mostly to higher annual forecasted taxable income from our U.S. operations as of the end of the first quarter of fiscal 2022, as compared with lower annual forecasted taxable income as of the end of the first quarter of fiscal 2021. The annual forecasted taxable income at the end of the first quarter of fiscal 2021 was significantly affected by the ongoing disruption and uncertain economic conditions relating to the COVID-19 pandemic. As a result of the increase in forecasted taxable income, the principal differences in the above table are not as pronounced during the first quarter of fiscal 2022 as compared with those differences during the first quarter of fiscal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GILTI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2021</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July 20, 2020, the U.S. Treasury Department finalized and enacted previously proposed regulations regarding the GILTI tax provisions of the Tax Cuts and Jobs Act of 2017 (“TCJA”). With the enactment of these final regulations, we became eligible for an exclusion from GILTI if we meet the provisions of the GILTI High-Tax exception included in these final regulations. To meet the provisions of the GILTI high tax exception, the tested foreign entity’s effective income tax rate related to current year’s earnings must be higher than 90% of the U.S. Federal income tax rate of 21% (i.e., 18.9%). In addition, the enactment of the new regulations and the provisions for the GILTI High-Tax exception are retroactive to the original enactment of the GILTI tax provision, which includes our 2019 and 2020 fiscal years.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Since we met the requirements for the High-Tax exception for our 2019 and 2020 fiscal years,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of fiscal 2021.</w:t>
      </w:r>
    </w:p>
    <w:p>
      <w:pPr>
        <w:spacing w:after="0" w:line="111" w:lineRule="exact"/>
        <w:rPr>
          <w:sz w:val="20"/>
          <w:szCs w:val="20"/>
          <w:color w:val="auto"/>
        </w:rPr>
      </w:pPr>
    </w:p>
    <w:p>
      <w:pPr>
        <w:ind w:right="460"/>
        <w:spacing w:after="0" w:line="450" w:lineRule="auto"/>
        <w:rPr>
          <w:sz w:val="20"/>
          <w:szCs w:val="20"/>
          <w:color w:val="auto"/>
        </w:rPr>
      </w:pPr>
      <w:r>
        <w:rPr>
          <w:rFonts w:ascii="Arial" w:cs="Arial" w:eastAsia="Arial" w:hAnsi="Arial"/>
          <w:sz w:val="20"/>
          <w:szCs w:val="20"/>
          <w:color w:val="auto"/>
        </w:rPr>
        <w:t xml:space="preserve">Additionally, we met the requirements for the High-Tax exception for our 2021 fiscal year, and therefore, were not subject to GILTI tax. </w:t>
      </w:r>
      <w:r>
        <w:rPr>
          <w:rFonts w:ascii="Arial" w:cs="Arial" w:eastAsia="Arial" w:hAnsi="Arial"/>
          <w:sz w:val="20"/>
          <w:szCs w:val="20"/>
          <w:u w:val="single" w:color="auto"/>
          <w:color w:val="auto"/>
        </w:rPr>
        <w:t>Fiscal 2022</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the end of the first quarter of fiscal 2022, we believe we will not meet the requirements for the GILTI High-Tax exception regarding our foreign subsidiaries located in Canada and Haiti, and therefore, will be subject to GILTI tax for the 2022 fiscal year.</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Based on our assessment associated with our operation located in Canada, we expect that several significant capital projects will be placed into service during fiscal 2022, and therefore we will be eligible for a significant amount of deductible accelerated depreciation. As a result, our current year’s income tax expense is expected to be much lower than prior fiscal years’, and therefore, our projected current effective income tax rate is expected to be lower than the required 18.9% current effective income tax rate to meet the GILTI High-Tax exception provision.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19"/>
          <w:szCs w:val="19"/>
          <w:color w:val="auto"/>
        </w:rPr>
        <w:t>Based on our assessment associated with our operations located in Haiti, we expect to earn taxable income that is not subject to income tax, as we are located in an economic zone that permits a 0% income tax rate for the first fifteen years of operations, for which we have ten years remaining. Since our operations located in Haiti are not expected to be subject to income tax, our projected current effective income tax rate of 0% will be lower than the required 18.9% current effective income tax rate to meet the GILTI High-Tax exception. Fiscal 2022 is the first fiscal year in which we expect to earn taxable income from our operations located in Haiti.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Allowance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as a result of the retroactivity of the new GILTI regulations. Consequently, due to the retroactivity of the new regulations, we experienced a recent history of cumulative U.S. taxable losses during our last two fiscal years, and we expected at the time of this assessment that our history of U.S. pre-tax losses would continue into fiscal 2021. As a result of the significant weight of this negative evidence, we believed it was more-likely-than-not that our U.S. net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August 1, 2021, we evaluated the realizability of our U.S. net deferred income tax assets to determine if a full valuation allowance was required. Based on our assessment, we determined we have a recent history of cumulative U.S. taxable losses, in that we experienced U.S. taxable losses during each of the fiscal years 2020 and 2021. In addition, as of August 1, 2021, we are currently expecting U.S. taxable income during fiscal 2022 stemming from the source of taxable income provided by GILTI noted above. However, the cumulative losses that we have experienced during fiscal years 2020 and 2021 significantly exceed the U.S. taxable income expected during fiscal 2022.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8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our assessments as of August 1, 2021, August 2, 2020, and May 2, 2021, valuation allowances against our net deferred income taxes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7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2"/>
              </w:rPr>
              <w:t>August 1, 2021</w:t>
            </w:r>
          </w:p>
        </w:tc>
        <w:tc>
          <w:tcPr>
            <w:tcW w:w="16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August 2, 2020</w:t>
            </w:r>
          </w:p>
        </w:tc>
        <w:tc>
          <w:tcPr>
            <w:tcW w:w="14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May 2, 2021</w:t>
            </w:r>
          </w:p>
        </w:tc>
      </w:tr>
      <w:tr>
        <w:trPr>
          <w:trHeight w:val="212"/>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9,221</w:t>
            </w:r>
          </w:p>
        </w:tc>
        <w:tc>
          <w:tcPr>
            <w:tcW w:w="16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7,830</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9,344</w:t>
            </w:r>
          </w:p>
        </w:tc>
      </w:tr>
      <w:tr>
        <w:trPr>
          <w:trHeight w:val="21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17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2,330</w:t>
            </w: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2,281</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2,330</w:t>
            </w:r>
          </w:p>
        </w:tc>
      </w:tr>
      <w:tr>
        <w:trPr>
          <w:trHeight w:val="210"/>
        </w:trPr>
        <w:tc>
          <w:tcPr>
            <w:tcW w:w="50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11,551</w:t>
            </w:r>
          </w:p>
        </w:tc>
        <w:tc>
          <w:tcPr>
            <w:tcW w:w="16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10,111</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11,674</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 to Note 13 of the consolidated financial statements for disclosures regarding our assessments of our recorded deferred income tax liability balances associated with undistributed earnings from our foreign subsidiaries as of August 1, 2021, August 2, 2020, and May 2, 2021,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13 located of the consolidated financial statements for disclosures regarding our assessments of our uncertain income tax positions as of August 1, 2021, August 2, 2020, and May 2, 2021,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i w:val="1"/>
          <w:iCs w:val="1"/>
          <w:color w:val="auto"/>
        </w:rPr>
        <w:t>Income Taxes Paid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taxes paid (refunded) by jurisdiction: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color w:val="auto"/>
              </w:rPr>
              <w:t>Three Months</w:t>
            </w:r>
          </w:p>
        </w:tc>
        <w:tc>
          <w:tcPr>
            <w:tcW w:w="1700" w:type="dxa"/>
            <w:vAlign w:val="bottom"/>
          </w:tcPr>
          <w:p>
            <w:pPr>
              <w:spacing w:after="0"/>
              <w:rPr>
                <w:sz w:val="17"/>
                <w:szCs w:val="17"/>
                <w:color w:val="auto"/>
              </w:rPr>
            </w:pPr>
          </w:p>
        </w:tc>
      </w:tr>
      <w:tr>
        <w:trPr>
          <w:trHeight w:val="209"/>
        </w:trPr>
        <w:tc>
          <w:tcPr>
            <w:tcW w:w="65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Ended</w:t>
            </w:r>
          </w:p>
        </w:tc>
        <w:tc>
          <w:tcPr>
            <w:tcW w:w="1700" w:type="dxa"/>
            <w:vAlign w:val="bottom"/>
            <w:tcBorders>
              <w:bottom w:val="single" w:sz="8" w:color="auto"/>
            </w:tcBorders>
          </w:tcPr>
          <w:p>
            <w:pPr>
              <w:spacing w:after="0"/>
              <w:rPr>
                <w:sz w:val="18"/>
                <w:szCs w:val="18"/>
                <w:color w:val="auto"/>
              </w:rPr>
            </w:pPr>
          </w:p>
        </w:tc>
      </w:tr>
      <w:tr>
        <w:trPr>
          <w:trHeight w:val="234"/>
        </w:trPr>
        <w:tc>
          <w:tcPr>
            <w:tcW w:w="6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August 1,</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00" w:type="dxa"/>
            <w:vAlign w:val="bottom"/>
          </w:tcPr>
          <w:p>
            <w:pPr>
              <w:jc w:val="right"/>
              <w:ind w:right="699"/>
              <w:spacing w:after="0"/>
              <w:rPr>
                <w:sz w:val="20"/>
                <w:szCs w:val="20"/>
                <w:color w:val="auto"/>
              </w:rPr>
            </w:pPr>
            <w:r>
              <w:rPr>
                <w:rFonts w:ascii="Arial" w:cs="Arial" w:eastAsia="Arial" w:hAnsi="Arial"/>
                <w:sz w:val="16"/>
                <w:szCs w:val="16"/>
                <w:color w:val="auto"/>
              </w:rPr>
              <w:t>August 2,</w:t>
            </w:r>
          </w:p>
        </w:tc>
      </w:tr>
      <w:tr>
        <w:trPr>
          <w:trHeight w:val="235"/>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2020</w:t>
            </w:r>
          </w:p>
        </w:tc>
      </w:tr>
      <w:tr>
        <w:trPr>
          <w:trHeight w:val="200"/>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 Alternative Minimum Tax</w:t>
            </w: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12"/>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(AMT) credit refunds (1)</w:t>
            </w:r>
          </w:p>
        </w:tc>
        <w:tc>
          <w:tcPr>
            <w:tcW w:w="1060" w:type="dxa"/>
            <w:vAlign w:val="bottom"/>
            <w:shd w:val="clear" w:color="auto" w:fill="CFF0FC"/>
          </w:tcPr>
          <w:p>
            <w:pPr>
              <w:jc w:val="right"/>
              <w:ind w:right="90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China</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1,408</w:t>
            </w:r>
          </w:p>
        </w:tc>
        <w:tc>
          <w:tcPr>
            <w:tcW w:w="14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349</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10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14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405</w:t>
            </w:r>
          </w:p>
        </w:tc>
      </w:tr>
      <w:tr>
        <w:trPr>
          <w:trHeight w:val="209"/>
        </w:trPr>
        <w:tc>
          <w:tcPr>
            <w:tcW w:w="6560" w:type="dxa"/>
            <w:vAlign w:val="bottom"/>
          </w:tcPr>
          <w:p>
            <w:pPr>
              <w:spacing w:after="0"/>
              <w:rPr>
                <w:sz w:val="18"/>
                <w:szCs w:val="18"/>
                <w:color w:val="auto"/>
              </w:rPr>
            </w:pPr>
          </w:p>
        </w:tc>
        <w:tc>
          <w:tcPr>
            <w:tcW w:w="1060" w:type="dxa"/>
            <w:vAlign w:val="bottom"/>
            <w:tcBorders>
              <w:bottom w:val="single" w:sz="8" w:color="auto"/>
            </w:tcBorders>
          </w:tcPr>
          <w:p>
            <w:pPr>
              <w:jc w:val="right"/>
              <w:ind w:right="902"/>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1,688</w:t>
            </w: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r>
      <w:tr>
        <w:trPr>
          <w:trHeight w:val="20"/>
        </w:trPr>
        <w:tc>
          <w:tcPr>
            <w:tcW w:w="6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300" w:hanging="285"/>
        <w:spacing w:after="0" w:line="274" w:lineRule="auto"/>
        <w:tabs>
          <w:tab w:leader="none" w:pos="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accordance with the provisions of the TCJA, corporate taxpayers were eligible to treat prior AMT credit carryforwards as refundable. Accordingly, we elected to treat our prior AMT credit carryforward balance of $1.5 million as refundable, and as a result, 50% of the $1.5 million refundable balance was received during the first quarter of fiscal 2021, with the remaining balance expected to be received in fiscal 2022. In accordance with the provisions of the U.S. federal Coronavirus Aid, Relief, and Economic Security (CARES) Act (2020), 100% of AMT credit carryforwards for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Future Liquidity</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are currently projecting annual cash income tax payments of approximately $4.2 million for fiscal 2022, compared with $3.0 million for fiscal 2021. The increase in our income tax payments mostly represents U.S. AMT credit refunds totaling $1.5 million that were received during fiscal 2021 that will not recur during fiscal 2022. Our estimated cash income tax payments for fiscal 2022 are management’s current projections only and can be affected over the year by actual earnings from our foreign subsidiaries located in China and Canada versus annual projections, as well as changes in the foreign exchange rates associated with our China operations in relation to the U.S. dollar.</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Additionally, we currently expect to pay minimal income taxes in the U.S. on a cash basis during fiscal 2022 due to: (i) the immediate expensing of U.S. capital expenditures, and (ii) our existing U.S. federal net operating loss carryforwards totaling $19.4 million.</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Currently, our sources of liquidity include cash and cash equivalents, short-term investments (available for sale), cash flow from operations, and amounts available under our revolving credit lines. These sources have been adequate for day-to-day operations, capital expenditures, debt payments, common stock repurchases, and dividend payments. We believe our cash and cash equivalents of $26.0 million and short-term investments (available for sale) of $9.7 million as of August 1, 2021, cash flow from operations, and the current availability ($38.2 million) under our revolving credit lines will be sufficient to fund our foreseeable business needs and our contractual obligations.</w:t>
      </w:r>
    </w:p>
    <w:p>
      <w:pPr>
        <w:spacing w:after="0" w:line="124"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As of August 1, 2021, our cash and cash equivalents, short-term investments (available for sale), and short-term and long-term investments (held-to-maturity) (collectively “cash and investments”) totaled $44.0 million compared with $46.9 million as of May 2, 2021.</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our cash and investments from the end of fiscal 2021 was mostly due to (i) $2.0 million of capital expenditures primarily related to our mattress fabrics segment and our innovation campus located in downtown High Point, NC, (ii) a cash payment of $1.4 million for a regular quarterly dividend payment to shareholders, and (iii) common stock repurchases totaling $723,000, partially offset by (iv) net cash provided by operating activities totaling $1.6 million.</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net cash provided by operating activities of $1.6 million decreased during the first quarter of fiscal 2022, as compared with $10.6 million during the first quarter of fiscal 2021. This decrease was mostly due to (i) increased inventory purchases due to increased sales volume, (ii) annual incentive plan award payments made during the first quarter of fiscal 2022 (compared with minimal payments made during the first quarter of fiscal 2021), (iii) an increase in income tax payments due primarily to an AMT credit refund of $745,000 received during the first quarter of fiscal 2021 that did not recur during fiscal 2022, and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 w:name="page41"/>
    <w:bookmarkEnd w:id="40"/>
    <w:p>
      <w:pPr>
        <w:jc w:val="both"/>
        <w:spacing w:after="0" w:line="244" w:lineRule="auto"/>
        <w:rPr>
          <w:sz w:val="20"/>
          <w:szCs w:val="20"/>
          <w:color w:val="auto"/>
        </w:rPr>
      </w:pPr>
      <w:r>
        <w:rPr>
          <w:rFonts w:ascii="Arial" w:cs="Arial" w:eastAsia="Arial" w:hAnsi="Arial"/>
          <w:sz w:val="20"/>
          <w:szCs w:val="20"/>
          <w:color w:val="auto"/>
        </w:rPr>
        <w:t>withholding tax payment made to the Chinese government of $533,000 during the first quarter (such payment was not made until the third quarter of fiscal 2021), and (iv) payments relating to our new building lease associated with our upholstery cut and sewn operation located in Haiti, partially offset by (v) improved cash collections on accounts receivable resulting from more customers taking advantage of early payment discounts and their continuing return to making payments based on normal credit terms, rather than the extended terms previously granted in response to the COVID-19 pandemic.</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As of August 1, 2021, there were no outstanding borrowings under our lines of credit.</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cash and cash equivalents and short-term investments (available for sale) balance may be adversely affected by factors beyond our control, such as the continuing uncertainty of the COVID-19 global pandemic, lower net sales due to consumer demand, and delays in receipt of payment on accounts receivable. Additionally, we expect our cash liquidity to be affected by strategic investments in working capital, planned capital expenditures, and investments in our operations located in Haiti, with a significant portion of this spending occurring during the second quarter of fiscal 2022.</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By Geographic Area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cash and investments by geographic area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9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4"/>
              </w:rPr>
              <w:t>August 1, 2021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4"/>
              </w:rPr>
              <w:t>August 2, 2020</w:t>
            </w:r>
          </w:p>
        </w:tc>
        <w:tc>
          <w:tcPr>
            <w:tcW w:w="11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May 2, 2021</w:t>
            </w:r>
          </w:p>
        </w:tc>
      </w:tr>
      <w:tr>
        <w:trPr>
          <w:trHeight w:val="213"/>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35,727</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41,598</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34,465</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China</w:t>
            </w:r>
          </w:p>
        </w:tc>
        <w:tc>
          <w:tcPr>
            <w:tcW w:w="29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5,864</w:t>
            </w:r>
          </w:p>
        </w:tc>
        <w:tc>
          <w:tcPr>
            <w:tcW w:w="2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3,974</w:t>
            </w:r>
          </w:p>
        </w:tc>
        <w:tc>
          <w:tcPr>
            <w:tcW w:w="4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10,635</w:t>
            </w: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29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2,031</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1,761</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1,525</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Haiti</w:t>
            </w:r>
          </w:p>
        </w:tc>
        <w:tc>
          <w:tcPr>
            <w:tcW w:w="29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416</w:t>
            </w:r>
          </w:p>
        </w:tc>
        <w:tc>
          <w:tcPr>
            <w:tcW w:w="26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220</w:t>
            </w:r>
          </w:p>
        </w:tc>
      </w:tr>
      <w:tr>
        <w:trPr>
          <w:trHeight w:val="216"/>
        </w:trPr>
        <w:tc>
          <w:tcPr>
            <w:tcW w:w="4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Cayman Islands</w:t>
            </w:r>
          </w:p>
        </w:tc>
        <w:tc>
          <w:tcPr>
            <w:tcW w:w="29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42</w:t>
            </w: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w:t>
            </w:r>
          </w:p>
        </w:tc>
      </w:tr>
      <w:tr>
        <w:trPr>
          <w:trHeight w:val="209"/>
        </w:trPr>
        <w:tc>
          <w:tcPr>
            <w:tcW w:w="4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44,049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47,375</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46,853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Repurchase Program</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quarter of fiscal 2022, we repurchased 48,686 shares of common stock at a cost of $723,000. As a result, as of August 1, 2021, we had $4.3 million available for additional repurchases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During the first quarter of fiscal 2021, we did not repurchase any shares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Program</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September 1, 2021, our board of directors approved a quarterly cash dividend of $0.11 per share. This payment will be made on October 18, 2021, to shareholders of record as of October 11, 2021.</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first quarter of fiscal 2022, dividend payments totaled $1.4 million, which represented a quarterly dividend payment of $0.11 per share. During the first quarter of fiscal 2021, dividend payments totaled $1.3 million, which represented a quarterly dividend payment of $0.105 per share.</w:t>
      </w:r>
    </w:p>
    <w:p>
      <w:pPr>
        <w:spacing w:after="0" w:line="15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Working Capital</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working capital (accounts receivable and inventories, less accounts payable-trade, accounts payable-capital expenditures, and deferred revenue) was $47.6 million as of August 1, 2021, compared with $43.5 million as of August 2, 2020, and $50.2 million as of May 2, 2021. Operating working capital turnover was 6.9 during the first quarter of fiscal 2022, compared with 5.0 during the first quarter of fiscal 2021 and 6.4 during the fourth quarter of fiscal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i w:val="1"/>
          <w:iCs w:val="1"/>
          <w:color w:val="auto"/>
        </w:rPr>
        <w:t>Accounts Receivable</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Accounts receivable were $35.0 million as of August 1, 2021, and increased $5.1 million, or 17.1%, compared with $29.9 million as of August 2, 2020. This increase reflects the significant increase in net sales during the first quarter of fiscal 2022 as compared with the first quarter of fiscal 2021. Net sales during the first quarter of fiscal 2021 were adversely affected by the economic disruption caused by the COVID-19 pandemic. Although we experienced a substantial increase in net sales during the first quarter of fiscal 2022, the increase in accounts receivable was partially offset by improved cash collections during the first quarter of fiscal 2022 compared with the first quarter of fiscal 2021. The improved cash collections are due to more customers taking advantage of early payment discounts, as well as their continuing return to making payments based on normal credit terms as opposed to the extended terms previously granted in response to the COVID-19 pandemic.</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Accounts receivable as of August 1, 2021, decreased $2.7 million, or 7.2%, compared with $37.7 million as of May 2, 2021. This decrease reflects improved cash collections due to more customers taking advantage of early payment discounts, as well as their continuing return to making payments based on normal credit terms as opposed to extended terms previously granted in response to the COVID-19 pandemic. Although we experienced a substantial improvement in cash collections during the first quarter of fiscal 2022, the decrease in accounts receivable was partially offset by an increase in net sales associated with our upholstery fabrics segment during the first quarter of fiscal 2022, as compared with the fourth quarter of fiscal 2021, due to plant shutdowns for the Chinese New Year holiday that occurred during the fourth quarter of fiscal 2021.</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Days’ sales outstanding were 38 days for the first quarter of fiscal 2022, as compared with 41 days for the first quarter of fiscal 2021 and 43 days for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Inventory was $58.6 million as of August 1, 2021, and increased by $18.2 million, or 45.1%, compared with $40.4 million as of August 2, 2020. This increase reflects the significant increase in net sales during the first quarter of fiscal 2022 as compared with the first quarter of fiscal 2021. Net sales during the first quarter of fiscal 2021 were adversely affected by the economic disruption caused by the COVID-19 pandemic.</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Inventories as of August 1, 2021, modestly increased by $2.7 million, or 4.8%, compared with $55.9 million as of May 2, 2021. This increase is due primarily to an increase in net sales associated with our upholstery fabrics segment during the first quarter of fiscal 2022, as compared with the fourth quarter of fiscal 2021, due to plant shutdowns for the Chinese New Year holiday that occurred during the fourth quarter of fiscal 2021.</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4.9 for the first quarter of fiscal 2022, as compared with 5.3 for the first quarter of fiscal 2021 and 4.8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Accounts payable- trade, totaling $45.3 million as of August 1, 2021, increased by $19.5 million, or 75.9%, compared with $25.7 million as of August. 2, 2020. The increase in accounts payable- trade primarily reflects the significant increase in net sales during the first quarter of fiscal 2022 as compared with the first quarter of fiscal 2021.</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Accounts payable- trade as of August 1, 2021, modestly increased by $2.7 million, or 6.5%, compared with $42.5 million as of May 2, 2021. This increase is due primarily to an increase in net sales associated with our upholstery fabrics segment during the first quarter of fiscal 2022, as compared with the fourth quarter of fiscal 2021, due to plant shutdowns for the Chinese New Year holiday that occurred during the fourth quarter of fiscal 2021.</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Financing Arrangements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As of August 1, 2021, we did not have any outstanding borrowings associated with our revolving credit agreements.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August 1, 2021, we complied with these financial covenants.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Refer to Note 9 of the consolidated financial statements for further details of our revolving credit agreements.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auto"/>
        </w:rPr>
        <w:t>Capital Expenditures and Depreciation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Capital expenditures on a cash basis were $2.0 million during the first quarter of fiscal 2022, compared with $500,000 for the same period a year ago. Capital expenditures mostly related to our mattress fabrics segment and our innovation campus located in downtown High Point, 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$1.7 million during the first quarter of fiscal 2022, compared with $1.8 million for the same period a year ago.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mostly related to our mattress fabrics segment for both periods.</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fiscal 2022, we are projecting cash capital expenditures to be in the range of $10.0 million to $10.5 million. The estimated capital expenditures primarily relate to the mattress fabrics segment. For fiscal 2022, we are projecting depreciation expense to be approximately $7.0 million, also primarily related to the mattress fabrics segment. These are management’s current expectations only, and changes in our business and the unknown duration and financial impact of the COVID-19 global pandemic could cause changes in plans for capital expenditures and expectations related to depreciation expense. Funding for capital expenditures is expected to be from cash provided by operating activities.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As of August 1, 2021, we had total amounts due regarding capital expenditures totaling $48,000 that pertained to outstanding vendor invoices, none of which were financed. The total amount outstanding of $48,000 is required to be paid based on normal credit terms.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August 1, 2021, we had open purchase commitments (i) for the acquisition of equipment for our mattress fabrics segment totaling $1.2 million, and (ii) for the construction of leasehold improvements associated with our showroom and office space located in downtown High Point, NC totaling $865,000.</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Recent Accounting Developments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August 1, 2021, there were no changes in our significant accounting policies or the application of those policies from those reported in our annual report on Form 10-K for the year ended May 2, 2021.</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2 of the consolidated financial statements for recently adopted and issued accounting pronouncements since the filing of our Form 10-K for the year ended May 2, 2021.</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were no significant or new contractual obligations from those reported in our annual report on Form 10-K for the year ended May 2, 2021.</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Effective May 7, 2021, we entered into an agreement to lease showroom and office space encompassing 21,000 square feet located in downtown High Point, NC. The lease term is expected to commence near the end of the second quarter of fiscal 2022, once certain lessor-owned leasehold improvements have been completed, and at such time we will have control of the facility based on the terms of the lease. As a result, right of use assets are expected to increase by $2.2 million at the commencement of the lease.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9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3" w:name="page44"/>
    <w:bookmarkEnd w:id="43"/>
    <w:p>
      <w:pPr>
        <w:spacing w:after="0"/>
        <w:tabs>
          <w:tab w:leader="none" w:pos="1320" w:val="left"/>
        </w:tabs>
        <w:rPr>
          <w:sz w:val="20"/>
          <w:szCs w:val="20"/>
          <w:color w:val="auto"/>
        </w:rPr>
      </w:pPr>
      <w:r>
        <w:rPr>
          <w:rFonts w:ascii="Arial" w:cs="Arial" w:eastAsia="Arial" w:hAnsi="Arial"/>
          <w:sz w:val="20"/>
          <w:szCs w:val="20"/>
          <w:u w:val="single" w:color="auto"/>
          <w:color w:val="auto"/>
        </w:rPr>
        <w:t>ITEM 3.</w:t>
      </w:r>
      <w:r>
        <w:rPr>
          <w:sz w:val="20"/>
          <w:szCs w:val="20"/>
          <w:color w:val="auto"/>
        </w:rPr>
        <w:tab/>
      </w:r>
      <w:r>
        <w:rPr>
          <w:rFonts w:ascii="Arial" w:cs="Arial" w:eastAsia="Arial" w:hAnsi="Arial"/>
          <w:sz w:val="19"/>
          <w:szCs w:val="19"/>
          <w:u w:val="single" w:color="auto"/>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U.S. revolving credit agreement requires interest to be charged at a rate (applicable interest rate of 1.69% as of August 1, 2021) calculated using a variable spread over LIBOR based on the company’s ratio of debt to EBITDA as defined in the U.S. revolving credit agreement. As of August 1, 2021, there were no outstanding borrowings under our U.S. revolving credit agreement. Our revolving credit lines associated with our operations located in China bear interest at a rate determined by the Chinese government at the time of borrowing. As of August 1, 2021, there were no outstanding borrowings under our revolving credit agreements associated with our operations located in China.</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currencies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August 1, 2021, would not have materially affected our results of operations or financial position.</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u w:val="single" w:color="auto"/>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August 1, 2021,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quarter ended August 1, 2021,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u w:val="single" w:color="auto"/>
          <w:color w:val="auto"/>
        </w:rPr>
        <w:t>Part II – Other Information</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legal proceedings during the three months ended August 1, 2021. Our legal proceedings are disclosed in the company’s annual report on Form 10-K filed with the Securities and Exchange Commission on July 16, 2021, for the fiscal year ended May 2, 2021.</w:t>
      </w:r>
    </w:p>
    <w:p>
      <w:pPr>
        <w:spacing w:after="0" w:line="145"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risk factors during the three months ended August 1, 2021. Our risk factors are disclosed in Item 1A “Risk Factors” of the company’s annual report on Form 10-K filed with the Securities and Exchange Commission on July 16, 2021, for the fiscal year ended May 2, 2021.</w:t>
      </w:r>
    </w:p>
    <w:p>
      <w:pPr>
        <w:spacing w:after="0" w:line="15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6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640" w:type="dxa"/>
            <w:vAlign w:val="bottom"/>
            <w:tcBorders>
              <w:top w:val="single" w:sz="8" w:color="auto"/>
              <w:left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rPr>
              <w:t>(d)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Total Number of</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5"/>
              </w:rPr>
              <w:t>Approximate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(a)</w:t>
            </w:r>
          </w:p>
        </w:tc>
        <w:tc>
          <w:tcPr>
            <w:tcW w:w="2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Shares Purchased</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color w:val="auto"/>
                <w:w w:val="95"/>
              </w:rPr>
              <w:t>Dollar Value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Total</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19"/>
              <w:spacing w:after="0"/>
              <w:rPr>
                <w:sz w:val="20"/>
                <w:szCs w:val="20"/>
                <w:color w:val="auto"/>
              </w:rPr>
            </w:pPr>
            <w:r>
              <w:rPr>
                <w:rFonts w:ascii="Arial" w:cs="Arial" w:eastAsia="Arial" w:hAnsi="Arial"/>
                <w:sz w:val="16"/>
                <w:szCs w:val="16"/>
                <w:color w:val="auto"/>
              </w:rPr>
              <w:t>(b)</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as Part of</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Shares that May</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Number</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w w:val="90"/>
              </w:rPr>
              <w:t>Average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Publicly</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8"/>
              </w:rPr>
              <w:t>Yet Be Purchased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of Shares</w:t>
            </w: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w w:val="90"/>
              </w:rPr>
              <w:t>Price Paid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Announced Plans</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1"/>
              </w:rPr>
              <w:t>Under the Plans or</w:t>
            </w:r>
          </w:p>
        </w:tc>
      </w:tr>
      <w:tr>
        <w:trPr>
          <w:trHeight w:val="219"/>
        </w:trPr>
        <w:tc>
          <w:tcPr>
            <w:tcW w:w="5640" w:type="dxa"/>
            <w:vAlign w:val="bottom"/>
            <w:tcBorders>
              <w:left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6"/>
                <w:szCs w:val="16"/>
                <w:color w:val="auto"/>
              </w:rPr>
              <w:t>Period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Purchased</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6"/>
                <w:szCs w:val="16"/>
                <w:color w:val="auto"/>
                <w:w w:val="88"/>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or Programs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w w:val="89"/>
              </w:rPr>
              <w:t>Programs (1)</w:t>
            </w:r>
          </w:p>
        </w:tc>
      </w:tr>
      <w:tr>
        <w:trPr>
          <w:trHeight w:val="210"/>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May 3, 2021 to June 6, 2021</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June 7, 2021 to July 4, 2021</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5,000,000</w:t>
            </w:r>
          </w:p>
        </w:tc>
      </w:tr>
      <w:tr>
        <w:trPr>
          <w:trHeight w:val="209"/>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July 5, 2021 to August 1, 2021</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48,686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14.90</w:t>
            </w:r>
          </w:p>
        </w:tc>
        <w:tc>
          <w:tcPr>
            <w:tcW w:w="138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48,686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4,276,672</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48,686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14.90</w:t>
            </w:r>
          </w:p>
        </w:tc>
        <w:tc>
          <w:tcPr>
            <w:tcW w:w="13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48,686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4,276,672</w:t>
            </w:r>
          </w:p>
        </w:tc>
      </w:tr>
    </w:tbl>
    <w:p>
      <w:pPr>
        <w:spacing w:after="0" w:line="206"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March 2020, our board of directors approved an authorization for us to acquire up to $5.0 million of our common stock.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tabs>
          <w:tab w:leader="none" w:pos="1200" w:val="left"/>
        </w:tabs>
        <w:rPr>
          <w:sz w:val="20"/>
          <w:szCs w:val="20"/>
          <w:color w:val="auto"/>
        </w:rPr>
      </w:pPr>
      <w:r>
        <w:rPr>
          <w:rFonts w:ascii="Arial" w:cs="Arial" w:eastAsia="Arial" w:hAnsi="Arial"/>
          <w:sz w:val="20"/>
          <w:szCs w:val="20"/>
          <w:u w:val="single" w:color="auto"/>
          <w:color w:val="auto"/>
        </w:rPr>
        <w:t>Item 6.</w:t>
      </w:r>
      <w:r>
        <w:rPr>
          <w:sz w:val="20"/>
          <w:szCs w:val="20"/>
          <w:color w:val="auto"/>
        </w:rPr>
        <w:tab/>
      </w:r>
      <w:r>
        <w:rPr>
          <w:rFonts w:ascii="Arial" w:cs="Arial" w:eastAsia="Arial" w:hAnsi="Arial"/>
          <w:sz w:val="18"/>
          <w:szCs w:val="18"/>
          <w:u w:val="single" w:color="auto"/>
          <w:color w:val="auto"/>
        </w:rPr>
        <w:t>Exhibits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exhibits are submitted as part of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ind w:left="80"/>
              <w:spacing w:after="0"/>
              <w:rPr>
                <w:sz w:val="20"/>
                <w:szCs w:val="20"/>
                <w:color w:val="auto"/>
              </w:rPr>
            </w:pPr>
            <w:r>
              <w:rPr>
                <w:rFonts w:ascii="Arial" w:cs="Arial" w:eastAsia="Arial" w:hAnsi="Arial"/>
                <w:sz w:val="16"/>
                <w:szCs w:val="16"/>
                <w:color w:val="auto"/>
              </w:rPr>
              <w:t>10.1</w:t>
            </w:r>
          </w:p>
        </w:tc>
        <w:tc>
          <w:tcPr>
            <w:tcW w:w="9060" w:type="dxa"/>
            <w:vAlign w:val="bottom"/>
            <w:gridSpan w:val="7"/>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Form of Annual Incentive Award Agreement</w:t>
              </w:r>
            </w:hyperlink>
            <w:r>
              <w:rPr>
                <w:rFonts w:ascii="Arial" w:cs="Arial" w:eastAsia="Arial" w:hAnsi="Arial"/>
                <w:sz w:val="16"/>
                <w:szCs w:val="16"/>
                <w:color w:val="000000"/>
              </w:rPr>
              <w:t>.</w:t>
            </w:r>
          </w:p>
        </w:tc>
      </w:tr>
      <w:tr>
        <w:trPr>
          <w:trHeight w:val="20"/>
        </w:trPr>
        <w:tc>
          <w:tcPr>
            <w:tcW w:w="78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780" w:type="dxa"/>
            <w:vAlign w:val="bottom"/>
          </w:tcPr>
          <w:p>
            <w:pPr>
              <w:ind w:left="80"/>
              <w:spacing w:after="0"/>
              <w:rPr>
                <w:sz w:val="20"/>
                <w:szCs w:val="20"/>
                <w:color w:val="auto"/>
              </w:rPr>
            </w:pPr>
            <w:r>
              <w:rPr>
                <w:rFonts w:ascii="Arial" w:cs="Arial" w:eastAsia="Arial" w:hAnsi="Arial"/>
                <w:sz w:val="16"/>
                <w:szCs w:val="16"/>
                <w:color w:val="auto"/>
              </w:rPr>
              <w:t>10.2</w:t>
            </w:r>
          </w:p>
        </w:tc>
        <w:tc>
          <w:tcPr>
            <w:tcW w:w="9060" w:type="dxa"/>
            <w:vAlign w:val="bottom"/>
            <w:gridSpan w:val="7"/>
          </w:tcPr>
          <w:p>
            <w:pPr>
              <w:spacing w:after="0"/>
              <w:rPr>
                <w:rFonts w:ascii="Arial" w:cs="Arial" w:eastAsia="Arial" w:hAnsi="Arial"/>
                <w:sz w:val="16"/>
                <w:szCs w:val="16"/>
                <w:color w:val="0000EE"/>
                <w:w w:val="92"/>
              </w:rPr>
            </w:pPr>
            <w:hyperlink w:anchor="page57">
              <w:r>
                <w:rPr>
                  <w:rFonts w:ascii="Arial" w:cs="Arial" w:eastAsia="Arial" w:hAnsi="Arial"/>
                  <w:sz w:val="16"/>
                  <w:szCs w:val="16"/>
                  <w:color w:val="0000EE"/>
                  <w:w w:val="92"/>
                </w:rPr>
                <w:t>Form of Restricted Stock Unit Agreement for restricted stock units granted to executive officers pursuant to the 2015 Equity Incentive Plan</w:t>
              </w:r>
            </w:hyperlink>
            <w:r>
              <w:rPr>
                <w:rFonts w:ascii="Arial" w:cs="Arial" w:eastAsia="Arial" w:hAnsi="Arial"/>
                <w:sz w:val="16"/>
                <w:szCs w:val="16"/>
                <w:color w:val="000000"/>
                <w:w w:val="92"/>
              </w:rPr>
              <w:t>.</w:t>
            </w:r>
          </w:p>
        </w:tc>
      </w:tr>
      <w:tr>
        <w:trPr>
          <w:trHeight w:val="263"/>
        </w:trPr>
        <w:tc>
          <w:tcPr>
            <w:tcW w:w="780" w:type="dxa"/>
            <w:vAlign w:val="bottom"/>
          </w:tcPr>
          <w:p>
            <w:pPr>
              <w:ind w:left="80"/>
              <w:spacing w:after="0"/>
              <w:rPr>
                <w:sz w:val="20"/>
                <w:szCs w:val="20"/>
                <w:color w:val="auto"/>
              </w:rPr>
            </w:pPr>
            <w:r>
              <w:rPr>
                <w:rFonts w:ascii="Arial" w:cs="Arial" w:eastAsia="Arial" w:hAnsi="Arial"/>
                <w:sz w:val="16"/>
                <w:szCs w:val="16"/>
                <w:color w:val="auto"/>
              </w:rPr>
              <w:t>31.1</w:t>
            </w:r>
          </w:p>
        </w:tc>
        <w:tc>
          <w:tcPr>
            <w:tcW w:w="9020" w:type="dxa"/>
            <w:vAlign w:val="bottom"/>
            <w:tcBorders>
              <w:top w:val="single" w:sz="8" w:color="0000EE"/>
            </w:tcBorders>
            <w:gridSpan w:val="6"/>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Certification of Chief Executive Officer Pursuant to Rule 13a-14(a)/15d-14(a).</w:t>
              </w:r>
            </w:hyperlink>
          </w:p>
        </w:tc>
        <w:tc>
          <w:tcPr>
            <w:tcW w:w="40" w:type="dxa"/>
            <w:vAlign w:val="bottom"/>
          </w:tcPr>
          <w:p>
            <w:pPr>
              <w:spacing w:after="0"/>
              <w:rPr>
                <w:sz w:val="22"/>
                <w:szCs w:val="22"/>
                <w:color w:val="auto"/>
              </w:rPr>
            </w:pPr>
          </w:p>
        </w:tc>
      </w:tr>
      <w:tr>
        <w:trPr>
          <w:trHeight w:val="264"/>
        </w:trPr>
        <w:tc>
          <w:tcPr>
            <w:tcW w:w="780" w:type="dxa"/>
            <w:vAlign w:val="bottom"/>
          </w:tcPr>
          <w:p>
            <w:pPr>
              <w:ind w:left="80"/>
              <w:spacing w:after="0"/>
              <w:rPr>
                <w:sz w:val="20"/>
                <w:szCs w:val="20"/>
                <w:color w:val="auto"/>
              </w:rPr>
            </w:pPr>
            <w:r>
              <w:rPr>
                <w:rFonts w:ascii="Arial" w:cs="Arial" w:eastAsia="Arial" w:hAnsi="Arial"/>
                <w:sz w:val="16"/>
                <w:szCs w:val="16"/>
                <w:color w:val="auto"/>
              </w:rPr>
              <w:t>31.2</w:t>
            </w:r>
          </w:p>
        </w:tc>
        <w:tc>
          <w:tcPr>
            <w:tcW w:w="506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3"/>
              </w:rPr>
            </w:pPr>
            <w:hyperlink w:anchor="page68">
              <w:r>
                <w:rPr>
                  <w:rFonts w:ascii="Arial" w:cs="Arial" w:eastAsia="Arial" w:hAnsi="Arial"/>
                  <w:sz w:val="16"/>
                  <w:szCs w:val="16"/>
                  <w:color w:val="0000EE"/>
                  <w:w w:val="93"/>
                </w:rPr>
                <w:t>Certification of Chief Financial Officer Pursuant to Rule 13a-14(a)/15d-14(a).</w:t>
              </w:r>
            </w:hyperlink>
          </w:p>
        </w:tc>
        <w:tc>
          <w:tcPr>
            <w:tcW w:w="40" w:type="dxa"/>
            <w:vAlign w:val="bottom"/>
            <w:tcBorders>
              <w:top w:val="single" w:sz="8" w:color="0000EE"/>
            </w:tcBorders>
          </w:tcPr>
          <w:p>
            <w:pPr>
              <w:spacing w:after="0"/>
              <w:rPr>
                <w:sz w:val="22"/>
                <w:szCs w:val="22"/>
                <w:color w:val="auto"/>
              </w:rPr>
            </w:pPr>
          </w:p>
        </w:tc>
        <w:tc>
          <w:tcPr>
            <w:tcW w:w="3960" w:type="dxa"/>
            <w:vAlign w:val="bottom"/>
            <w:gridSpan w:val="2"/>
          </w:tcPr>
          <w:p>
            <w:pPr>
              <w:spacing w:after="0"/>
              <w:rPr>
                <w:sz w:val="22"/>
                <w:szCs w:val="22"/>
                <w:color w:val="auto"/>
              </w:rPr>
            </w:pPr>
          </w:p>
        </w:tc>
      </w:tr>
      <w:tr>
        <w:trPr>
          <w:trHeight w:val="263"/>
        </w:trPr>
        <w:tc>
          <w:tcPr>
            <w:tcW w:w="780" w:type="dxa"/>
            <w:vAlign w:val="bottom"/>
          </w:tcPr>
          <w:p>
            <w:pPr>
              <w:ind w:left="80"/>
              <w:spacing w:after="0"/>
              <w:rPr>
                <w:sz w:val="20"/>
                <w:szCs w:val="20"/>
                <w:color w:val="auto"/>
              </w:rPr>
            </w:pPr>
            <w:r>
              <w:rPr>
                <w:rFonts w:ascii="Arial" w:cs="Arial" w:eastAsia="Arial" w:hAnsi="Arial"/>
                <w:sz w:val="16"/>
                <w:szCs w:val="16"/>
                <w:color w:val="auto"/>
              </w:rPr>
              <w:t>32.1</w:t>
            </w:r>
          </w:p>
        </w:tc>
        <w:tc>
          <w:tcPr>
            <w:tcW w:w="4980" w:type="dxa"/>
            <w:vAlign w:val="bottom"/>
            <w:tcBorders>
              <w:bottom w:val="single" w:sz="8" w:color="0000EE"/>
            </w:tcBorders>
            <w:gridSpan w:val="3"/>
          </w:tcPr>
          <w:p>
            <w:pPr>
              <w:spacing w:after="0"/>
              <w:rPr>
                <w:rFonts w:ascii="Arial" w:cs="Arial" w:eastAsia="Arial" w:hAnsi="Arial"/>
                <w:sz w:val="16"/>
                <w:szCs w:val="16"/>
                <w:color w:val="0000EE"/>
                <w:w w:val="93"/>
              </w:rPr>
            </w:pPr>
            <w:hyperlink w:anchor="page69">
              <w:r>
                <w:rPr>
                  <w:rFonts w:ascii="Arial" w:cs="Arial" w:eastAsia="Arial" w:hAnsi="Arial"/>
                  <w:sz w:val="16"/>
                  <w:szCs w:val="16"/>
                  <w:color w:val="0000EE"/>
                  <w:w w:val="93"/>
                </w:rPr>
                <w:t>Certification of Chief Executive Officer Pursuant to 18 U.S.C. Section 1350.</w:t>
              </w:r>
            </w:hyperlink>
          </w:p>
        </w:tc>
        <w:tc>
          <w:tcPr>
            <w:tcW w:w="4080" w:type="dxa"/>
            <w:vAlign w:val="bottom"/>
            <w:gridSpan w:val="4"/>
          </w:tcPr>
          <w:p>
            <w:pPr>
              <w:spacing w:after="0"/>
              <w:rPr>
                <w:sz w:val="22"/>
                <w:szCs w:val="22"/>
                <w:color w:val="auto"/>
              </w:rPr>
            </w:pPr>
          </w:p>
        </w:tc>
      </w:tr>
      <w:tr>
        <w:trPr>
          <w:trHeight w:val="263"/>
        </w:trPr>
        <w:tc>
          <w:tcPr>
            <w:tcW w:w="780" w:type="dxa"/>
            <w:vAlign w:val="bottom"/>
          </w:tcPr>
          <w:p>
            <w:pPr>
              <w:ind w:left="80"/>
              <w:spacing w:after="0"/>
              <w:rPr>
                <w:sz w:val="20"/>
                <w:szCs w:val="20"/>
                <w:color w:val="auto"/>
              </w:rPr>
            </w:pPr>
            <w:r>
              <w:rPr>
                <w:rFonts w:ascii="Arial" w:cs="Arial" w:eastAsia="Arial" w:hAnsi="Arial"/>
                <w:sz w:val="16"/>
                <w:szCs w:val="16"/>
                <w:color w:val="auto"/>
              </w:rPr>
              <w:t>32.2</w:t>
            </w:r>
          </w:p>
        </w:tc>
        <w:tc>
          <w:tcPr>
            <w:tcW w:w="9060" w:type="dxa"/>
            <w:vAlign w:val="bottom"/>
            <w:gridSpan w:val="7"/>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Certification of Chief Financial Officer Pursuant to 18 U.S.C. Section 1350.</w:t>
              </w:r>
            </w:hyperlink>
          </w:p>
        </w:tc>
      </w:tr>
      <w:tr>
        <w:trPr>
          <w:trHeight w:val="298"/>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492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4140" w:type="dxa"/>
            <w:vAlign w:val="bottom"/>
            <w:gridSpan w:val="5"/>
          </w:tcPr>
          <w:p>
            <w:pPr>
              <w:spacing w:after="0"/>
              <w:rPr>
                <w:sz w:val="24"/>
                <w:szCs w:val="24"/>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906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83"/>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906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84"/>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906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83"/>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906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83"/>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906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83"/>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9060" w:type="dxa"/>
            <w:vAlign w:val="bottom"/>
            <w:gridSpan w:val="7"/>
          </w:tcPr>
          <w:p>
            <w:pPr>
              <w:spacing w:after="0"/>
              <w:rPr>
                <w:sz w:val="20"/>
                <w:szCs w:val="20"/>
                <w:color w:val="auto"/>
              </w:rPr>
            </w:pPr>
            <w:r>
              <w:rPr>
                <w:rFonts w:ascii="Arial" w:cs="Arial" w:eastAsia="Arial" w:hAnsi="Arial"/>
                <w:sz w:val="16"/>
                <w:szCs w:val="16"/>
                <w:color w:val="auto"/>
                <w:w w:val="95"/>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2"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SIGNATURES</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CULP, INC.</w:t>
            </w:r>
          </w:p>
        </w:tc>
      </w:tr>
      <w:tr>
        <w:trPr>
          <w:trHeight w:val="210"/>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(Registrant)</w:t>
            </w:r>
          </w:p>
        </w:tc>
      </w:tr>
      <w:tr>
        <w:trPr>
          <w:trHeight w:val="408"/>
        </w:trPr>
        <w:tc>
          <w:tcPr>
            <w:tcW w:w="3660" w:type="dxa"/>
            <w:vAlign w:val="bottom"/>
          </w:tcPr>
          <w:p>
            <w:pPr>
              <w:spacing w:after="0"/>
              <w:rPr>
                <w:sz w:val="20"/>
                <w:szCs w:val="20"/>
                <w:color w:val="auto"/>
              </w:rPr>
            </w:pPr>
            <w:r>
              <w:rPr>
                <w:rFonts w:ascii="Arial" w:cs="Arial" w:eastAsia="Arial" w:hAnsi="Arial"/>
                <w:sz w:val="16"/>
                <w:szCs w:val="16"/>
                <w:color w:val="auto"/>
              </w:rPr>
              <w:t>Date: September 10, 2021</w:t>
            </w:r>
          </w:p>
        </w:tc>
        <w:tc>
          <w:tcPr>
            <w:tcW w:w="2540" w:type="dxa"/>
            <w:vAlign w:val="bottom"/>
          </w:tcPr>
          <w:p>
            <w:pPr>
              <w:ind w:left="198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Kenneth R. Bowling</w:t>
            </w:r>
          </w:p>
        </w:tc>
      </w:tr>
      <w:tr>
        <w:trPr>
          <w:trHeight w:val="189"/>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Kenneth R. Bowling</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Executive Vice President and Chief Financial Officer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financial officer)</w:t>
            </w:r>
          </w:p>
        </w:tc>
      </w:tr>
      <w:tr>
        <w:trPr>
          <w:trHeight w:val="610"/>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Thomas B. Gallagher, Jr.</w:t>
            </w:r>
          </w:p>
        </w:tc>
      </w:tr>
      <w:tr>
        <w:trPr>
          <w:trHeight w:val="189"/>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Thomas B. Gallagher, Jr.</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Vice President of Finance</w:t>
            </w:r>
          </w:p>
        </w:tc>
      </w:tr>
      <w:tr>
        <w:trPr>
          <w:trHeight w:val="203"/>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accounting officer)</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ectPr>
          <w:pgSz w:w="11900" w:h="16838" w:orient="portrait"/>
          <w:cols w:equalWidth="0" w:num="1">
            <w:col w:w="11240"/>
          </w:cols>
          <w:pgMar w:left="320" w:top="57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INCENTIVE AWARD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THIS ANNUAL INCENTIVE AWARD AGREEMENT </w:t>
      </w:r>
      <w:r>
        <w:rPr>
          <w:rFonts w:ascii="Arial" w:cs="Arial" w:eastAsia="Arial" w:hAnsi="Arial"/>
          <w:sz w:val="21"/>
          <w:szCs w:val="21"/>
          <w:color w:val="auto"/>
        </w:rPr>
        <w:t>(the “</w:t>
      </w:r>
      <w:r>
        <w:rPr>
          <w:rFonts w:ascii="Arial" w:cs="Arial" w:eastAsia="Arial" w:hAnsi="Arial"/>
          <w:sz w:val="21"/>
          <w:szCs w:val="21"/>
          <w:b w:val="1"/>
          <w:bCs w:val="1"/>
          <w:color w:val="auto"/>
        </w:rPr>
        <w:t>Agreement</w:t>
      </w:r>
      <w:r>
        <w:rPr>
          <w:rFonts w:ascii="Arial" w:cs="Arial" w:eastAsia="Arial" w:hAnsi="Arial"/>
          <w:sz w:val="21"/>
          <w:szCs w:val="21"/>
          <w:color w:val="auto"/>
        </w:rPr>
        <w:t>”), dated as of ___________________, is</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between </w:t>
      </w:r>
      <w:r>
        <w:rPr>
          <w:rFonts w:ascii="Arial" w:cs="Arial" w:eastAsia="Arial" w:hAnsi="Arial"/>
          <w:sz w:val="21"/>
          <w:szCs w:val="21"/>
          <w:b w:val="1"/>
          <w:bCs w:val="1"/>
          <w:color w:val="auto"/>
        </w:rPr>
        <w:t>CULP, INC.</w:t>
      </w:r>
      <w:r>
        <w:rPr>
          <w:rFonts w:ascii="Arial" w:cs="Arial" w:eastAsia="Arial" w:hAnsi="Arial"/>
          <w:sz w:val="21"/>
          <w:szCs w:val="21"/>
          <w:color w:val="auto"/>
        </w:rPr>
        <w:t>, a North Carolina corporation (the “</w:t>
      </w:r>
      <w:r>
        <w:rPr>
          <w:rFonts w:ascii="Arial" w:cs="Arial" w:eastAsia="Arial" w:hAnsi="Arial"/>
          <w:sz w:val="21"/>
          <w:szCs w:val="21"/>
          <w:b w:val="1"/>
          <w:bCs w:val="1"/>
          <w:color w:val="auto"/>
        </w:rPr>
        <w:t>Corporation</w:t>
      </w:r>
      <w:r>
        <w:rPr>
          <w:rFonts w:ascii="Arial" w:cs="Arial" w:eastAsia="Arial" w:hAnsi="Arial"/>
          <w:sz w:val="21"/>
          <w:szCs w:val="21"/>
          <w:color w:val="auto"/>
        </w:rPr>
        <w:t>”), and ____________________ (“</w:t>
      </w:r>
      <w:r>
        <w:rPr>
          <w:rFonts w:ascii="Arial" w:cs="Arial" w:eastAsia="Arial" w:hAnsi="Arial"/>
          <w:sz w:val="21"/>
          <w:szCs w:val="21"/>
          <w:b w:val="1"/>
          <w:bCs w:val="1"/>
          <w:color w:val="auto"/>
        </w:rPr>
        <w:t>Recipient</w:t>
      </w:r>
      <w:r>
        <w:rPr>
          <w:rFonts w:ascii="Arial" w:cs="Arial" w:eastAsia="Arial" w:hAnsi="Arial"/>
          <w:sz w:val="21"/>
          <w:szCs w:val="21"/>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 Statement</w:t>
      </w:r>
    </w:p>
    <w:p>
      <w:pPr>
        <w:spacing w:after="0" w:line="206" w:lineRule="exact"/>
        <w:rPr>
          <w:sz w:val="20"/>
          <w:szCs w:val="20"/>
          <w:color w:val="auto"/>
        </w:rPr>
      </w:pPr>
    </w:p>
    <w:p>
      <w:pPr>
        <w:jc w:val="both"/>
        <w:ind w:right="460" w:firstLine="864"/>
        <w:spacing w:after="0" w:line="243" w:lineRule="auto"/>
        <w:rPr>
          <w:sz w:val="20"/>
          <w:szCs w:val="20"/>
          <w:color w:val="auto"/>
        </w:rPr>
      </w:pPr>
      <w:r>
        <w:rPr>
          <w:rFonts w:ascii="Arial" w:cs="Arial" w:eastAsia="Arial" w:hAnsi="Arial"/>
          <w:sz w:val="22"/>
          <w:szCs w:val="22"/>
          <w:color w:val="auto"/>
        </w:rPr>
        <w:t>The Corporation desires to grant to Recipient an Annual Incentive Award (the “</w:t>
      </w:r>
      <w:r>
        <w:rPr>
          <w:rFonts w:ascii="Arial" w:cs="Arial" w:eastAsia="Arial" w:hAnsi="Arial"/>
          <w:sz w:val="22"/>
          <w:szCs w:val="22"/>
          <w:b w:val="1"/>
          <w:bCs w:val="1"/>
          <w:color w:val="auto"/>
        </w:rPr>
        <w:t>Award</w:t>
      </w:r>
      <w:r>
        <w:rPr>
          <w:rFonts w:ascii="Arial" w:cs="Arial" w:eastAsia="Arial" w:hAnsi="Arial"/>
          <w:sz w:val="22"/>
          <w:szCs w:val="22"/>
          <w:color w:val="auto"/>
        </w:rPr>
        <w:t>”) pursuant to the Culp, Inc. 2015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 Capitalized terms used but not defined in this Agreement shall have the meanings given to them in the Plan.</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22"/>
          <w:szCs w:val="22"/>
          <w:b w:val="1"/>
          <w:bCs w:val="1"/>
          <w:u w:val="single" w:color="auto"/>
          <w:color w:val="auto"/>
        </w:rPr>
        <w:t>STATEMENT OF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the parties hereby agree as follows:</w:t>
      </w:r>
    </w:p>
    <w:p>
      <w:pPr>
        <w:spacing w:after="0" w:line="20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Grant of Award</w:t>
      </w:r>
      <w:r>
        <w:rPr>
          <w:rFonts w:ascii="Arial" w:cs="Arial" w:eastAsia="Arial" w:hAnsi="Arial"/>
          <w:sz w:val="19"/>
          <w:szCs w:val="19"/>
          <w:color w:val="auto"/>
        </w:rPr>
        <w:t>. The Corporation hereby grants to Recipient the Award described below.</w:t>
      </w:r>
    </w:p>
    <w:p>
      <w:pPr>
        <w:spacing w:after="0" w:line="212" w:lineRule="exact"/>
        <w:rPr>
          <w:sz w:val="20"/>
          <w:szCs w:val="20"/>
          <w:color w:val="auto"/>
        </w:rPr>
      </w:pPr>
    </w:p>
    <w:p>
      <w:pPr>
        <w:ind w:right="20" w:firstLine="864"/>
        <w:spacing w:after="0"/>
        <w:rPr>
          <w:sz w:val="20"/>
          <w:szCs w:val="20"/>
          <w:color w:val="auto"/>
        </w:rPr>
      </w:pPr>
      <w:r>
        <w:rPr>
          <w:rFonts w:ascii="Arial" w:cs="Arial" w:eastAsia="Arial" w:hAnsi="Arial"/>
          <w:sz w:val="22"/>
          <w:szCs w:val="22"/>
          <w:color w:val="auto"/>
        </w:rPr>
        <w:t>The Award will pay an incentive bonus for the Performance Period stated below to Recipient upon final determination by the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 of the Corporation’s board of directors that a bonus payment is due pursuant to the terms of this Agreement and the Plan.</w:t>
      </w:r>
    </w:p>
    <w:p>
      <w:pPr>
        <w:spacing w:after="0" w:line="186" w:lineRule="exact"/>
        <w:rPr>
          <w:sz w:val="20"/>
          <w:szCs w:val="20"/>
          <w:color w:val="auto"/>
        </w:rPr>
      </w:pPr>
    </w:p>
    <w:p>
      <w:pPr>
        <w:ind w:right="120" w:firstLine="864"/>
        <w:spacing w:after="0"/>
        <w:rPr>
          <w:sz w:val="20"/>
          <w:szCs w:val="20"/>
          <w:color w:val="auto"/>
        </w:rPr>
      </w:pPr>
      <w:r>
        <w:rPr>
          <w:rFonts w:ascii="Arial" w:cs="Arial" w:eastAsia="Arial" w:hAnsi="Arial"/>
          <w:sz w:val="22"/>
          <w:szCs w:val="22"/>
          <w:color w:val="auto"/>
        </w:rPr>
        <w:t>The bonus payment due hereunder is calculated with reference to the Total Bonus Percentage for the Reporting Unit in which Recipient participates. The bonus due to Recipient is the Total Bonus Percentage for Recipient’s Reporting Unit multiplied by Recipient’s Bonus Opportunity.</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Performance Period</w:t>
      </w:r>
      <w:r>
        <w:rPr>
          <w:rFonts w:ascii="Arial" w:cs="Arial" w:eastAsia="Arial" w:hAnsi="Arial"/>
          <w:sz w:val="22"/>
          <w:szCs w:val="22"/>
          <w:color w:val="auto"/>
        </w:rPr>
        <w:t>: The Corporation’s fiscal year ending ____________.</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Reporting Unit</w:t>
      </w:r>
      <w:r>
        <w:rPr>
          <w:rFonts w:ascii="Arial" w:cs="Arial" w:eastAsia="Arial" w:hAnsi="Arial"/>
          <w:sz w:val="22"/>
          <w:szCs w:val="22"/>
          <w:color w:val="auto"/>
        </w:rPr>
        <w:t>: ____________ [or the ____________ Division (the “</w:t>
      </w:r>
      <w:r>
        <w:rPr>
          <w:rFonts w:ascii="Arial" w:cs="Arial" w:eastAsia="Arial" w:hAnsi="Arial"/>
          <w:sz w:val="22"/>
          <w:szCs w:val="22"/>
          <w:b w:val="1"/>
          <w:bCs w:val="1"/>
          <w:color w:val="auto"/>
        </w:rPr>
        <w:t>Division</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Bonus Opportunity</w:t>
      </w:r>
      <w:r>
        <w:rPr>
          <w:rFonts w:ascii="Arial" w:cs="Arial" w:eastAsia="Arial" w:hAnsi="Arial"/>
          <w:sz w:val="19"/>
          <w:szCs w:val="19"/>
          <w:color w:val="auto"/>
        </w:rPr>
        <w:t>: Recipient’s Bonus Opportunity is _____% of Recipient’s base salary during the Performance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182" w:lineRule="exact"/>
        <w:rPr>
          <w:sz w:val="20"/>
          <w:szCs w:val="20"/>
          <w:color w:val="auto"/>
        </w:rPr>
      </w:pPr>
    </w:p>
    <w:p>
      <w:pPr>
        <w:ind w:right="40" w:firstLine="864"/>
        <w:spacing w:after="0" w:line="276" w:lineRule="auto"/>
        <w:rPr>
          <w:sz w:val="20"/>
          <w:szCs w:val="20"/>
          <w:color w:val="auto"/>
        </w:rPr>
      </w:pPr>
      <w:r>
        <w:rPr>
          <w:rFonts w:ascii="Arial" w:cs="Arial" w:eastAsia="Arial" w:hAnsi="Arial"/>
          <w:sz w:val="19"/>
          <w:szCs w:val="19"/>
          <w:b w:val="1"/>
          <w:bCs w:val="1"/>
          <w:color w:val="auto"/>
        </w:rPr>
        <w:t xml:space="preserve">Total Bonus Percentage </w:t>
      </w:r>
      <w:r>
        <w:rPr>
          <w:rFonts w:ascii="Arial" w:cs="Arial" w:eastAsia="Arial" w:hAnsi="Arial"/>
          <w:sz w:val="19"/>
          <w:szCs w:val="19"/>
          <w:color w:val="auto"/>
        </w:rPr>
        <w:t>for a Reporting Unit is calculated using the percentage amounts derived from Schedule A</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80% of which is based upon the total Adjusted Operating Income results for Recipient’s Reporting Unit during the Performance Period (the “</w:t>
      </w:r>
      <w:r>
        <w:rPr>
          <w:rFonts w:ascii="Arial" w:cs="Arial" w:eastAsia="Arial" w:hAnsi="Arial"/>
          <w:sz w:val="19"/>
          <w:szCs w:val="19"/>
          <w:b w:val="1"/>
          <w:bCs w:val="1"/>
          <w:color w:val="auto"/>
        </w:rPr>
        <w:t>OI Bonus Percentage</w:t>
      </w:r>
      <w:r>
        <w:rPr>
          <w:rFonts w:ascii="Arial" w:cs="Arial" w:eastAsia="Arial" w:hAnsi="Arial"/>
          <w:sz w:val="19"/>
          <w:szCs w:val="19"/>
          <w:color w:val="auto"/>
        </w:rPr>
        <w:t>”), and 20% of which is based upon the total Adjusted Free Cash Flow results for Recipient’s Reporting Unit during the Performance Period (the “</w:t>
      </w:r>
      <w:r>
        <w:rPr>
          <w:rFonts w:ascii="Arial" w:cs="Arial" w:eastAsia="Arial" w:hAnsi="Arial"/>
          <w:sz w:val="19"/>
          <w:szCs w:val="19"/>
          <w:b w:val="1"/>
          <w:bCs w:val="1"/>
          <w:color w:val="auto"/>
        </w:rPr>
        <w:t>FCF Bonus Percentage</w:t>
      </w:r>
      <w:r>
        <w:rPr>
          <w:rFonts w:ascii="Arial" w:cs="Arial" w:eastAsia="Arial" w:hAnsi="Arial"/>
          <w:sz w:val="19"/>
          <w:szCs w:val="19"/>
          <w:color w:val="auto"/>
        </w:rPr>
        <w:t xml:space="preserve">”), in each case with straight line interpolation being used to determine OI Bonus Percentage and FCF Bonus Percentage amounts between the amounts shown on Schedule A. Upon determination of the OI Bonus Percentage and the FCF Bonus Percentage, the Total Bonus Percentage is calculated as follows: (80% multiplied by the OI Bonus Percentage)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(20% multiplied by the FCF Bonus Percentage) = Total Bonus Percentage. The maximum Bonus Percentage for this award is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ind w:right="120"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Operating Income</w:t>
      </w:r>
      <w:r>
        <w:rPr>
          <w:rFonts w:ascii="Arial" w:cs="Arial" w:eastAsia="Arial" w:hAnsi="Arial"/>
          <w:sz w:val="22"/>
          <w:szCs w:val="22"/>
          <w:color w:val="auto"/>
        </w:rPr>
        <w:t>” shall mean operating income for a Reporting Unit as calculated and recorded on the Reporting Unit’s financial statements, but excluding (prior to) the payment of bonus payments related to bonuses awarded under this form of Agreement under the annual incentive plan, and also excluding extraordinary and non-recurring items including restructuring and related charges, goodwill or fixed asset impairment charges, prepayment fees on debt, other extraordinary charges or credits, and the effects of acquisitions, and also excluding any other items that the Committee deems appropriate for exclusion.</w:t>
      </w:r>
    </w:p>
    <w:p>
      <w:pPr>
        <w:spacing w:after="0" w:line="182" w:lineRule="exact"/>
        <w:rPr>
          <w:sz w:val="20"/>
          <w:szCs w:val="20"/>
          <w:color w:val="auto"/>
        </w:rPr>
      </w:pPr>
    </w:p>
    <w:p>
      <w:pPr>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Free Cash Flow</w:t>
      </w:r>
      <w:r>
        <w:rPr>
          <w:rFonts w:ascii="Arial" w:cs="Arial" w:eastAsia="Arial" w:hAnsi="Arial"/>
          <w:sz w:val="19"/>
          <w:szCs w:val="19"/>
          <w:color w:val="auto"/>
        </w:rPr>
        <w:t>” (i) for the Corporate Shared Services Reporting Unit shall mean such Reporting Unit’s net cash provided by (used in) operating activities (which shall include and be calculated using the Adjusted Operating Income, as defined above, for the Reporting Unit), less cash capital expenditures, less payments on vendor-financed capital expenditures, plus any proceeds from sale of property, plant, and equipment, plus proceeds from life insurance policies, less premium payments on life insurance policies, plus proceeds from the sale of long-term investments associated with the Corporation’s rabbi trust, less the purchase of long-term investments associated with the Corporation’s rabbi trust, and plus or minus the effects of exchange rate changes on cash and cash equivalents, in each case as calculated and reported on the Reporting Unit’s financial statements, and also excluding any other items that the Committee deems appropriate for exclusion; and (ii) for each Division Reporting Unit shall mean such Division’s cash from earnings (which shall include and be calculated using Adjusted Operating Income, as defined above, for the Division), plus or minus cash from working capital, less cash capital expenditures, and plus proceeds from sale of property, plant, and equipment, in each case as calculated and reported by the Division, and also excluding any other items the Committee deems appropriate for exclusion.</w:t>
      </w:r>
    </w:p>
    <w:p>
      <w:pPr>
        <w:spacing w:after="0" w:line="150" w:lineRule="exact"/>
        <w:rPr>
          <w:sz w:val="20"/>
          <w:szCs w:val="20"/>
          <w:color w:val="auto"/>
        </w:rPr>
      </w:pPr>
    </w:p>
    <w:p>
      <w:pPr>
        <w:ind w:right="120" w:firstLine="864"/>
        <w:spacing w:after="0" w:line="251" w:lineRule="auto"/>
        <w:rPr>
          <w:sz w:val="20"/>
          <w:szCs w:val="20"/>
          <w:color w:val="auto"/>
        </w:rPr>
      </w:pPr>
      <w:r>
        <w:rPr>
          <w:rFonts w:ascii="Arial" w:cs="Arial" w:eastAsia="Arial" w:hAnsi="Arial"/>
          <w:sz w:val="21"/>
          <w:szCs w:val="21"/>
          <w:b w:val="1"/>
          <w:bCs w:val="1"/>
          <w:color w:val="auto"/>
        </w:rPr>
        <w:t>Section 2. Vesting</w:t>
      </w:r>
      <w:r>
        <w:rPr>
          <w:rFonts w:ascii="Arial" w:cs="Arial" w:eastAsia="Arial" w:hAnsi="Arial"/>
          <w:sz w:val="21"/>
          <w:szCs w:val="21"/>
          <w:color w:val="auto"/>
        </w:rPr>
        <w:t>. The bonus amount to be paid hereunder will vest and become payable upon final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determination of the amount to be paid by the Corporation and the Committee,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determination is made by the Committee prior to the Corporation’s filing with the Securities and Exchange Commission (“</w:t>
      </w:r>
      <w:r>
        <w:rPr>
          <w:rFonts w:ascii="Arial" w:cs="Arial" w:eastAsia="Arial" w:hAnsi="Arial"/>
          <w:sz w:val="21"/>
          <w:szCs w:val="21"/>
          <w:b w:val="1"/>
          <w:bCs w:val="1"/>
          <w:color w:val="auto"/>
        </w:rPr>
        <w:t>SEC</w:t>
      </w:r>
      <w:r>
        <w:rPr>
          <w:rFonts w:ascii="Arial" w:cs="Arial" w:eastAsia="Arial" w:hAnsi="Arial"/>
          <w:sz w:val="21"/>
          <w:szCs w:val="21"/>
          <w:color w:val="auto"/>
        </w:rPr>
        <w:t>”) of its annual report on Form 10-K that relates to the financial results for the applicable Performance Period, then the bonus amount to be paid here under will not vest and become payable until after such filing is complete.</w:t>
      </w:r>
    </w:p>
    <w:p>
      <w:pPr>
        <w:spacing w:after="0" w:line="174" w:lineRule="exact"/>
        <w:rPr>
          <w:sz w:val="20"/>
          <w:szCs w:val="20"/>
          <w:color w:val="auto"/>
        </w:rPr>
      </w:pPr>
    </w:p>
    <w:p>
      <w:pPr>
        <w:ind w:right="400" w:firstLine="864"/>
        <w:spacing w:after="0" w:line="250" w:lineRule="auto"/>
        <w:rPr>
          <w:sz w:val="20"/>
          <w:szCs w:val="20"/>
          <w:color w:val="auto"/>
        </w:rPr>
      </w:pPr>
      <w:r>
        <w:rPr>
          <w:rFonts w:ascii="Arial" w:cs="Arial" w:eastAsia="Arial" w:hAnsi="Arial"/>
          <w:sz w:val="22"/>
          <w:szCs w:val="22"/>
          <w:color w:val="auto"/>
        </w:rPr>
        <w:t>Notwithstanding the foregoing, all unvested Awards (and a bonus payment at Recipient’s Bonus Opportunity) shall immediately vest and become payable upon the occurrence of the following:</w:t>
      </w:r>
    </w:p>
    <w:p>
      <w:pPr>
        <w:spacing w:after="0" w:line="175" w:lineRule="exact"/>
        <w:rPr>
          <w:sz w:val="20"/>
          <w:szCs w:val="20"/>
          <w:color w:val="auto"/>
        </w:rPr>
      </w:pPr>
    </w:p>
    <w:p>
      <w:pPr>
        <w:ind w:left="2560" w:hanging="891"/>
        <w:spacing w:after="0"/>
        <w:tabs>
          <w:tab w:leader="none" w:pos="25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termination of Recipient’s employment by reason of the death or Disability of Recipient; or</w:t>
      </w:r>
    </w:p>
    <w:p>
      <w:pPr>
        <w:spacing w:after="0" w:line="217" w:lineRule="exact"/>
        <w:rPr>
          <w:rFonts w:ascii="Arial" w:cs="Arial" w:eastAsia="Arial" w:hAnsi="Arial"/>
          <w:sz w:val="21"/>
          <w:szCs w:val="21"/>
          <w:color w:val="auto"/>
        </w:rPr>
      </w:pPr>
    </w:p>
    <w:p>
      <w:pPr>
        <w:ind w:left="2560" w:hanging="891"/>
        <w:spacing w:after="0"/>
        <w:tabs>
          <w:tab w:leader="none" w:pos="25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Recipient’s employment is terminated by the Corporation in anticipation of a Change of Control, or</w:t>
      </w:r>
    </w:p>
    <w:p>
      <w:pPr>
        <w:spacing w:after="0" w:line="240" w:lineRule="exact"/>
        <w:rPr>
          <w:rFonts w:ascii="Arial" w:cs="Arial" w:eastAsia="Arial" w:hAnsi="Arial"/>
          <w:sz w:val="19"/>
          <w:szCs w:val="19"/>
          <w:color w:val="auto"/>
        </w:rPr>
      </w:pPr>
    </w:p>
    <w:p>
      <w:pPr>
        <w:ind w:left="880" w:right="380" w:firstLine="789"/>
        <w:spacing w:after="0" w:line="250" w:lineRule="auto"/>
        <w:tabs>
          <w:tab w:leader="none" w:pos="2565"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Recipient is employed by the Corporation or an affiliate thereof at the time a Change of Control occurs,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at any time during the 18-month period following such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ind w:left="880" w:right="340"/>
        <w:spacing w:after="0" w:line="250" w:lineRule="auto"/>
        <w:rPr>
          <w:sz w:val="20"/>
          <w:szCs w:val="20"/>
          <w:color w:val="auto"/>
        </w:rPr>
      </w:pPr>
      <w:r>
        <w:rPr>
          <w:rFonts w:ascii="Arial" w:cs="Arial" w:eastAsia="Arial" w:hAnsi="Arial"/>
          <w:sz w:val="22"/>
          <w:szCs w:val="22"/>
          <w:color w:val="auto"/>
        </w:rPr>
        <w:t>Change of Control (provided that the bonus payment provided for hereunder shall have not already become due and been paid),</w:t>
      </w:r>
    </w:p>
    <w:p>
      <w:pPr>
        <w:spacing w:after="0" w:line="175" w:lineRule="exact"/>
        <w:rPr>
          <w:sz w:val="20"/>
          <w:szCs w:val="20"/>
          <w:color w:val="auto"/>
        </w:rPr>
      </w:pPr>
    </w:p>
    <w:p>
      <w:pPr>
        <w:ind w:left="1740" w:right="380" w:firstLine="726"/>
        <w:spacing w:after="0" w:line="250" w:lineRule="auto"/>
        <w:tabs>
          <w:tab w:leader="none" w:pos="3323"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Recipient’s employment is terminated by the Corporation or an affiliate thereof for any reason other than for death, Disability or Cause, or</w:t>
      </w:r>
    </w:p>
    <w:p>
      <w:pPr>
        <w:spacing w:after="0" w:line="174" w:lineRule="exact"/>
        <w:rPr>
          <w:rFonts w:ascii="Arial" w:cs="Arial" w:eastAsia="Arial" w:hAnsi="Arial"/>
          <w:sz w:val="22"/>
          <w:szCs w:val="22"/>
          <w:color w:val="auto"/>
        </w:rPr>
      </w:pPr>
    </w:p>
    <w:p>
      <w:pPr>
        <w:ind w:left="1740" w:right="140" w:firstLine="726"/>
        <w:spacing w:after="0" w:line="250" w:lineRule="auto"/>
        <w:tabs>
          <w:tab w:leader="none" w:pos="3383"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Recipient terminates his/her employment for Good Reason within one year following the initial existence of the conditions giving rise to such Good Reason.</w:t>
      </w:r>
    </w:p>
    <w:p>
      <w:pPr>
        <w:spacing w:after="0" w:line="169" w:lineRule="exact"/>
        <w:rPr>
          <w:sz w:val="20"/>
          <w:szCs w:val="20"/>
          <w:color w:val="auto"/>
        </w:rPr>
      </w:pPr>
    </w:p>
    <w:p>
      <w:pPr>
        <w:ind w:right="820" w:firstLine="864"/>
        <w:spacing w:after="0" w:line="256" w:lineRule="auto"/>
        <w:rPr>
          <w:sz w:val="20"/>
          <w:szCs w:val="20"/>
          <w:color w:val="auto"/>
        </w:rPr>
      </w:pPr>
      <w:r>
        <w:rPr>
          <w:rFonts w:ascii="Arial" w:cs="Arial" w:eastAsia="Arial" w:hAnsi="Arial"/>
          <w:sz w:val="22"/>
          <w:szCs w:val="22"/>
          <w:b w:val="1"/>
          <w:bCs w:val="1"/>
          <w:color w:val="auto"/>
        </w:rPr>
        <w:t>Section 3. Additional Definitions</w:t>
      </w:r>
      <w:r>
        <w:rPr>
          <w:rFonts w:ascii="Arial" w:cs="Arial" w:eastAsia="Arial" w:hAnsi="Arial"/>
          <w:sz w:val="22"/>
          <w:szCs w:val="22"/>
          <w:color w:val="auto"/>
        </w:rPr>
        <w:t>. For purposes of this Agreement, the following terms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indicated below:</w:t>
      </w:r>
    </w:p>
    <w:p>
      <w:pPr>
        <w:spacing w:after="0" w:line="162" w:lineRule="exact"/>
        <w:rPr>
          <w:sz w:val="20"/>
          <w:szCs w:val="20"/>
          <w:color w:val="auto"/>
        </w:rPr>
      </w:pPr>
    </w:p>
    <w:p>
      <w:pPr>
        <w:ind w:left="880" w:right="200" w:firstLine="79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45" w:lineRule="exact"/>
        <w:rPr>
          <w:sz w:val="20"/>
          <w:szCs w:val="20"/>
          <w:color w:val="auto"/>
        </w:rPr>
      </w:pPr>
    </w:p>
    <w:p>
      <w:pPr>
        <w:ind w:left="880" w:firstLine="797"/>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shall have the meaning given to such term in the Plan. In addition, for an award that vests according to Adjusted Operating Income or Adjusted Free Cash Flow of a Division,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consummation of a sale of all or substantially all of the assets of such Division by the Corporation to an unaffiliated third party.</w:t>
      </w:r>
    </w:p>
    <w:p>
      <w:pPr>
        <w:spacing w:after="0" w:line="180" w:lineRule="exact"/>
        <w:rPr>
          <w:sz w:val="20"/>
          <w:szCs w:val="20"/>
          <w:color w:val="auto"/>
        </w:rPr>
      </w:pPr>
    </w:p>
    <w:p>
      <w:pPr>
        <w:ind w:left="880" w:right="20" w:firstLine="79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shall have the meaning given to such term in the primary disability benefit plan of the Corporation in which Recipient participates. In the absence of any such plan, “</w:t>
      </w:r>
      <w:r>
        <w:rPr>
          <w:rFonts w:ascii="Arial" w:cs="Arial" w:eastAsia="Arial" w:hAnsi="Arial"/>
          <w:sz w:val="19"/>
          <w:szCs w:val="19"/>
          <w:b w:val="1"/>
          <w:bCs w:val="1"/>
          <w:color w:val="auto"/>
        </w:rPr>
        <w:t>Disability</w:t>
      </w:r>
      <w:r>
        <w:rPr>
          <w:rFonts w:ascii="Arial" w:cs="Arial" w:eastAsia="Arial" w:hAnsi="Arial"/>
          <w:sz w:val="19"/>
          <w:szCs w:val="19"/>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45" w:lineRule="exact"/>
        <w:rPr>
          <w:sz w:val="20"/>
          <w:szCs w:val="20"/>
          <w:color w:val="auto"/>
        </w:rPr>
      </w:pPr>
    </w:p>
    <w:p>
      <w:pPr>
        <w:ind w:left="880" w:firstLine="79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shall mean, without Recipient’s express written consent, the existence of any of the following conditions unless such conditions are fully corrected within thirty days after Recipient notifies the Corporation of the existence of such conditions as hereinafter provided:</w:t>
      </w:r>
    </w:p>
    <w:p>
      <w:pPr>
        <w:spacing w:after="0" w:line="183" w:lineRule="exact"/>
        <w:rPr>
          <w:sz w:val="20"/>
          <w:szCs w:val="20"/>
          <w:color w:val="auto"/>
        </w:rPr>
      </w:pPr>
    </w:p>
    <w:p>
      <w:pPr>
        <w:ind w:left="2560" w:hanging="891"/>
        <w:spacing w:after="0"/>
        <w:tabs>
          <w:tab w:leader="none" w:pos="25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material diminution in Recipient’s authority, duties or responsibilities;</w:t>
      </w:r>
    </w:p>
    <w:p>
      <w:pPr>
        <w:spacing w:after="0" w:line="206" w:lineRule="exact"/>
        <w:rPr>
          <w:rFonts w:ascii="Arial" w:cs="Arial" w:eastAsia="Arial" w:hAnsi="Arial"/>
          <w:sz w:val="22"/>
          <w:szCs w:val="22"/>
          <w:color w:val="auto"/>
        </w:rPr>
      </w:pPr>
    </w:p>
    <w:p>
      <w:pPr>
        <w:ind w:left="880" w:firstLine="789"/>
        <w:spacing w:after="0" w:line="250" w:lineRule="auto"/>
        <w:tabs>
          <w:tab w:leader="none" w:pos="2577"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material diminution in the authority, duties or responsibilities of the supervisor to whom Recipient is required to report;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50" w:name="page51"/>
    <w:bookmarkEnd w:id="50"/>
    <w:p>
      <w:pPr>
        <w:ind w:left="880" w:right="400" w:firstLine="789"/>
        <w:spacing w:after="0" w:line="250" w:lineRule="auto"/>
        <w:tabs>
          <w:tab w:leader="none" w:pos="2565" w:val="left"/>
        </w:tabs>
        <w:numPr>
          <w:ilvl w:val="0"/>
          <w:numId w:val="17"/>
        </w:numPr>
        <w:rPr>
          <w:rFonts w:ascii="Arial" w:cs="Arial" w:eastAsia="Arial" w:hAnsi="Arial"/>
          <w:sz w:val="22"/>
          <w:szCs w:val="22"/>
          <w:color w:val="auto"/>
        </w:rPr>
      </w:pPr>
      <w:r>
        <w:rPr>
          <w:rFonts w:ascii="Arial" w:cs="Arial" w:eastAsia="Arial" w:hAnsi="Arial"/>
          <w:sz w:val="22"/>
          <w:szCs w:val="22"/>
          <w:color w:val="auto"/>
        </w:rPr>
        <w:t>a material diminution in Recipient’s base salary, other than as a result of across-the-board salary reductions similarly affecting all management personnel of the Corporation; or</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material change in the geographic location at which Recipient must regularly perform services for</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the Corporation.</w:t>
      </w:r>
    </w:p>
    <w:p>
      <w:pPr>
        <w:spacing w:after="0" w:line="188" w:lineRule="exact"/>
        <w:rPr>
          <w:sz w:val="20"/>
          <w:szCs w:val="20"/>
          <w:color w:val="auto"/>
        </w:rPr>
      </w:pPr>
    </w:p>
    <w:p>
      <w:pPr>
        <w:ind w:left="880" w:right="40" w:firstLine="797"/>
        <w:spacing w:after="0" w:line="282" w:lineRule="auto"/>
        <w:rPr>
          <w:sz w:val="20"/>
          <w:szCs w:val="20"/>
          <w:color w:val="auto"/>
        </w:rPr>
      </w:pPr>
      <w:r>
        <w:rPr>
          <w:rFonts w:ascii="Arial" w:cs="Arial" w:eastAsia="Arial" w:hAnsi="Arial"/>
          <w:sz w:val="19"/>
          <w:szCs w:val="19"/>
          <w:color w:val="auto"/>
        </w:rPr>
        <w:t>Recipient shall notify the Corporation that he/she believes that one or more of the conditions described above exists, and of his/her intention to terminate employment for Good Reason as a result thereof, within sixty days after the time that he/she gains knowledge of such conditions. Recipient shall not deliver a notice of termination of employment for Good Reason until thirty days after he/she delivers the notice described in the preceding sentence, and Recipient may do so only if the conditions described in such notice have not been fully corrected by the Corporation.</w:t>
      </w:r>
    </w:p>
    <w:p>
      <w:pPr>
        <w:spacing w:after="0" w:line="14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Settlement</w:t>
      </w:r>
      <w:r>
        <w:rPr>
          <w:rFonts w:ascii="Arial" w:cs="Arial" w:eastAsia="Arial" w:hAnsi="Arial"/>
          <w:sz w:val="19"/>
          <w:szCs w:val="19"/>
          <w:color w:val="auto"/>
        </w:rPr>
        <w:t>.</w:t>
      </w:r>
    </w:p>
    <w:p>
      <w:pPr>
        <w:spacing w:after="0" w:line="212" w:lineRule="exact"/>
        <w:rPr>
          <w:sz w:val="20"/>
          <w:szCs w:val="20"/>
          <w:color w:val="auto"/>
        </w:rPr>
      </w:pPr>
    </w:p>
    <w:p>
      <w:pPr>
        <w:ind w:firstLine="864"/>
        <w:spacing w:after="0" w:line="249" w:lineRule="auto"/>
        <w:rPr>
          <w:sz w:val="20"/>
          <w:szCs w:val="20"/>
          <w:color w:val="auto"/>
        </w:rPr>
      </w:pPr>
      <w:r>
        <w:rPr>
          <w:rFonts w:ascii="Arial" w:cs="Arial" w:eastAsia="Arial" w:hAnsi="Arial"/>
          <w:sz w:val="21"/>
          <w:szCs w:val="21"/>
          <w:color w:val="auto"/>
        </w:rPr>
        <w:t>As soon as reasonably practicable following (i) a determination by the Corporation that a bonus payment is due hereunder and (ii) the Corporation’s filing with the SEC of its annual report on Form 10-K that relates to the financial results for the applicable Performance Period of the Award, the bonus will be paid in cash, or will be paid in accordance with any proper and valid election under the Culp, Inc. Deferred Compensation Plan for Key Employees, but only if such election has been made in accordance with the policies and procedures of the Corporation pursuant to such plan.</w:t>
      </w:r>
    </w:p>
    <w:p>
      <w:pPr>
        <w:spacing w:after="0" w:line="172" w:lineRule="exact"/>
        <w:rPr>
          <w:sz w:val="20"/>
          <w:szCs w:val="20"/>
          <w:color w:val="auto"/>
        </w:rPr>
      </w:pPr>
    </w:p>
    <w:p>
      <w:pPr>
        <w:ind w:firstLine="864"/>
        <w:spacing w:after="0" w:line="274" w:lineRule="auto"/>
        <w:rPr>
          <w:sz w:val="20"/>
          <w:szCs w:val="20"/>
          <w:color w:val="auto"/>
        </w:rPr>
      </w:pPr>
      <w:r>
        <w:rPr>
          <w:rFonts w:ascii="Arial" w:cs="Arial" w:eastAsia="Arial" w:hAnsi="Arial"/>
          <w:sz w:val="19"/>
          <w:szCs w:val="19"/>
          <w:b w:val="1"/>
          <w:bCs w:val="1"/>
          <w:color w:val="auto"/>
        </w:rPr>
        <w:t>Section 5. Forfeiture</w:t>
      </w:r>
      <w:r>
        <w:rPr>
          <w:rFonts w:ascii="Arial" w:cs="Arial" w:eastAsia="Arial" w:hAnsi="Arial"/>
          <w:sz w:val="19"/>
          <w:szCs w:val="19"/>
          <w:color w:val="auto"/>
        </w:rPr>
        <w:t>. All bonus amounts that do not vest pursuant to</w:t>
      </w:r>
      <w:r>
        <w:rPr>
          <w:rFonts w:ascii="Arial" w:cs="Arial" w:eastAsia="Arial" w:hAnsi="Arial"/>
          <w:sz w:val="19"/>
          <w:szCs w:val="19"/>
          <w:b w:val="1"/>
          <w:bCs w:val="1"/>
          <w:color w:val="auto"/>
        </w:rPr>
        <w:t xml:space="preserve"> Section 2 </w:t>
      </w:r>
      <w:r>
        <w:rPr>
          <w:rFonts w:ascii="Arial" w:cs="Arial" w:eastAsia="Arial" w:hAnsi="Arial"/>
          <w:sz w:val="19"/>
          <w:szCs w:val="19"/>
          <w:color w:val="auto"/>
        </w:rPr>
        <w:t>shall automatically be cancelled</w:t>
      </w:r>
      <w:r>
        <w:rPr>
          <w:rFonts w:ascii="Arial" w:cs="Arial" w:eastAsia="Arial" w:hAnsi="Arial"/>
          <w:sz w:val="19"/>
          <w:szCs w:val="19"/>
          <w:b w:val="1"/>
          <w:bCs w:val="1"/>
          <w:color w:val="auto"/>
        </w:rPr>
        <w:t xml:space="preserve"> </w:t>
      </w:r>
      <w:r>
        <w:rPr>
          <w:rFonts w:ascii="Arial" w:cs="Arial" w:eastAsia="Arial" w:hAnsi="Arial"/>
          <w:sz w:val="19"/>
          <w:szCs w:val="19"/>
          <w:color w:val="auto"/>
        </w:rPr>
        <w:t>and forfeited by Recipient effective as of the earlier to occur of (a) the first day after the end of the Performance Period (to the extent that neither Adjusted Operating Income nor Adjusted Free Cash Flow for the relevant Reporting Unit is sufficient to cause any bonus payment to vest pursuant to the terms of this Agreement), (b)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(c) the termination by the Corporation of Recipient’s employment with the Corporation or its Subsidiaries for any reason (including with or without Cause) (each such event being referred to herein as a “</w:t>
      </w:r>
      <w:r>
        <w:rPr>
          <w:rFonts w:ascii="Arial" w:cs="Arial" w:eastAsia="Arial" w:hAnsi="Arial"/>
          <w:sz w:val="19"/>
          <w:szCs w:val="19"/>
          <w:b w:val="1"/>
          <w:bCs w:val="1"/>
          <w:color w:val="auto"/>
        </w:rPr>
        <w:t>Forfeiture Event</w:t>
      </w:r>
      <w:r>
        <w:rPr>
          <w:rFonts w:ascii="Arial" w:cs="Arial" w:eastAsia="Arial" w:hAnsi="Arial"/>
          <w:sz w:val="19"/>
          <w:szCs w:val="19"/>
          <w:color w:val="auto"/>
        </w:rPr>
        <w:t>”). Upon the occurrence of a Forfeiture Event, all unvested bonus amounts shall automatically, without further action by the Corporation or Recipient, be cancelled and forfeited.</w:t>
      </w:r>
    </w:p>
    <w:p>
      <w:pPr>
        <w:spacing w:after="0" w:line="395"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12" w:lineRule="exact"/>
        <w:rPr>
          <w:sz w:val="20"/>
          <w:szCs w:val="20"/>
          <w:color w:val="auto"/>
        </w:rPr>
      </w:pPr>
    </w:p>
    <w:p>
      <w:pPr>
        <w:ind w:left="880" w:right="180" w:firstLine="789"/>
        <w:spacing w:after="0" w:line="287" w:lineRule="auto"/>
        <w:tabs>
          <w:tab w:leader="none" w:pos="2565"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Recipient shall promptly pay to the Corporation all federal, state and local income, social security and payroll taxes of any kind required by law to be withheld with respect to the vesting or payment of a bonus hereunder, and the Corporation, to the extent permitted by law, have the right to deduct from any payment of any kind otherwise due to Recipient all federal, state and local income, social security and payroll taxes of any kind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required by law to be withheld with respect to the vesting or payment of a bonus earned hereunder.</w:t>
      </w:r>
    </w:p>
    <w:p>
      <w:pPr>
        <w:spacing w:after="0" w:line="206" w:lineRule="exact"/>
        <w:rPr>
          <w:sz w:val="20"/>
          <w:szCs w:val="20"/>
          <w:color w:val="auto"/>
        </w:rPr>
      </w:pPr>
    </w:p>
    <w:p>
      <w:pPr>
        <w:ind w:right="60" w:firstLine="789"/>
        <w:spacing w:after="0" w:line="273" w:lineRule="auto"/>
        <w:tabs>
          <w:tab w:leader="none" w:pos="1697" w:val="left"/>
        </w:tabs>
        <w:numPr>
          <w:ilvl w:val="0"/>
          <w:numId w:val="19"/>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49"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Clawback</w:t>
      </w:r>
      <w:r>
        <w:rPr>
          <w:rFonts w:ascii="Arial" w:cs="Arial" w:eastAsia="Arial" w:hAnsi="Arial"/>
          <w:sz w:val="19"/>
          <w:szCs w:val="19"/>
          <w:color w:val="auto"/>
        </w:rPr>
        <w:t>.</w:t>
      </w:r>
    </w:p>
    <w:p>
      <w:pPr>
        <w:spacing w:after="0" w:line="212" w:lineRule="exact"/>
        <w:rPr>
          <w:sz w:val="20"/>
          <w:szCs w:val="20"/>
          <w:color w:val="auto"/>
        </w:rPr>
      </w:pPr>
    </w:p>
    <w:p>
      <w:pPr>
        <w:ind w:right="120" w:firstLine="789"/>
        <w:spacing w:after="0" w:line="235" w:lineRule="auto"/>
        <w:tabs>
          <w:tab w:leader="none" w:pos="1685"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the Corporation’s reported financial or operating results become subject to a material negative restatement, the Committee may require Recipient to pay to the Corporation an amount corresponding to the amount that the Committee determines would not have been vested or paid if the Corporation’s results as originally published had been equal to the Corporation’s results as subsequently restated; provided that any requirement or claim under this Section 7(a) must be made, if at all, within five years after the date the amount claimed was originally vested or paid, whichever is later.</w:t>
      </w:r>
    </w:p>
    <w:p>
      <w:pPr>
        <w:spacing w:after="0" w:line="188" w:lineRule="exact"/>
        <w:rPr>
          <w:sz w:val="20"/>
          <w:szCs w:val="20"/>
          <w:color w:val="auto"/>
        </w:rPr>
      </w:pPr>
    </w:p>
    <w:p>
      <w:pPr>
        <w:ind w:firstLine="797"/>
        <w:spacing w:after="0" w:line="244" w:lineRule="auto"/>
        <w:rPr>
          <w:sz w:val="20"/>
          <w:szCs w:val="20"/>
          <w:color w:val="auto"/>
        </w:rPr>
      </w:pPr>
      <w:r>
        <w:rPr>
          <w:rFonts w:ascii="Arial" w:cs="Arial" w:eastAsia="Arial" w:hAnsi="Arial"/>
          <w:sz w:val="21"/>
          <w:szCs w:val="21"/>
          <w:color w:val="auto"/>
        </w:rPr>
        <w:t>In the alternative, the Committee may require Recipient to repay or return compensation awarded hereunder pursuant to such rules as may be adopted from time to time pursuant to Section 954 of the Dodd-Frank Wall Street Reform and Consumer Protection Act, to the extent applicable. By acceptance of any Award or bonus payment hereunder, Recipient expressly acknowledges and agrees that any and all amounts paid to Recipient hereunder are and will be fully subject to the terms of any policy regarding repayment, recoupment or clawback of compensation now or hereafter adopted by the Corporation in response to the requirements of the Dodd-Frank Wall Street Reform and Consumer Protection Act, rulemaking of the Securities and Exchange Commission or otherwise. Recipient acknowledges and agrees that any such policy will apply to any and all bonus amounts paid hereunder in accordance with its terms, whether retroactively or prospectively, and agrees to cooperate fully with the Corporation to facilitate the recovery of any that the Committee determines in its sole discretion is required to be recovered pursuant to the terms of such policy.</w:t>
      </w:r>
    </w:p>
    <w:p>
      <w:pPr>
        <w:spacing w:after="0" w:line="188" w:lineRule="exact"/>
        <w:rPr>
          <w:sz w:val="20"/>
          <w:szCs w:val="20"/>
          <w:color w:val="auto"/>
        </w:rPr>
      </w:pPr>
    </w:p>
    <w:p>
      <w:pPr>
        <w:ind w:right="100" w:firstLine="797"/>
        <w:spacing w:after="0"/>
        <w:rPr>
          <w:sz w:val="20"/>
          <w:szCs w:val="20"/>
          <w:color w:val="auto"/>
        </w:rPr>
      </w:pPr>
      <w:r>
        <w:rPr>
          <w:rFonts w:ascii="Arial" w:cs="Arial" w:eastAsia="Arial" w:hAnsi="Arial"/>
          <w:sz w:val="22"/>
          <w:szCs w:val="22"/>
          <w:color w:val="auto"/>
        </w:rPr>
        <w:t>The obligations of Recipient to make payments or return bonus amounts paid hereunder under this Section 7(a) are independent of any involvement by such Recipient in events that led to the restatement. The provisions of this Section 7(a) are in addition</w:t>
      </w:r>
    </w:p>
    <w:p>
      <w:pPr>
        <w:spacing w:after="0" w:line="200" w:lineRule="exact"/>
        <w:rPr>
          <w:sz w:val="20"/>
          <w:szCs w:val="20"/>
          <w:color w:val="auto"/>
        </w:rPr>
      </w:pPr>
    </w:p>
    <w:p>
      <w:pPr>
        <w:spacing w:after="0" w:line="20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550" w:right="339" w:bottom="1440" w:gutter="0" w:footer="0" w:header="0"/>
        </w:sectPr>
      </w:pPr>
    </w:p>
    <w:bookmarkStart w:id="52" w:name="page53"/>
    <w:bookmarkEnd w:id="52"/>
    <w:p>
      <w:pPr>
        <w:ind w:right="700"/>
        <w:spacing w:after="0" w:line="250" w:lineRule="auto"/>
        <w:rPr>
          <w:sz w:val="20"/>
          <w:szCs w:val="20"/>
          <w:color w:val="auto"/>
        </w:rPr>
      </w:pPr>
      <w:r>
        <w:rPr>
          <w:rFonts w:ascii="Arial" w:cs="Arial" w:eastAsia="Arial" w:hAnsi="Arial"/>
          <w:sz w:val="22"/>
          <w:szCs w:val="22"/>
          <w:color w:val="auto"/>
        </w:rPr>
        <w:t>to, not in lieu of, any remedies that the Corporation may have against any persons whose misconduct caused or contributed to a need to restate the Corporation’s reported results.</w:t>
      </w:r>
    </w:p>
    <w:p>
      <w:pPr>
        <w:spacing w:after="0" w:line="175" w:lineRule="exact"/>
        <w:rPr>
          <w:sz w:val="20"/>
          <w:szCs w:val="20"/>
          <w:color w:val="auto"/>
        </w:rPr>
      </w:pPr>
    </w:p>
    <w:p>
      <w:pPr>
        <w:ind w:firstLine="789"/>
        <w:spacing w:after="0" w:line="275" w:lineRule="auto"/>
        <w:tabs>
          <w:tab w:leader="none" w:pos="1697"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or circumstances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w:t>
      </w:r>
    </w:p>
    <w:p>
      <w:pPr>
        <w:spacing w:after="0" w:line="157" w:lineRule="exact"/>
        <w:rPr>
          <w:sz w:val="20"/>
          <w:szCs w:val="20"/>
          <w:color w:val="auto"/>
        </w:rPr>
      </w:pPr>
    </w:p>
    <w:p>
      <w:pPr>
        <w:ind w:right="100" w:firstLine="797"/>
        <w:spacing w:after="0" w:line="252" w:lineRule="auto"/>
        <w:rPr>
          <w:sz w:val="20"/>
          <w:szCs w:val="20"/>
          <w:color w:val="auto"/>
        </w:rPr>
      </w:pPr>
      <w:r>
        <w:rPr>
          <w:rFonts w:ascii="Arial" w:cs="Arial" w:eastAsia="Arial" w:hAnsi="Arial"/>
          <w:sz w:val="21"/>
          <w:szCs w:val="21"/>
          <w:color w:val="auto"/>
        </w:rPr>
        <w:t>By acceptance of any Award or bonus payment hereunder, Recipient expressly acknowledges and agrees that any and all amounts paid to Recipient hereunder are and will be fully subject to the terms of the foregoing clawback provision, and agrees to cooperate fully with the Corporation to facilitate the recovery of any such amounts that the Committee requires to be recovered pursuant to the foregoing.</w:t>
      </w:r>
    </w:p>
    <w:p>
      <w:pPr>
        <w:spacing w:after="0" w:line="16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right="320" w:firstLine="789"/>
        <w:spacing w:after="0" w:line="243" w:lineRule="auto"/>
        <w:tabs>
          <w:tab w:leader="none" w:pos="1685"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construed, administered and governed in all respects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and by the applicable internal laws of the State of North Carolina, without giving effect to the principles of conflicts of laws thereof.</w:t>
      </w:r>
    </w:p>
    <w:p>
      <w:pPr>
        <w:spacing w:after="0" w:line="176" w:lineRule="exact"/>
        <w:rPr>
          <w:rFonts w:ascii="Arial" w:cs="Arial" w:eastAsia="Arial" w:hAnsi="Arial"/>
          <w:sz w:val="22"/>
          <w:szCs w:val="22"/>
          <w:color w:val="auto"/>
        </w:rPr>
      </w:pPr>
    </w:p>
    <w:p>
      <w:pPr>
        <w:ind w:right="80" w:firstLine="789"/>
        <w:spacing w:after="0" w:line="280" w:lineRule="auto"/>
        <w:tabs>
          <w:tab w:leader="none" w:pos="1697"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Entire Agreement; Amendment and Waiver</w:t>
      </w:r>
      <w:r>
        <w:rPr>
          <w:rFonts w:ascii="Arial" w:cs="Arial" w:eastAsia="Arial" w:hAnsi="Arial"/>
          <w:sz w:val="19"/>
          <w:szCs w:val="19"/>
          <w:color w:val="auto"/>
        </w:rPr>
        <w:t>. This Agreement and the Award granted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44" w:lineRule="exact"/>
        <w:rPr>
          <w:rFonts w:ascii="Arial" w:cs="Arial" w:eastAsia="Arial" w:hAnsi="Arial"/>
          <w:sz w:val="19"/>
          <w:szCs w:val="19"/>
          <w:color w:val="auto"/>
        </w:rPr>
      </w:pPr>
    </w:p>
    <w:p>
      <w:pPr>
        <w:ind w:right="420" w:firstLine="789"/>
        <w:spacing w:after="0" w:line="251" w:lineRule="auto"/>
        <w:tabs>
          <w:tab w:leader="none" w:pos="1685"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Assignment; Binding Effect</w:t>
      </w:r>
      <w:r>
        <w:rPr>
          <w:rFonts w:ascii="Arial" w:cs="Arial" w:eastAsia="Arial" w:hAnsi="Arial"/>
          <w:sz w:val="21"/>
          <w:szCs w:val="21"/>
          <w:color w:val="auto"/>
        </w:rPr>
        <w:t>. Except as permitted by the Plan, this Agreement and the Award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granted 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provision shall not permit any assignment in contravention of the terms contained elsewhere herein.</w:t>
      </w:r>
    </w:p>
    <w:p>
      <w:pPr>
        <w:spacing w:after="0" w:line="168" w:lineRule="exact"/>
        <w:rPr>
          <w:rFonts w:ascii="Arial" w:cs="Arial" w:eastAsia="Arial" w:hAnsi="Arial"/>
          <w:sz w:val="21"/>
          <w:szCs w:val="21"/>
          <w:color w:val="auto"/>
        </w:rPr>
      </w:pPr>
    </w:p>
    <w:p>
      <w:pPr>
        <w:ind w:right="560" w:firstLine="789"/>
        <w:spacing w:after="0" w:line="256" w:lineRule="auto"/>
        <w:tabs>
          <w:tab w:leader="none" w:pos="1697"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No Right to Employment</w:t>
      </w:r>
      <w:r>
        <w:rPr>
          <w:rFonts w:ascii="Arial" w:cs="Arial" w:eastAsia="Arial" w:hAnsi="Arial"/>
          <w:sz w:val="22"/>
          <w:szCs w:val="22"/>
          <w:color w:val="auto"/>
        </w:rPr>
        <w:t>. Nothing in this Agreement shall confer on Recipient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in the employ of the Corporation or any of its Subsidiaries.</w:t>
      </w:r>
    </w:p>
    <w:p>
      <w:pPr>
        <w:spacing w:after="0" w:line="38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00"/>
          </w:cols>
          <w:pgMar w:left="1200" w:top="550" w:right="399" w:bottom="1440" w:gutter="0" w:footer="0" w:header="0"/>
        </w:sectPr>
      </w:pPr>
    </w:p>
    <w:bookmarkStart w:id="53" w:name="page54"/>
    <w:bookmarkEnd w:id="53"/>
    <w:p>
      <w:pPr>
        <w:ind w:left="-240" w:firstLine="789"/>
        <w:spacing w:after="0" w:line="235" w:lineRule="auto"/>
        <w:tabs>
          <w:tab w:leader="none" w:pos="1445"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each of which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83" w:lineRule="exact"/>
        <w:rPr>
          <w:rFonts w:ascii="Arial" w:cs="Arial" w:eastAsia="Arial" w:hAnsi="Arial"/>
          <w:sz w:val="22"/>
          <w:szCs w:val="22"/>
          <w:color w:val="auto"/>
        </w:rPr>
      </w:pPr>
    </w:p>
    <w:p>
      <w:pPr>
        <w:ind w:left="-240" w:firstLine="789"/>
        <w:spacing w:after="0" w:line="280" w:lineRule="auto"/>
        <w:tabs>
          <w:tab w:leader="none" w:pos="1421"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hereunder to the Corporation shall be addressed to the Corporation’s principal</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 Attention: Compensation Committee, and any notice hereunder to Recipient shall be addressed to Recipient at his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51"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[Signature page is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00"/>
          </w:cols>
          <w:pgMar w:left="1440" w:top="544" w:right="359" w:bottom="1440" w:gutter="0" w:footer="0" w:header="0"/>
        </w:sectPr>
      </w:pPr>
    </w:p>
    <w:bookmarkStart w:id="54" w:name="page55"/>
    <w:bookmarkEnd w:id="54"/>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Agreement has been duly executed as of the date first written above.</w:t>
      </w:r>
    </w:p>
    <w:p>
      <w:pPr>
        <w:spacing w:after="0" w:line="241"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CULP, INC.</w:t>
      </w:r>
      <w:r>
        <w:rPr>
          <w:rFonts w:ascii="Arial" w:cs="Arial" w:eastAsia="Arial" w:hAnsi="Arial"/>
          <w:sz w:val="22"/>
          <w:szCs w:val="22"/>
          <w:color w:val="auto"/>
        </w:rPr>
        <w:t>,</w:t>
      </w:r>
    </w:p>
    <w:p>
      <w:pPr>
        <w:spacing w:after="0" w:line="1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 North Carolina corporation</w:t>
      </w:r>
    </w:p>
    <w:p>
      <w:pPr>
        <w:spacing w:after="0" w:line="18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6985</wp:posOffset>
            </wp:positionV>
            <wp:extent cx="32575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-3175</wp:posOffset>
            </wp:positionV>
            <wp:extent cx="27432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-3175</wp:posOffset>
            </wp:positionV>
            <wp:extent cx="27432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9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431165</wp:posOffset>
            </wp:positionV>
            <wp:extent cx="3566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285115</wp:posOffset>
            </wp:positionV>
            <wp:extent cx="3566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44" w:right="1440" w:bottom="1440" w:gutter="0" w:footer="0" w:header="0"/>
        </w:sectPr>
      </w:pPr>
    </w:p>
    <w:bookmarkStart w:id="55" w:name="page56"/>
    <w:bookmarkEnd w:id="55"/>
    <w:tbl>
      <w:tblPr>
        <w:tblLayout w:type="fixed"/>
        <w:tblInd w:w="124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0" w:type="dxa"/>
            <w:vAlign w:val="bottom"/>
            <w:gridSpan w:val="5"/>
          </w:tcPr>
          <w:p>
            <w:pPr>
              <w:jc w:val="center"/>
              <w:ind w:right="2800"/>
              <w:spacing w:after="0"/>
              <w:rPr>
                <w:sz w:val="20"/>
                <w:szCs w:val="20"/>
                <w:color w:val="auto"/>
              </w:rPr>
            </w:pPr>
            <w:r>
              <w:rPr>
                <w:rFonts w:ascii="Arial" w:cs="Arial" w:eastAsia="Arial" w:hAnsi="Arial"/>
                <w:sz w:val="22"/>
                <w:szCs w:val="22"/>
                <w:b w:val="1"/>
                <w:bCs w:val="1"/>
                <w:color w:val="auto"/>
                <w:w w:val="97"/>
              </w:rPr>
              <w:t>SCHEDULE A</w:t>
            </w:r>
          </w:p>
        </w:tc>
      </w:tr>
      <w:tr>
        <w:trPr>
          <w:trHeight w:val="20"/>
        </w:trPr>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0" w:type="dxa"/>
            <w:vAlign w:val="bottom"/>
          </w:tcPr>
          <w:p>
            <w:pPr>
              <w:spacing w:after="0"/>
              <w:rPr>
                <w:sz w:val="24"/>
                <w:szCs w:val="24"/>
                <w:color w:val="auto"/>
              </w:rPr>
            </w:pPr>
          </w:p>
        </w:tc>
        <w:tc>
          <w:tcPr>
            <w:tcW w:w="2480" w:type="dxa"/>
            <w:vAlign w:val="bottom"/>
            <w:gridSpan w:val="3"/>
          </w:tcPr>
          <w:p>
            <w:pPr>
              <w:jc w:val="center"/>
              <w:ind w:right="640"/>
              <w:spacing w:after="0"/>
              <w:rPr>
                <w:sz w:val="20"/>
                <w:szCs w:val="20"/>
                <w:color w:val="auto"/>
              </w:rPr>
            </w:pPr>
            <w:r>
              <w:rPr>
                <w:rFonts w:ascii="Arial" w:cs="Arial" w:eastAsia="Arial" w:hAnsi="Arial"/>
                <w:sz w:val="22"/>
                <w:szCs w:val="22"/>
                <w:color w:val="auto"/>
                <w:w w:val="87"/>
              </w:rPr>
              <w:t>OI Bonus Percentage</w:t>
            </w:r>
          </w:p>
        </w:tc>
        <w:tc>
          <w:tcPr>
            <w:tcW w:w="4200" w:type="dxa"/>
            <w:vAlign w:val="bottom"/>
            <w:gridSpan w:val="5"/>
          </w:tcPr>
          <w:p>
            <w:pPr>
              <w:jc w:val="center"/>
              <w:ind w:left="1012"/>
              <w:spacing w:after="0"/>
              <w:rPr>
                <w:sz w:val="20"/>
                <w:szCs w:val="20"/>
                <w:color w:val="auto"/>
              </w:rPr>
            </w:pPr>
            <w:r>
              <w:rPr>
                <w:rFonts w:ascii="Arial" w:cs="Arial" w:eastAsia="Arial" w:hAnsi="Arial"/>
                <w:sz w:val="22"/>
                <w:szCs w:val="22"/>
                <w:color w:val="auto"/>
                <w:w w:val="88"/>
              </w:rPr>
              <w:t>Adjusted Operating Income Results</w:t>
            </w:r>
          </w:p>
        </w:tc>
      </w:tr>
      <w:tr>
        <w:trPr>
          <w:trHeight w:val="242"/>
        </w:trPr>
        <w:tc>
          <w:tcPr>
            <w:tcW w:w="80" w:type="dxa"/>
            <w:vAlign w:val="bottom"/>
          </w:tcPr>
          <w:p>
            <w:pPr>
              <w:spacing w:after="0"/>
              <w:rPr>
                <w:sz w:val="21"/>
                <w:szCs w:val="21"/>
                <w:color w:val="auto"/>
              </w:rPr>
            </w:pPr>
          </w:p>
        </w:tc>
        <w:tc>
          <w:tcPr>
            <w:tcW w:w="184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22"/>
                <w:szCs w:val="22"/>
                <w:color w:val="auto"/>
                <w:w w:val="87"/>
              </w:rPr>
              <w:t>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gridSpan w:val="2"/>
          </w:tcPr>
          <w:p>
            <w:pPr>
              <w:jc w:val="center"/>
              <w:ind w:right="900"/>
              <w:spacing w:after="0" w:line="242" w:lineRule="exact"/>
              <w:rPr>
                <w:sz w:val="20"/>
                <w:szCs w:val="20"/>
                <w:color w:val="auto"/>
              </w:rPr>
            </w:pPr>
            <w:r>
              <w:rPr>
                <w:rFonts w:ascii="Arial" w:cs="Arial" w:eastAsia="Arial" w:hAnsi="Arial"/>
                <w:sz w:val="22"/>
                <w:szCs w:val="22"/>
                <w:color w:val="auto"/>
                <w:w w:val="91"/>
              </w:rPr>
              <w:t>Below $__</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1920" w:type="dxa"/>
            <w:vAlign w:val="bottom"/>
            <w:gridSpan w:val="2"/>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89"/>
              </w:rPr>
              <w:t>Target Level</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74"/>
        </w:trPr>
        <w:tc>
          <w:tcPr>
            <w:tcW w:w="1920" w:type="dxa"/>
            <w:vAlign w:val="bottom"/>
            <w:gridSpan w:val="2"/>
          </w:tcPr>
          <w:p>
            <w:pPr>
              <w:jc w:val="center"/>
              <w:spacing w:after="0"/>
              <w:rPr>
                <w:sz w:val="20"/>
                <w:szCs w:val="20"/>
                <w:color w:val="auto"/>
              </w:rPr>
            </w:pPr>
            <w:r>
              <w:rPr>
                <w:rFonts w:ascii="Arial" w:cs="Arial" w:eastAsia="Arial" w:hAnsi="Arial"/>
                <w:sz w:val="22"/>
                <w:szCs w:val="22"/>
                <w:color w:val="auto"/>
                <w:w w:val="90"/>
              </w:rPr>
              <w:t>__%</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0" w:type="dxa"/>
            <w:vAlign w:val="bottom"/>
            <w:gridSpan w:val="2"/>
          </w:tcPr>
          <w:p>
            <w:pPr>
              <w:jc w:val="center"/>
              <w:ind w:right="900"/>
              <w:spacing w:after="0"/>
              <w:rPr>
                <w:sz w:val="20"/>
                <w:szCs w:val="20"/>
                <w:color w:val="auto"/>
              </w:rPr>
            </w:pPr>
            <w:r>
              <w:rPr>
                <w:rFonts w:ascii="Arial" w:cs="Arial" w:eastAsia="Arial" w:hAnsi="Arial"/>
                <w:sz w:val="22"/>
                <w:szCs w:val="22"/>
                <w:color w:val="auto"/>
                <w:w w:val="94"/>
              </w:rPr>
              <w:t>Maximum</w:t>
            </w:r>
          </w:p>
        </w:tc>
      </w:tr>
      <w:tr>
        <w:trPr>
          <w:trHeight w:val="624"/>
        </w:trPr>
        <w:tc>
          <w:tcPr>
            <w:tcW w:w="2000" w:type="dxa"/>
            <w:vAlign w:val="bottom"/>
            <w:gridSpan w:val="3"/>
          </w:tcPr>
          <w:p>
            <w:pPr>
              <w:jc w:val="center"/>
              <w:spacing w:after="0"/>
              <w:rPr>
                <w:sz w:val="20"/>
                <w:szCs w:val="20"/>
                <w:color w:val="auto"/>
              </w:rPr>
            </w:pPr>
            <w:r>
              <w:rPr>
                <w:rFonts w:ascii="Arial" w:cs="Arial" w:eastAsia="Arial" w:hAnsi="Arial"/>
                <w:sz w:val="22"/>
                <w:szCs w:val="22"/>
                <w:color w:val="auto"/>
                <w:w w:val="86"/>
              </w:rPr>
              <w:t>FCF Bonus Percentage</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gridSpan w:val="3"/>
          </w:tcPr>
          <w:p>
            <w:pPr>
              <w:jc w:val="center"/>
              <w:ind w:right="100"/>
              <w:spacing w:after="0"/>
              <w:rPr>
                <w:sz w:val="20"/>
                <w:szCs w:val="20"/>
                <w:color w:val="auto"/>
              </w:rPr>
            </w:pPr>
            <w:r>
              <w:rPr>
                <w:rFonts w:ascii="Arial" w:cs="Arial" w:eastAsia="Arial" w:hAnsi="Arial"/>
                <w:sz w:val="22"/>
                <w:szCs w:val="22"/>
                <w:color w:val="auto"/>
                <w:w w:val="88"/>
              </w:rPr>
              <w:t>Adjusted Free Cash Flow Results</w:t>
            </w:r>
          </w:p>
        </w:tc>
      </w:tr>
      <w:tr>
        <w:trPr>
          <w:trHeight w:val="242"/>
        </w:trPr>
        <w:tc>
          <w:tcPr>
            <w:tcW w:w="1920" w:type="dxa"/>
            <w:vAlign w:val="bottom"/>
            <w:tcBorders>
              <w:top w:val="single" w:sz="8" w:color="auto"/>
            </w:tcBorders>
            <w:gridSpan w:val="2"/>
          </w:tcPr>
          <w:p>
            <w:pPr>
              <w:jc w:val="center"/>
              <w:spacing w:after="0" w:line="242" w:lineRule="exact"/>
              <w:rPr>
                <w:sz w:val="20"/>
                <w:szCs w:val="20"/>
                <w:color w:val="auto"/>
              </w:rPr>
            </w:pPr>
            <w:r>
              <w:rPr>
                <w:rFonts w:ascii="Arial" w:cs="Arial" w:eastAsia="Arial" w:hAnsi="Arial"/>
                <w:sz w:val="22"/>
                <w:szCs w:val="22"/>
                <w:color w:val="auto"/>
                <w:w w:val="87"/>
              </w:rPr>
              <w:t>0%</w:t>
            </w:r>
          </w:p>
        </w:tc>
        <w:tc>
          <w:tcPr>
            <w:tcW w:w="8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jc w:val="center"/>
              <w:ind w:right="672"/>
              <w:spacing w:after="0" w:line="242" w:lineRule="exact"/>
              <w:rPr>
                <w:sz w:val="20"/>
                <w:szCs w:val="20"/>
                <w:color w:val="auto"/>
              </w:rPr>
            </w:pPr>
            <w:r>
              <w:rPr>
                <w:rFonts w:ascii="Arial" w:cs="Arial" w:eastAsia="Arial" w:hAnsi="Arial"/>
                <w:sz w:val="22"/>
                <w:szCs w:val="22"/>
                <w:color w:val="auto"/>
                <w:w w:val="86"/>
              </w:rPr>
              <w:t>Less than $__</w:t>
            </w:r>
          </w:p>
        </w:tc>
        <w:tc>
          <w:tcPr>
            <w:tcW w:w="10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1920" w:type="dxa"/>
            <w:vAlign w:val="bottom"/>
            <w:gridSpan w:val="2"/>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89"/>
              </w:rPr>
              <w:t>Target Level</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43"/>
        </w:trPr>
        <w:tc>
          <w:tcPr>
            <w:tcW w:w="80" w:type="dxa"/>
            <w:vAlign w:val="bottom"/>
          </w:tcPr>
          <w:p>
            <w:pPr>
              <w:spacing w:after="0"/>
              <w:rPr>
                <w:sz w:val="21"/>
                <w:szCs w:val="21"/>
                <w:color w:val="auto"/>
              </w:rPr>
            </w:pPr>
          </w:p>
        </w:tc>
        <w:tc>
          <w:tcPr>
            <w:tcW w:w="2480" w:type="dxa"/>
            <w:vAlign w:val="bottom"/>
            <w:gridSpan w:val="3"/>
          </w:tcPr>
          <w:p>
            <w:pPr>
              <w:jc w:val="center"/>
              <w:ind w:right="640"/>
              <w:spacing w:after="0" w:line="243" w:lineRule="exact"/>
              <w:rPr>
                <w:sz w:val="20"/>
                <w:szCs w:val="20"/>
                <w:color w:val="auto"/>
              </w:rPr>
            </w:pPr>
            <w:r>
              <w:rPr>
                <w:rFonts w:ascii="Arial" w:cs="Arial" w:eastAsia="Arial" w:hAnsi="Arial"/>
                <w:sz w:val="22"/>
                <w:szCs w:val="22"/>
                <w:color w:val="auto"/>
              </w:rPr>
              <w:t>X</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2"/>
          </w:tcPr>
          <w:p>
            <w:pPr>
              <w:jc w:val="center"/>
              <w:ind w:right="900"/>
              <w:spacing w:after="0" w:line="243" w:lineRule="exact"/>
              <w:rPr>
                <w:sz w:val="20"/>
                <w:szCs w:val="20"/>
                <w:color w:val="auto"/>
              </w:rPr>
            </w:pPr>
            <w:r>
              <w:rPr>
                <w:rFonts w:ascii="Arial" w:cs="Arial" w:eastAsia="Arial" w:hAnsi="Arial"/>
                <w:sz w:val="22"/>
                <w:szCs w:val="22"/>
                <w:color w:val="auto"/>
                <w:w w:val="95"/>
              </w:rPr>
              <w:t>X</w:t>
            </w:r>
          </w:p>
        </w:tc>
      </w:tr>
      <w:tr>
        <w:trPr>
          <w:trHeight w:val="274"/>
        </w:trPr>
        <w:tc>
          <w:tcPr>
            <w:tcW w:w="1920" w:type="dxa"/>
            <w:vAlign w:val="bottom"/>
            <w:gridSpan w:val="2"/>
          </w:tcPr>
          <w:p>
            <w:pPr>
              <w:jc w:val="center"/>
              <w:spacing w:after="0"/>
              <w:rPr>
                <w:sz w:val="20"/>
                <w:szCs w:val="20"/>
                <w:color w:val="auto"/>
              </w:rPr>
            </w:pPr>
            <w:r>
              <w:rPr>
                <w:rFonts w:ascii="Arial" w:cs="Arial" w:eastAsia="Arial" w:hAnsi="Arial"/>
                <w:sz w:val="22"/>
                <w:szCs w:val="22"/>
                <w:color w:val="auto"/>
                <w:w w:val="90"/>
              </w:rPr>
              <w:t>__%</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0" w:type="dxa"/>
            <w:vAlign w:val="bottom"/>
            <w:gridSpan w:val="2"/>
          </w:tcPr>
          <w:p>
            <w:pPr>
              <w:jc w:val="center"/>
              <w:ind w:right="900"/>
              <w:spacing w:after="0"/>
              <w:rPr>
                <w:sz w:val="20"/>
                <w:szCs w:val="20"/>
                <w:color w:val="auto"/>
              </w:rPr>
            </w:pPr>
            <w:r>
              <w:rPr>
                <w:rFonts w:ascii="Arial" w:cs="Arial" w:eastAsia="Arial" w:hAnsi="Arial"/>
                <w:sz w:val="22"/>
                <w:szCs w:val="22"/>
                <w:color w:val="auto"/>
                <w:w w:val="94"/>
              </w:rPr>
              <w:t>Maximum</w:t>
            </w:r>
          </w:p>
        </w:tc>
      </w:tr>
      <w:tr>
        <w:trPr>
          <w:trHeight w:val="891"/>
        </w:trPr>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5"/>
          </w:tcPr>
          <w:p>
            <w:pPr>
              <w:jc w:val="center"/>
              <w:ind w:right="2780"/>
              <w:spacing w:after="0"/>
              <w:rPr>
                <w:sz w:val="20"/>
                <w:szCs w:val="20"/>
                <w:color w:val="auto"/>
              </w:rPr>
            </w:pPr>
            <w:r>
              <w:rPr>
                <w:rFonts w:ascii="Arial" w:cs="Arial" w:eastAsia="Arial" w:hAnsi="Arial"/>
                <w:sz w:val="22"/>
                <w:szCs w:val="22"/>
                <w:color w:val="auto"/>
                <w:w w:val="99"/>
              </w:rPr>
              <w:t>A-1</w:t>
            </w:r>
          </w:p>
        </w:tc>
      </w:tr>
    </w:tbl>
    <w:p>
      <w:pPr>
        <w:sectPr>
          <w:pgSz w:w="11900" w:h="16838" w:orient="portrait"/>
          <w:cols w:equalWidth="0" w:num="1">
            <w:col w:w="9019"/>
          </w:cols>
          <w:pgMar w:left="1440" w:top="521"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THIS RESTRICTED STOCK UNIT AGREEMENT </w:t>
      </w:r>
      <w:r>
        <w:rPr>
          <w:rFonts w:ascii="Arial" w:cs="Arial" w:eastAsia="Arial" w:hAnsi="Arial"/>
          <w:sz w:val="22"/>
          <w:szCs w:val="22"/>
          <w:color w:val="auto"/>
        </w:rPr>
        <w:t>(the “</w:t>
      </w:r>
      <w:r>
        <w:rPr>
          <w:rFonts w:ascii="Arial" w:cs="Arial" w:eastAsia="Arial" w:hAnsi="Arial"/>
          <w:sz w:val="22"/>
          <w:szCs w:val="22"/>
          <w:b w:val="1"/>
          <w:bCs w:val="1"/>
          <w:color w:val="auto"/>
        </w:rPr>
        <w:t>Agreement</w:t>
      </w:r>
      <w:r>
        <w:rPr>
          <w:rFonts w:ascii="Arial" w:cs="Arial" w:eastAsia="Arial" w:hAnsi="Arial"/>
          <w:sz w:val="22"/>
          <w:szCs w:val="22"/>
          <w:color w:val="auto"/>
        </w:rPr>
        <w:t>”), dated as of ________________, 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between </w:t>
      </w:r>
      <w:r>
        <w:rPr>
          <w:rFonts w:ascii="Arial" w:cs="Arial" w:eastAsia="Arial" w:hAnsi="Arial"/>
          <w:sz w:val="22"/>
          <w:szCs w:val="22"/>
          <w:b w:val="1"/>
          <w:bCs w:val="1"/>
          <w:color w:val="auto"/>
        </w:rPr>
        <w:t>CULP, INC.</w:t>
      </w:r>
      <w:r>
        <w:rPr>
          <w:rFonts w:ascii="Arial" w:cs="Arial" w:eastAsia="Arial" w:hAnsi="Arial"/>
          <w:sz w:val="22"/>
          <w:szCs w:val="22"/>
          <w:color w:val="auto"/>
        </w:rPr>
        <w:t>, a North Carolina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and_________________ (“</w:t>
      </w:r>
      <w:r>
        <w:rPr>
          <w:rFonts w:ascii="Arial" w:cs="Arial" w:eastAsia="Arial" w:hAnsi="Arial"/>
          <w:sz w:val="22"/>
          <w:szCs w:val="22"/>
          <w:b w:val="1"/>
          <w:bCs w:val="1"/>
          <w:color w:val="auto"/>
        </w:rPr>
        <w:t>Recipient</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 Statement</w:t>
      </w:r>
    </w:p>
    <w:p>
      <w:pPr>
        <w:spacing w:after="0" w:line="206" w:lineRule="exact"/>
        <w:rPr>
          <w:sz w:val="20"/>
          <w:szCs w:val="20"/>
          <w:color w:val="auto"/>
        </w:rPr>
      </w:pPr>
    </w:p>
    <w:p>
      <w:pPr>
        <w:ind w:right="260" w:firstLine="864"/>
        <w:spacing w:after="0" w:line="243" w:lineRule="auto"/>
        <w:rPr>
          <w:sz w:val="20"/>
          <w:szCs w:val="20"/>
          <w:color w:val="auto"/>
        </w:rPr>
      </w:pPr>
      <w:r>
        <w:rPr>
          <w:rFonts w:ascii="Arial" w:cs="Arial" w:eastAsia="Arial" w:hAnsi="Arial"/>
          <w:sz w:val="22"/>
          <w:szCs w:val="22"/>
          <w:color w:val="auto"/>
        </w:rPr>
        <w:t>The Corporation desires to grant to Recipient Restricted Stock Units (the “</w:t>
      </w:r>
      <w:r>
        <w:rPr>
          <w:rFonts w:ascii="Arial" w:cs="Arial" w:eastAsia="Arial" w:hAnsi="Arial"/>
          <w:sz w:val="22"/>
          <w:szCs w:val="22"/>
          <w:b w:val="1"/>
          <w:bCs w:val="1"/>
          <w:color w:val="auto"/>
        </w:rPr>
        <w:t>Units</w:t>
      </w:r>
      <w:r>
        <w:rPr>
          <w:rFonts w:ascii="Arial" w:cs="Arial" w:eastAsia="Arial" w:hAnsi="Arial"/>
          <w:sz w:val="22"/>
          <w:szCs w:val="22"/>
          <w:color w:val="auto"/>
        </w:rPr>
        <w:t>”) pursuant to the Culp, Inc. 2015 Equity Incentive Plan (the “</w:t>
      </w:r>
      <w:r>
        <w:rPr>
          <w:rFonts w:ascii="Arial" w:cs="Arial" w:eastAsia="Arial" w:hAnsi="Arial"/>
          <w:sz w:val="22"/>
          <w:szCs w:val="22"/>
          <w:b w:val="1"/>
          <w:bCs w:val="1"/>
          <w:color w:val="auto"/>
        </w:rPr>
        <w:t>Plan</w:t>
      </w:r>
      <w:r>
        <w:rPr>
          <w:rFonts w:ascii="Arial" w:cs="Arial" w:eastAsia="Arial" w:hAnsi="Arial"/>
          <w:sz w:val="22"/>
          <w:szCs w:val="22"/>
          <w:color w:val="auto"/>
        </w:rPr>
        <w:t>”). Capitalized terms used but not defined in this Agreement shall have the meanings given to them in the Plan.</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22"/>
          <w:szCs w:val="22"/>
          <w:b w:val="1"/>
          <w:bCs w:val="1"/>
          <w:u w:val="single" w:color="auto"/>
          <w:color w:val="auto"/>
        </w:rPr>
        <w:t>STATEMENT OF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the parties hereby agree as follows:</w:t>
      </w:r>
    </w:p>
    <w:p>
      <w:pPr>
        <w:spacing w:after="0" w:line="20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Grant of Units</w:t>
      </w:r>
      <w:r>
        <w:rPr>
          <w:rFonts w:ascii="Arial" w:cs="Arial" w:eastAsia="Arial" w:hAnsi="Arial"/>
          <w:sz w:val="19"/>
          <w:szCs w:val="19"/>
          <w:color w:val="auto"/>
        </w:rPr>
        <w:t>. The Corporation hereby grants to Recipient ______ Units, ______ of which shall</w:t>
      </w:r>
    </w:p>
    <w:p>
      <w:pPr>
        <w:spacing w:after="0" w:line="14"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color w:val="auto"/>
        </w:rPr>
        <w:t>vest in accordance with Section 2(a) herein (the “</w:t>
      </w:r>
      <w:r>
        <w:rPr>
          <w:rFonts w:ascii="Arial" w:cs="Arial" w:eastAsia="Arial" w:hAnsi="Arial"/>
          <w:sz w:val="19"/>
          <w:szCs w:val="19"/>
          <w:b w:val="1"/>
          <w:bCs w:val="1"/>
          <w:color w:val="auto"/>
        </w:rPr>
        <w:t>Time-Based Units</w:t>
      </w:r>
      <w:r>
        <w:rPr>
          <w:rFonts w:ascii="Arial" w:cs="Arial" w:eastAsia="Arial" w:hAnsi="Arial"/>
          <w:sz w:val="19"/>
          <w:szCs w:val="19"/>
          <w:color w:val="auto"/>
        </w:rPr>
        <w:t>”) upon a final determination by the Compensation Committee (the “</w:t>
      </w:r>
      <w:r>
        <w:rPr>
          <w:rFonts w:ascii="Arial" w:cs="Arial" w:eastAsia="Arial" w:hAnsi="Arial"/>
          <w:sz w:val="19"/>
          <w:szCs w:val="19"/>
          <w:b w:val="1"/>
          <w:bCs w:val="1"/>
          <w:color w:val="auto"/>
        </w:rPr>
        <w:t>Committee</w:t>
      </w:r>
      <w:r>
        <w:rPr>
          <w:rFonts w:ascii="Arial" w:cs="Arial" w:eastAsia="Arial" w:hAnsi="Arial"/>
          <w:sz w:val="19"/>
          <w:szCs w:val="19"/>
          <w:color w:val="auto"/>
        </w:rPr>
        <w:t>”) of the satisfaction of the vesting conditions set forth herein and the number of Time-Based Units that have vested in connection therewith; and ______ of which shall vest in accordance with Section 2(b) herein (the</w:t>
      </w:r>
    </w:p>
    <w:p>
      <w:pPr>
        <w:spacing w:after="0" w:line="3"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Performance-Based Units</w:t>
      </w:r>
      <w:r>
        <w:rPr>
          <w:rFonts w:ascii="Arial" w:cs="Arial" w:eastAsia="Arial" w:hAnsi="Arial"/>
          <w:sz w:val="19"/>
          <w:szCs w:val="19"/>
          <w:color w:val="auto"/>
        </w:rPr>
        <w:t>”) upon a final determination by the Committee of the satisfaction of the vesting conditions set forth herein and the number of Performance-Based Units that have vested in connection therewith, in each case pursuant to the terms set forth in this Agreement and the Plan. Each Time-Based Unit shall entitle Recipient to receive, upon vesting thereof in accordance with this Agreement and the Plan, one (1) share of common stock, par value $0.05 per share, of the Corporation (“</w:t>
      </w:r>
      <w:r>
        <w:rPr>
          <w:rFonts w:ascii="Arial" w:cs="Arial" w:eastAsia="Arial" w:hAnsi="Arial"/>
          <w:sz w:val="19"/>
          <w:szCs w:val="19"/>
          <w:b w:val="1"/>
          <w:bCs w:val="1"/>
          <w:color w:val="auto"/>
        </w:rPr>
        <w:t>Common Stock</w:t>
      </w:r>
      <w:r>
        <w:rPr>
          <w:rFonts w:ascii="Arial" w:cs="Arial" w:eastAsia="Arial" w:hAnsi="Arial"/>
          <w:sz w:val="19"/>
          <w:szCs w:val="19"/>
          <w:color w:val="auto"/>
        </w:rPr>
        <w:t>”). Each Performance-Based Unit shall entitle Recipient to receive, upon vesting thereof in accordance with this Agreement and the Plan, up to ______ shares of Common Stock. Except as permitted by the Plan, the Units may not be</w:t>
      </w:r>
    </w:p>
    <w:p>
      <w:pPr>
        <w:spacing w:after="0" w:line="5"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assigned, pledged, hypothecated or transferred in any manner. Recipient shall not have, with respect to any Units, any rights of a shareholder of the Corporation, including without limitation any right to vote as a shareholder of the Corporation or any right to receive distributions from the Corporation in respect of the Units.</w:t>
      </w:r>
    </w:p>
    <w:p>
      <w:pPr>
        <w:spacing w:after="0" w:line="18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Vesting</w:t>
      </w:r>
      <w:r>
        <w:rPr>
          <w:rFonts w:ascii="Arial" w:cs="Arial" w:eastAsia="Arial" w:hAnsi="Arial"/>
          <w:sz w:val="19"/>
          <w:szCs w:val="19"/>
          <w:color w:val="auto"/>
        </w:rPr>
        <w:t>.</w:t>
      </w:r>
    </w:p>
    <w:p>
      <w:pPr>
        <w:spacing w:after="0" w:line="212" w:lineRule="exact"/>
        <w:rPr>
          <w:sz w:val="20"/>
          <w:szCs w:val="20"/>
          <w:color w:val="auto"/>
        </w:rPr>
      </w:pPr>
    </w:p>
    <w:p>
      <w:pPr>
        <w:ind w:left="880" w:right="180" w:firstLine="789"/>
        <w:spacing w:after="0" w:line="250" w:lineRule="auto"/>
        <w:tabs>
          <w:tab w:leader="none" w:pos="256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Time-Based Units</w:t>
      </w:r>
      <w:r>
        <w:rPr>
          <w:rFonts w:ascii="Arial" w:cs="Arial" w:eastAsia="Arial" w:hAnsi="Arial"/>
          <w:sz w:val="22"/>
          <w:szCs w:val="22"/>
          <w:color w:val="auto"/>
        </w:rPr>
        <w:t>. Except as may otherwise be provided in the Plan or this Agreement, the Time-Based Units shall vest in the amounts set forth below:</w:t>
      </w:r>
    </w:p>
    <w:p>
      <w:pPr>
        <w:spacing w:after="0" w:line="175" w:lineRule="exact"/>
        <w:rPr>
          <w:sz w:val="20"/>
          <w:szCs w:val="20"/>
          <w:color w:val="auto"/>
        </w:rPr>
      </w:pPr>
    </w:p>
    <w:p>
      <w:pPr>
        <w:ind w:left="1740"/>
        <w:spacing w:after="0"/>
        <w:tabs>
          <w:tab w:leader="none" w:pos="4840" w:val="left"/>
        </w:tabs>
        <w:rPr>
          <w:sz w:val="20"/>
          <w:szCs w:val="20"/>
          <w:color w:val="auto"/>
        </w:rPr>
      </w:pPr>
      <w:r>
        <w:rPr>
          <w:rFonts w:ascii="Arial" w:cs="Arial" w:eastAsia="Arial" w:hAnsi="Arial"/>
          <w:sz w:val="22"/>
          <w:szCs w:val="22"/>
          <w:color w:val="auto"/>
        </w:rPr>
        <w:t>On _______________, 20__</w:t>
      </w:r>
      <w:r>
        <w:rPr>
          <w:sz w:val="20"/>
          <w:szCs w:val="20"/>
          <w:color w:val="auto"/>
        </w:rPr>
        <w:tab/>
      </w:r>
      <w:r>
        <w:rPr>
          <w:rFonts w:ascii="Arial" w:cs="Arial" w:eastAsia="Arial" w:hAnsi="Arial"/>
          <w:sz w:val="19"/>
          <w:szCs w:val="19"/>
          <w:color w:val="auto"/>
        </w:rPr>
        <w:t>___________ shares of Common Stock</w:t>
      </w:r>
    </w:p>
    <w:p>
      <w:pPr>
        <w:spacing w:after="0" w:line="206" w:lineRule="exact"/>
        <w:rPr>
          <w:sz w:val="20"/>
          <w:szCs w:val="20"/>
          <w:color w:val="auto"/>
        </w:rPr>
      </w:pPr>
    </w:p>
    <w:p>
      <w:pPr>
        <w:ind w:left="880" w:right="80" w:firstLine="789"/>
        <w:spacing w:after="0"/>
        <w:tabs>
          <w:tab w:leader="none" w:pos="2577"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Performance-Based Units</w:t>
      </w:r>
      <w:r>
        <w:rPr>
          <w:rFonts w:ascii="Arial" w:cs="Arial" w:eastAsia="Arial" w:hAnsi="Arial"/>
          <w:sz w:val="22"/>
          <w:szCs w:val="22"/>
          <w:color w:val="auto"/>
        </w:rPr>
        <w:t>. Except as may otherwise be provided in the Plan or this Agreement, the Performance-Based Units shall vest in the amounts set forth below, depending upon the Cumulative Adjusted Operating Income of the Reporting Unit,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tbl>
      <w:tblPr>
        <w:tblLayout w:type="fixed"/>
        <w:tblInd w:w="30" w:type="dxa"/>
        <w:tblCellMar>
          <w:top w:w="0" w:type="dxa"/>
          <w:left w:w="0" w:type="dxa"/>
          <w:bottom w:w="0" w:type="dxa"/>
          <w:right w:w="0" w:type="dxa"/>
        </w:tblCellMar>
      </w:tblPr>
      <w:tr>
        <w:trPr>
          <w:trHeight w:val="243"/>
        </w:trPr>
        <w:tc>
          <w:tcPr>
            <w:tcW w:w="1740" w:type="dxa"/>
            <w:vAlign w:val="bottom"/>
            <w:tcBorders>
              <w:top w:val="single" w:sz="8" w:color="auto"/>
              <w:left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spacing w:after="0"/>
              <w:rPr>
                <w:sz w:val="21"/>
                <w:szCs w:val="21"/>
                <w:color w:val="auto"/>
              </w:rPr>
            </w:pPr>
          </w:p>
        </w:tc>
        <w:tc>
          <w:tcPr>
            <w:tcW w:w="3780" w:type="dxa"/>
            <w:vAlign w:val="bottom"/>
            <w:tcBorders>
              <w:top w:val="single" w:sz="8" w:color="auto"/>
              <w:right w:val="single" w:sz="8" w:color="auto"/>
            </w:tcBorders>
            <w:gridSpan w:val="3"/>
          </w:tcPr>
          <w:p>
            <w:pPr>
              <w:jc w:val="center"/>
              <w:ind w:right="40"/>
              <w:spacing w:after="0" w:line="243" w:lineRule="exact"/>
              <w:rPr>
                <w:sz w:val="20"/>
                <w:szCs w:val="20"/>
                <w:color w:val="auto"/>
              </w:rPr>
            </w:pPr>
            <w:r>
              <w:rPr>
                <w:rFonts w:ascii="Arial" w:cs="Arial" w:eastAsia="Arial" w:hAnsi="Arial"/>
                <w:sz w:val="22"/>
                <w:szCs w:val="22"/>
                <w:b w:val="1"/>
                <w:bCs w:val="1"/>
                <w:color w:val="auto"/>
                <w:w w:val="90"/>
              </w:rPr>
              <w:t>Cumulative Adjusted</w:t>
            </w:r>
          </w:p>
        </w:tc>
        <w:tc>
          <w:tcPr>
            <w:tcW w:w="860" w:type="dxa"/>
            <w:vAlign w:val="bottom"/>
            <w:tcBorders>
              <w:top w:val="single" w:sz="8" w:color="auto"/>
            </w:tcBorders>
          </w:tcPr>
          <w:p>
            <w:pPr>
              <w:spacing w:after="0"/>
              <w:rPr>
                <w:sz w:val="21"/>
                <w:szCs w:val="21"/>
                <w:color w:val="auto"/>
              </w:rPr>
            </w:pPr>
          </w:p>
        </w:tc>
        <w:tc>
          <w:tcPr>
            <w:tcW w:w="2580" w:type="dxa"/>
            <w:vAlign w:val="bottom"/>
            <w:tcBorders>
              <w:top w:val="single" w:sz="8" w:color="auto"/>
              <w:right w:val="single" w:sz="8" w:color="auto"/>
            </w:tcBorders>
            <w:gridSpan w:val="2"/>
          </w:tcPr>
          <w:p>
            <w:pPr>
              <w:spacing w:after="0" w:line="243" w:lineRule="exact"/>
              <w:rPr>
                <w:sz w:val="20"/>
                <w:szCs w:val="20"/>
                <w:color w:val="auto"/>
              </w:rPr>
            </w:pPr>
            <w:r>
              <w:rPr>
                <w:rFonts w:ascii="Arial" w:cs="Arial" w:eastAsia="Arial" w:hAnsi="Arial"/>
                <w:sz w:val="22"/>
                <w:szCs w:val="22"/>
                <w:b w:val="1"/>
                <w:bCs w:val="1"/>
                <w:color w:val="auto"/>
              </w:rPr>
              <w:t>Number of Shares</w:t>
            </w:r>
          </w:p>
        </w:tc>
      </w:tr>
      <w:tr>
        <w:trPr>
          <w:trHeight w:val="196"/>
        </w:trPr>
        <w:tc>
          <w:tcPr>
            <w:tcW w:w="1740" w:type="dxa"/>
            <w:vAlign w:val="bottom"/>
            <w:tcBorders>
              <w:left w:val="single" w:sz="8" w:color="auto"/>
            </w:tcBorders>
          </w:tcPr>
          <w:p>
            <w:pPr>
              <w:spacing w:after="0"/>
              <w:rPr>
                <w:sz w:val="17"/>
                <w:szCs w:val="17"/>
                <w:color w:val="auto"/>
              </w:rPr>
            </w:pPr>
          </w:p>
        </w:tc>
        <w:tc>
          <w:tcPr>
            <w:tcW w:w="52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w w:val="92"/>
              </w:rPr>
              <w:t>Level</w:t>
            </w:r>
          </w:p>
        </w:tc>
        <w:tc>
          <w:tcPr>
            <w:tcW w:w="1740" w:type="dxa"/>
            <w:vAlign w:val="bottom"/>
            <w:tcBorders>
              <w:right w:val="single" w:sz="8" w:color="auto"/>
            </w:tcBorders>
          </w:tcPr>
          <w:p>
            <w:pPr>
              <w:spacing w:after="0"/>
              <w:rPr>
                <w:sz w:val="17"/>
                <w:szCs w:val="17"/>
                <w:color w:val="auto"/>
              </w:rPr>
            </w:pPr>
          </w:p>
        </w:tc>
        <w:tc>
          <w:tcPr>
            <w:tcW w:w="3780" w:type="dxa"/>
            <w:vAlign w:val="bottom"/>
            <w:tcBorders>
              <w:right w:val="single" w:sz="8" w:color="auto"/>
            </w:tcBorders>
            <w:gridSpan w:val="3"/>
          </w:tcPr>
          <w:p>
            <w:pPr>
              <w:jc w:val="center"/>
              <w:ind w:right="20"/>
              <w:spacing w:after="0" w:line="195" w:lineRule="exact"/>
              <w:rPr>
                <w:sz w:val="20"/>
                <w:szCs w:val="20"/>
                <w:color w:val="auto"/>
              </w:rPr>
            </w:pPr>
            <w:r>
              <w:rPr>
                <w:rFonts w:ascii="Arial" w:cs="Arial" w:eastAsia="Arial" w:hAnsi="Arial"/>
                <w:sz w:val="22"/>
                <w:szCs w:val="22"/>
                <w:b w:val="1"/>
                <w:bCs w:val="1"/>
                <w:color w:val="auto"/>
                <w:w w:val="89"/>
              </w:rPr>
              <w:t>Operating Income</w:t>
            </w:r>
          </w:p>
        </w:tc>
        <w:tc>
          <w:tcPr>
            <w:tcW w:w="86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
        </w:trPr>
        <w:tc>
          <w:tcPr>
            <w:tcW w:w="174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458"/>
        </w:trPr>
        <w:tc>
          <w:tcPr>
            <w:tcW w:w="40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1"/>
              </w:rPr>
              <w:t>Entry Point (Threshold)</w:t>
            </w:r>
          </w:p>
        </w:tc>
        <w:tc>
          <w:tcPr>
            <w:tcW w:w="37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9"/>
              </w:rPr>
              <w:t>$____________ or below</w:t>
            </w:r>
          </w:p>
        </w:tc>
        <w:tc>
          <w:tcPr>
            <w:tcW w:w="2540" w:type="dxa"/>
            <w:vAlign w:val="bottom"/>
            <w:gridSpan w:val="2"/>
          </w:tcPr>
          <w:p>
            <w:pPr>
              <w:jc w:val="center"/>
              <w:ind w:left="772"/>
              <w:spacing w:after="0"/>
              <w:rPr>
                <w:sz w:val="20"/>
                <w:szCs w:val="20"/>
                <w:color w:val="auto"/>
              </w:rPr>
            </w:pPr>
            <w:r>
              <w:rPr>
                <w:rFonts w:ascii="Arial" w:cs="Arial" w:eastAsia="Arial" w:hAnsi="Arial"/>
                <w:sz w:val="22"/>
                <w:szCs w:val="22"/>
                <w:color w:val="auto"/>
                <w:w w:val="81"/>
              </w:rPr>
              <w:t>0</w:t>
            </w:r>
          </w:p>
        </w:tc>
        <w:tc>
          <w:tcPr>
            <w:tcW w:w="900" w:type="dxa"/>
            <w:vAlign w:val="bottom"/>
            <w:tcBorders>
              <w:right w:val="single" w:sz="8" w:color="auto"/>
            </w:tcBorders>
          </w:tcPr>
          <w:p>
            <w:pPr>
              <w:spacing w:after="0"/>
              <w:rPr>
                <w:sz w:val="24"/>
                <w:szCs w:val="24"/>
                <w:color w:val="auto"/>
              </w:rPr>
            </w:pPr>
          </w:p>
        </w:tc>
      </w:tr>
      <w:tr>
        <w:trPr>
          <w:trHeight w:val="243"/>
        </w:trPr>
        <w:tc>
          <w:tcPr>
            <w:tcW w:w="4000" w:type="dxa"/>
            <w:vAlign w:val="bottom"/>
            <w:tcBorders>
              <w:left w:val="single" w:sz="8" w:color="auto"/>
              <w:right w:val="single" w:sz="8" w:color="auto"/>
            </w:tcBorders>
            <w:gridSpan w:val="3"/>
          </w:tcPr>
          <w:p>
            <w:pPr>
              <w:jc w:val="center"/>
              <w:spacing w:after="0" w:line="243" w:lineRule="exact"/>
              <w:rPr>
                <w:sz w:val="20"/>
                <w:szCs w:val="20"/>
                <w:color w:val="auto"/>
              </w:rPr>
            </w:pPr>
            <w:r>
              <w:rPr>
                <w:rFonts w:ascii="Arial" w:cs="Arial" w:eastAsia="Arial" w:hAnsi="Arial"/>
                <w:sz w:val="22"/>
                <w:szCs w:val="22"/>
                <w:color w:val="auto"/>
                <w:w w:val="87"/>
              </w:rPr>
              <w:t>Target</w:t>
            </w:r>
          </w:p>
        </w:tc>
        <w:tc>
          <w:tcPr>
            <w:tcW w:w="2720" w:type="dxa"/>
            <w:vAlign w:val="bottom"/>
            <w:gridSpan w:val="2"/>
          </w:tcPr>
          <w:p>
            <w:pPr>
              <w:jc w:val="center"/>
              <w:ind w:left="932"/>
              <w:spacing w:after="0" w:line="243" w:lineRule="exact"/>
              <w:rPr>
                <w:sz w:val="20"/>
                <w:szCs w:val="20"/>
                <w:color w:val="auto"/>
              </w:rPr>
            </w:pPr>
            <w:r>
              <w:rPr>
                <w:rFonts w:ascii="Arial" w:cs="Arial" w:eastAsia="Arial" w:hAnsi="Arial"/>
                <w:sz w:val="22"/>
                <w:szCs w:val="22"/>
                <w:color w:val="auto"/>
                <w:w w:val="88"/>
              </w:rPr>
              <w:t>$____________</w:t>
            </w:r>
          </w:p>
        </w:tc>
        <w:tc>
          <w:tcPr>
            <w:tcW w:w="1060" w:type="dxa"/>
            <w:vAlign w:val="bottom"/>
            <w:tcBorders>
              <w:right w:val="single" w:sz="8" w:color="auto"/>
            </w:tcBorders>
          </w:tcPr>
          <w:p>
            <w:pPr>
              <w:spacing w:after="0"/>
              <w:rPr>
                <w:sz w:val="21"/>
                <w:szCs w:val="21"/>
                <w:color w:val="auto"/>
              </w:rPr>
            </w:pPr>
          </w:p>
        </w:tc>
        <w:tc>
          <w:tcPr>
            <w:tcW w:w="2540" w:type="dxa"/>
            <w:vAlign w:val="bottom"/>
            <w:gridSpan w:val="2"/>
          </w:tcPr>
          <w:p>
            <w:pPr>
              <w:jc w:val="center"/>
              <w:ind w:left="752"/>
              <w:spacing w:after="0" w:line="243" w:lineRule="exact"/>
              <w:rPr>
                <w:sz w:val="20"/>
                <w:szCs w:val="20"/>
                <w:color w:val="auto"/>
              </w:rPr>
            </w:pPr>
            <w:r>
              <w:rPr>
                <w:rFonts w:ascii="Arial" w:cs="Arial" w:eastAsia="Arial" w:hAnsi="Arial"/>
                <w:sz w:val="22"/>
                <w:szCs w:val="22"/>
                <w:color w:val="auto"/>
                <w:w w:val="87"/>
              </w:rPr>
              <w:t>______</w:t>
            </w:r>
          </w:p>
        </w:tc>
        <w:tc>
          <w:tcPr>
            <w:tcW w:w="900" w:type="dxa"/>
            <w:vAlign w:val="bottom"/>
            <w:tcBorders>
              <w:right w:val="single" w:sz="8" w:color="auto"/>
            </w:tcBorders>
          </w:tcPr>
          <w:p>
            <w:pPr>
              <w:spacing w:after="0"/>
              <w:rPr>
                <w:sz w:val="21"/>
                <w:szCs w:val="21"/>
                <w:color w:val="auto"/>
              </w:rPr>
            </w:pPr>
          </w:p>
        </w:tc>
      </w:tr>
      <w:tr>
        <w:trPr>
          <w:trHeight w:val="274"/>
        </w:trPr>
        <w:tc>
          <w:tcPr>
            <w:tcW w:w="400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94"/>
              </w:rPr>
              <w:t>Maximum</w:t>
            </w:r>
          </w:p>
        </w:tc>
        <w:tc>
          <w:tcPr>
            <w:tcW w:w="2720" w:type="dxa"/>
            <w:vAlign w:val="bottom"/>
            <w:gridSpan w:val="2"/>
          </w:tcPr>
          <w:p>
            <w:pPr>
              <w:jc w:val="center"/>
              <w:ind w:left="932"/>
              <w:spacing w:after="0"/>
              <w:rPr>
                <w:sz w:val="20"/>
                <w:szCs w:val="20"/>
                <w:color w:val="auto"/>
              </w:rPr>
            </w:pPr>
            <w:r>
              <w:rPr>
                <w:rFonts w:ascii="Arial" w:cs="Arial" w:eastAsia="Arial" w:hAnsi="Arial"/>
                <w:sz w:val="22"/>
                <w:szCs w:val="22"/>
                <w:color w:val="auto"/>
                <w:w w:val="88"/>
              </w:rPr>
              <w:t>$____________</w:t>
            </w:r>
          </w:p>
        </w:tc>
        <w:tc>
          <w:tcPr>
            <w:tcW w:w="1060" w:type="dxa"/>
            <w:vAlign w:val="bottom"/>
            <w:tcBorders>
              <w:right w:val="single" w:sz="8" w:color="auto"/>
            </w:tcBorders>
          </w:tcPr>
          <w:p>
            <w:pPr>
              <w:spacing w:after="0"/>
              <w:rPr>
                <w:sz w:val="23"/>
                <w:szCs w:val="23"/>
                <w:color w:val="auto"/>
              </w:rPr>
            </w:pPr>
          </w:p>
        </w:tc>
        <w:tc>
          <w:tcPr>
            <w:tcW w:w="2540" w:type="dxa"/>
            <w:vAlign w:val="bottom"/>
            <w:gridSpan w:val="2"/>
          </w:tcPr>
          <w:p>
            <w:pPr>
              <w:jc w:val="center"/>
              <w:ind w:left="752"/>
              <w:spacing w:after="0"/>
              <w:rPr>
                <w:sz w:val="20"/>
                <w:szCs w:val="20"/>
                <w:color w:val="auto"/>
              </w:rPr>
            </w:pPr>
            <w:r>
              <w:rPr>
                <w:rFonts w:ascii="Arial" w:cs="Arial" w:eastAsia="Arial" w:hAnsi="Arial"/>
                <w:sz w:val="22"/>
                <w:szCs w:val="22"/>
                <w:color w:val="auto"/>
                <w:w w:val="87"/>
              </w:rPr>
              <w:t>______</w:t>
            </w:r>
          </w:p>
        </w:tc>
        <w:tc>
          <w:tcPr>
            <w:tcW w:w="900" w:type="dxa"/>
            <w:vAlign w:val="bottom"/>
            <w:tcBorders>
              <w:right w:val="single" w:sz="8" w:color="auto"/>
            </w:tcBorders>
          </w:tcPr>
          <w:p>
            <w:pPr>
              <w:spacing w:after="0"/>
              <w:rPr>
                <w:sz w:val="23"/>
                <w:szCs w:val="23"/>
                <w:color w:val="auto"/>
              </w:rPr>
            </w:pPr>
          </w:p>
        </w:tc>
      </w:tr>
      <w:tr>
        <w:trPr>
          <w:trHeight w:val="206"/>
        </w:trPr>
        <w:tc>
          <w:tcPr>
            <w:tcW w:w="174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ind w:right="360" w:firstLine="864"/>
        <w:spacing w:after="0" w:line="250" w:lineRule="auto"/>
        <w:rPr>
          <w:sz w:val="20"/>
          <w:szCs w:val="20"/>
          <w:color w:val="auto"/>
        </w:rPr>
      </w:pPr>
      <w:r>
        <w:rPr>
          <w:rFonts w:ascii="Arial" w:cs="Arial" w:eastAsia="Arial" w:hAnsi="Arial"/>
          <w:sz w:val="22"/>
          <w:szCs w:val="22"/>
          <w:color w:val="auto"/>
        </w:rPr>
        <w:t>For Cumulative Adjusted Operating Income amounts that are between the levels shown above, a pro rata number of shares will be awarded, calculated on a straight-line basis.</w:t>
      </w:r>
    </w:p>
    <w:p>
      <w:pPr>
        <w:spacing w:after="0" w:line="175" w:lineRule="exact"/>
        <w:rPr>
          <w:sz w:val="20"/>
          <w:szCs w:val="20"/>
          <w:color w:val="auto"/>
        </w:rPr>
      </w:pPr>
    </w:p>
    <w:p>
      <w:pPr>
        <w:ind w:right="60" w:firstLine="864"/>
        <w:spacing w:after="0" w:line="270" w:lineRule="auto"/>
        <w:rPr>
          <w:sz w:val="20"/>
          <w:szCs w:val="20"/>
          <w:color w:val="auto"/>
        </w:rPr>
      </w:pPr>
      <w:r>
        <w:rPr>
          <w:rFonts w:ascii="Arial" w:cs="Arial" w:eastAsia="Arial" w:hAnsi="Arial"/>
          <w:sz w:val="19"/>
          <w:szCs w:val="19"/>
          <w:color w:val="auto"/>
        </w:rPr>
        <w:t>[The number of Performance-Based Units vested and shares awarded shall further be subject to the TSR moderator provisions contained in this paragraph. The number of shares to be awarded as determined above shall be adjusted as follows: (1) if the Total Shareholder Return of the Corporation’s Common Stock during the Performance Period is, when compared to the Total Shareholder Returns of each company in the Peer Group Companies during the same period, at or above the top 75</w:t>
      </w:r>
      <w:r>
        <w:rPr>
          <w:rFonts w:ascii="Arial" w:cs="Arial" w:eastAsia="Arial" w:hAnsi="Arial"/>
          <w:sz w:val="16"/>
          <w:szCs w:val="16"/>
          <w:color w:val="auto"/>
        </w:rPr>
        <w:t>th</w:t>
      </w:r>
      <w:r>
        <w:rPr>
          <w:rFonts w:ascii="Arial" w:cs="Arial" w:eastAsia="Arial" w:hAnsi="Arial"/>
          <w:sz w:val="19"/>
          <w:szCs w:val="19"/>
          <w:color w:val="auto"/>
        </w:rPr>
        <w:t xml:space="preserve"> percentile of the Total Shareholder Returns for the Peer Group Companies, the number of shares to be awarded shall be increased by 25%;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will the provisions of this paragraph result in the issuance of more than</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___ shares per Performance-Based Unit; (2) if the Total Shareholder Return of the Corporation’s Common Stock during the Performance Period is, when compared to the Total Shareholder Returns of each company in the Peer Group Companies during the same period, at or below the bottom 25</w:t>
      </w:r>
      <w:r>
        <w:rPr>
          <w:rFonts w:ascii="Arial" w:cs="Arial" w:eastAsia="Arial" w:hAnsi="Arial"/>
          <w:sz w:val="16"/>
          <w:szCs w:val="16"/>
          <w:color w:val="auto"/>
        </w:rPr>
        <w:t>th</w:t>
      </w:r>
      <w:r>
        <w:rPr>
          <w:rFonts w:ascii="Arial" w:cs="Arial" w:eastAsia="Arial" w:hAnsi="Arial"/>
          <w:sz w:val="19"/>
          <w:szCs w:val="19"/>
          <w:color w:val="auto"/>
        </w:rPr>
        <w:t xml:space="preserve"> percentile of the Total Shareholder Returns for the Peer Group Companies, the number of shares to be awarded shall be decreased by 25%; (3) if the Total Shareholder Return of the Corporation’s Common Stock during the Performance Period is, when compared to the Total Shareholder Returns of each company in the Peer Group Companies during the same period, between the 50th and 75th percentile of the Total Shareholder Returns for the Peer Group Companies, the number of shares to be awarded shall be increased by 1% for each incremental percentile increase above the 50</w:t>
      </w:r>
      <w:r>
        <w:rPr>
          <w:rFonts w:ascii="Arial" w:cs="Arial" w:eastAsia="Arial" w:hAnsi="Arial"/>
          <w:sz w:val="16"/>
          <w:szCs w:val="16"/>
          <w:color w:val="auto"/>
        </w:rPr>
        <w:t>th</w:t>
      </w:r>
      <w:r>
        <w:rPr>
          <w:rFonts w:ascii="Arial" w:cs="Arial" w:eastAsia="Arial" w:hAnsi="Arial"/>
          <w:sz w:val="19"/>
          <w:szCs w:val="19"/>
          <w:color w:val="auto"/>
        </w:rPr>
        <w:t xml:space="preserve"> percentile (up to a cap of a 25% increase and a maximum of ___ shares per Performance-Based Unit); and (4) if the Total Shareholder Return of the Corporation’s Common Stock during the Performance Period is, when compared to the Total Shareholder Returns of each company in the Peer Group Companies during the same period, between the 25</w:t>
      </w:r>
      <w:r>
        <w:rPr>
          <w:rFonts w:ascii="Arial" w:cs="Arial" w:eastAsia="Arial" w:hAnsi="Arial"/>
          <w:sz w:val="16"/>
          <w:szCs w:val="16"/>
          <w:color w:val="auto"/>
        </w:rPr>
        <w:t>th</w:t>
      </w:r>
      <w:r>
        <w:rPr>
          <w:rFonts w:ascii="Arial" w:cs="Arial" w:eastAsia="Arial" w:hAnsi="Arial"/>
          <w:sz w:val="19"/>
          <w:szCs w:val="19"/>
          <w:color w:val="auto"/>
        </w:rPr>
        <w:t xml:space="preserve"> and 50</w:t>
      </w:r>
      <w:r>
        <w:rPr>
          <w:rFonts w:ascii="Arial" w:cs="Arial" w:eastAsia="Arial" w:hAnsi="Arial"/>
          <w:sz w:val="16"/>
          <w:szCs w:val="16"/>
          <w:color w:val="auto"/>
        </w:rPr>
        <w:t>th</w:t>
      </w:r>
      <w:r>
        <w:rPr>
          <w:rFonts w:ascii="Arial" w:cs="Arial" w:eastAsia="Arial" w:hAnsi="Arial"/>
          <w:sz w:val="19"/>
          <w:szCs w:val="19"/>
          <w:color w:val="auto"/>
        </w:rPr>
        <w:t xml:space="preserve"> percentile of the Total Shareholder Returns for the Peer Group Companies, the number of shares to be awarded shall be decreased by 1% for each incremental percentile decrease below the 50</w:t>
      </w:r>
      <w:r>
        <w:rPr>
          <w:rFonts w:ascii="Arial" w:cs="Arial" w:eastAsia="Arial" w:hAnsi="Arial"/>
          <w:sz w:val="16"/>
          <w:szCs w:val="16"/>
          <w:color w:val="auto"/>
        </w:rPr>
        <w:t>th</w:t>
      </w:r>
      <w:r>
        <w:rPr>
          <w:rFonts w:ascii="Arial" w:cs="Arial" w:eastAsia="Arial" w:hAnsi="Arial"/>
          <w:sz w:val="19"/>
          <w:szCs w:val="19"/>
          <w:color w:val="auto"/>
        </w:rPr>
        <w:t xml:space="preserve"> percentile (with a cap of a 25% decrease).]</w:t>
      </w:r>
      <w:r>
        <w:rPr>
          <w:rFonts w:ascii="Arial" w:cs="Arial" w:eastAsia="Arial" w:hAnsi="Arial"/>
          <w:sz w:val="16"/>
          <w:szCs w:val="16"/>
          <w:color w:val="auto"/>
        </w:rPr>
        <w:t>1</w:t>
      </w:r>
    </w:p>
    <w:p>
      <w:pPr>
        <w:spacing w:after="0" w:line="164" w:lineRule="exact"/>
        <w:rPr>
          <w:sz w:val="20"/>
          <w:szCs w:val="20"/>
          <w:color w:val="auto"/>
        </w:rPr>
      </w:pPr>
    </w:p>
    <w:p>
      <w:pPr>
        <w:ind w:left="880" w:right="200" w:firstLine="797"/>
        <w:spacing w:after="0" w:line="279" w:lineRule="auto"/>
        <w:rPr>
          <w:sz w:val="20"/>
          <w:szCs w:val="20"/>
          <w:color w:val="auto"/>
        </w:rPr>
      </w:pPr>
      <w:r>
        <w:rPr>
          <w:rFonts w:ascii="Arial" w:cs="Arial" w:eastAsia="Arial" w:hAnsi="Arial"/>
          <w:sz w:val="19"/>
          <w:szCs w:val="19"/>
          <w:color w:val="auto"/>
        </w:rPr>
        <w:t xml:space="preserve">(c) The Units will vest, and the associated number of shares will become issuable by the Corporation, upon final determination by the Committee of the number of Units that have vested and shares issuable in connection therewith pursuant to the terms set forth in this Agreement and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final determination of the satisfaction of the vesting conditions for any Units is made by the Committee prior to the Corporation’s filing with the Securities and Exchange Commission (“</w:t>
      </w:r>
      <w:r>
        <w:rPr>
          <w:rFonts w:ascii="Arial" w:cs="Arial" w:eastAsia="Arial" w:hAnsi="Arial"/>
          <w:sz w:val="19"/>
          <w:szCs w:val="19"/>
          <w:b w:val="1"/>
          <w:bCs w:val="1"/>
          <w:color w:val="auto"/>
        </w:rPr>
        <w:t>SEC</w:t>
      </w:r>
      <w:r>
        <w:rPr>
          <w:rFonts w:ascii="Arial" w:cs="Arial" w:eastAsia="Arial" w:hAnsi="Arial"/>
          <w:sz w:val="19"/>
          <w:szCs w:val="19"/>
          <w:color w:val="auto"/>
        </w:rPr>
        <w:t>”) of its annual report on Form 10-K that relates to the financial results for any portion of the applicable Performance Period with respect to 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1 Applies only to awards for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8" w:name="page59"/>
    <w:bookmarkEnd w:id="58"/>
    <w:p>
      <w:pPr>
        <w:ind w:left="880" w:right="60"/>
        <w:spacing w:after="0" w:line="250" w:lineRule="auto"/>
        <w:rPr>
          <w:sz w:val="20"/>
          <w:szCs w:val="20"/>
          <w:color w:val="auto"/>
        </w:rPr>
      </w:pPr>
      <w:r>
        <w:rPr>
          <w:rFonts w:ascii="Arial" w:cs="Arial" w:eastAsia="Arial" w:hAnsi="Arial"/>
          <w:sz w:val="22"/>
          <w:szCs w:val="22"/>
          <w:color w:val="auto"/>
        </w:rPr>
        <w:t>Performance-Based Units, then no Performance-Based Units will vest, and no Units (including Time-Based Units) will be issued, until after such filing is complete</w:t>
      </w:r>
    </w:p>
    <w:p>
      <w:pPr>
        <w:spacing w:after="0" w:line="175" w:lineRule="exact"/>
        <w:rPr>
          <w:sz w:val="20"/>
          <w:szCs w:val="20"/>
          <w:color w:val="auto"/>
        </w:rPr>
      </w:pPr>
    </w:p>
    <w:p>
      <w:pPr>
        <w:ind w:left="880" w:right="300" w:firstLine="789"/>
        <w:spacing w:after="0"/>
        <w:tabs>
          <w:tab w:leader="none" w:pos="2577"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Notwithstanding the foregoing, all unvested Units (at the rate of one (1) share of Common Stock per Unit for Time-Based Units and at the number of shares at the Target level set forth above with respect to Performance-Based Units) shall immediately vest upon:</w:t>
      </w:r>
    </w:p>
    <w:p>
      <w:pPr>
        <w:spacing w:after="0" w:line="186" w:lineRule="exact"/>
        <w:rPr>
          <w:rFonts w:ascii="Arial" w:cs="Arial" w:eastAsia="Arial" w:hAnsi="Arial"/>
          <w:sz w:val="22"/>
          <w:szCs w:val="22"/>
          <w:color w:val="auto"/>
        </w:rPr>
      </w:pPr>
    </w:p>
    <w:p>
      <w:pPr>
        <w:ind w:left="3460" w:hanging="860"/>
        <w:spacing w:after="0"/>
        <w:tabs>
          <w:tab w:leader="none" w:pos="34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termination of Recipient’s employment by reason of the death or Disability of Recipient;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88" w:lineRule="exact"/>
        <w:rPr>
          <w:sz w:val="20"/>
          <w:szCs w:val="20"/>
          <w:color w:val="auto"/>
        </w:rPr>
      </w:pPr>
    </w:p>
    <w:p>
      <w:pPr>
        <w:ind w:left="3520" w:hanging="920"/>
        <w:spacing w:after="0"/>
        <w:tabs>
          <w:tab w:leader="none" w:pos="35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Recipient’s employment is terminated by the Corporation in anticipation of a Change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Control, or</w:t>
      </w:r>
    </w:p>
    <w:p>
      <w:pPr>
        <w:spacing w:after="0" w:line="188" w:lineRule="exact"/>
        <w:rPr>
          <w:sz w:val="20"/>
          <w:szCs w:val="20"/>
          <w:color w:val="auto"/>
        </w:rPr>
      </w:pPr>
    </w:p>
    <w:p>
      <w:pPr>
        <w:ind w:right="80" w:firstLine="2600"/>
        <w:spacing w:after="0"/>
        <w:tabs>
          <w:tab w:leader="none" w:pos="3564"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Recipient is employed by the Corporation or an affiliate thereof at the time a Change of Control occurs,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at any time during the three-year period following such Change of Control (provided that the Units granted hereunder and related shares have not otherwise vested),</w:t>
      </w:r>
    </w:p>
    <w:p>
      <w:pPr>
        <w:spacing w:after="0" w:line="186" w:lineRule="exact"/>
        <w:rPr>
          <w:rFonts w:ascii="Arial" w:cs="Arial" w:eastAsia="Arial" w:hAnsi="Arial"/>
          <w:sz w:val="22"/>
          <w:szCs w:val="22"/>
          <w:color w:val="auto"/>
        </w:rPr>
      </w:pPr>
    </w:p>
    <w:p>
      <w:pPr>
        <w:ind w:firstLine="3464"/>
        <w:spacing w:after="0" w:line="250" w:lineRule="auto"/>
        <w:tabs>
          <w:tab w:leader="none" w:pos="4356" w:val="left"/>
        </w:tabs>
        <w:numPr>
          <w:ilvl w:val="1"/>
          <w:numId w:val="28"/>
        </w:numPr>
        <w:rPr>
          <w:rFonts w:ascii="Arial" w:cs="Arial" w:eastAsia="Arial" w:hAnsi="Arial"/>
          <w:sz w:val="22"/>
          <w:szCs w:val="22"/>
          <w:color w:val="auto"/>
        </w:rPr>
      </w:pPr>
      <w:r>
        <w:rPr>
          <w:rFonts w:ascii="Arial" w:cs="Arial" w:eastAsia="Arial" w:hAnsi="Arial"/>
          <w:sz w:val="22"/>
          <w:szCs w:val="22"/>
          <w:color w:val="auto"/>
        </w:rPr>
        <w:t>Recipient’s employment is terminated by the Corporation or an affiliate thereof for any reason other than for death, Disability or Cause, or</w:t>
      </w:r>
    </w:p>
    <w:p>
      <w:pPr>
        <w:spacing w:after="0" w:line="174" w:lineRule="exact"/>
        <w:rPr>
          <w:rFonts w:ascii="Arial" w:cs="Arial" w:eastAsia="Arial" w:hAnsi="Arial"/>
          <w:sz w:val="22"/>
          <w:szCs w:val="22"/>
          <w:color w:val="auto"/>
        </w:rPr>
      </w:pPr>
    </w:p>
    <w:p>
      <w:pPr>
        <w:ind w:left="4360" w:hanging="896"/>
        <w:spacing w:after="0"/>
        <w:tabs>
          <w:tab w:leader="none" w:pos="4360" w:val="left"/>
        </w:tabs>
        <w:numPr>
          <w:ilvl w:val="1"/>
          <w:numId w:val="28"/>
        </w:numPr>
        <w:rPr>
          <w:rFonts w:ascii="Arial" w:cs="Arial" w:eastAsia="Arial" w:hAnsi="Arial"/>
          <w:sz w:val="19"/>
          <w:szCs w:val="19"/>
          <w:color w:val="auto"/>
        </w:rPr>
      </w:pPr>
      <w:r>
        <w:rPr>
          <w:rFonts w:ascii="Arial" w:cs="Arial" w:eastAsia="Arial" w:hAnsi="Arial"/>
          <w:sz w:val="19"/>
          <w:szCs w:val="19"/>
          <w:color w:val="auto"/>
        </w:rPr>
        <w:t>Recipient terminates his/her employment for Good Reason within one year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 the initial existence of the conditions giving rise to such Good Reason.</w:t>
      </w:r>
    </w:p>
    <w:p>
      <w:pPr>
        <w:spacing w:after="0" w:line="182"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Definitions</w:t>
      </w:r>
      <w:r>
        <w:rPr>
          <w:rFonts w:ascii="Arial" w:cs="Arial" w:eastAsia="Arial" w:hAnsi="Arial"/>
          <w:sz w:val="19"/>
          <w:szCs w:val="19"/>
          <w:color w:val="auto"/>
        </w:rPr>
        <w:t>. For purposes of this Agreement, the following terms shall have the meanings indicated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2" w:lineRule="exact"/>
        <w:rPr>
          <w:sz w:val="20"/>
          <w:szCs w:val="20"/>
          <w:color w:val="auto"/>
        </w:rPr>
      </w:pPr>
    </w:p>
    <w:p>
      <w:pPr>
        <w:ind w:left="880" w:right="200" w:firstLine="79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(i) the commission by Recipient of a felony (or crime involving moral turpitude); (ii) theft, conversion, embezzlement or misappropriation by Recipient of funds or other assets of the Corporation or its Subsidiaries or any other act of fraud with respect to the Corporation or its Subsidiaries (including without limitation the acceptance of bribes or kickbacks or other acts of self-dealing); (iii) intentional, grossly negligent or unlawful misconduct by Recipient that causes significant harm to the Corporation or its Subsidiaries; or (iv) repeated instances of intoxication with alcohol or drugs while conducting business during regular business hours.</w:t>
      </w:r>
    </w:p>
    <w:p>
      <w:pPr>
        <w:spacing w:after="0" w:line="145" w:lineRule="exact"/>
        <w:rPr>
          <w:sz w:val="20"/>
          <w:szCs w:val="20"/>
          <w:color w:val="auto"/>
        </w:rPr>
      </w:pPr>
    </w:p>
    <w:p>
      <w:pPr>
        <w:ind w:left="880" w:right="120" w:firstLine="797"/>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shall have the meaning given to such term in the Plan. In addition, for an award that vests according to Cumulative Adjusted Operating Income of a Division,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consummation of a sale of all or substantially all of the assets of such Division by the Corporation to an unaffiliated third party.</w:t>
      </w:r>
    </w:p>
    <w:p>
      <w:pPr>
        <w:spacing w:after="0" w:line="180" w:lineRule="exact"/>
        <w:rPr>
          <w:sz w:val="20"/>
          <w:szCs w:val="20"/>
          <w:color w:val="auto"/>
        </w:rPr>
      </w:pPr>
    </w:p>
    <w:p>
      <w:pPr>
        <w:jc w:val="both"/>
        <w:ind w:left="880" w:right="320" w:firstLine="7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Cumulative Adjusted Operating Income</w:t>
      </w:r>
      <w:r>
        <w:rPr>
          <w:rFonts w:ascii="Arial" w:cs="Arial" w:eastAsia="Arial" w:hAnsi="Arial"/>
          <w:sz w:val="19"/>
          <w:szCs w:val="19"/>
          <w:color w:val="auto"/>
        </w:rPr>
        <w:t>” shall mean the total Operating Income of the Reporting Unit, excluding extraordinary and non-recurring items including restructuring and related charges, goodwill or fixed asset impairment charges, prepayment fees on debt, other extraordinary charges or credits, and the effects of acquisitions, and also excluding any other items that the Committee deems appropriate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 xml:space="preserve">for exclusion, for the </w:t>
      </w:r>
      <w:r>
        <w:rPr>
          <w:rFonts w:ascii="Arial" w:cs="Arial" w:eastAsia="Arial" w:hAnsi="Arial"/>
          <w:sz w:val="19"/>
          <w:szCs w:val="19"/>
          <w:b w:val="1"/>
          <w:bCs w:val="1"/>
          <w:color w:val="auto"/>
        </w:rPr>
        <w:t>[</w:t>
      </w:r>
      <w:r>
        <w:rPr>
          <w:rFonts w:ascii="Arial" w:cs="Arial" w:eastAsia="Arial" w:hAnsi="Arial"/>
          <w:sz w:val="19"/>
          <w:szCs w:val="19"/>
          <w:color w:val="auto"/>
        </w:rPr>
        <w:t>three</w:t>
      </w:r>
      <w:r>
        <w:rPr>
          <w:rFonts w:ascii="Arial" w:cs="Arial" w:eastAsia="Arial" w:hAnsi="Arial"/>
          <w:sz w:val="19"/>
          <w:szCs w:val="19"/>
          <w:b w:val="1"/>
          <w:bCs w:val="1"/>
          <w:color w:val="auto"/>
        </w:rPr>
        <w:t>]</w:t>
      </w:r>
      <w:r>
        <w:rPr>
          <w:rFonts w:ascii="Arial" w:cs="Arial" w:eastAsia="Arial" w:hAnsi="Arial"/>
          <w:sz w:val="19"/>
          <w:szCs w:val="19"/>
          <w:color w:val="auto"/>
        </w:rPr>
        <w:t xml:space="preserve"> fiscal years beginning ____________ and ending ____________ (the “</w:t>
      </w:r>
      <w:r>
        <w:rPr>
          <w:rFonts w:ascii="Arial" w:cs="Arial" w:eastAsia="Arial" w:hAnsi="Arial"/>
          <w:sz w:val="19"/>
          <w:szCs w:val="19"/>
          <w:b w:val="1"/>
          <w:bCs w:val="1"/>
          <w:color w:val="auto"/>
        </w:rPr>
        <w:t>Performance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Period</w:t>
      </w:r>
      <w:r>
        <w:rPr>
          <w:rFonts w:ascii="Arial" w:cs="Arial" w:eastAsia="Arial" w:hAnsi="Arial"/>
          <w:sz w:val="22"/>
          <w:szCs w:val="22"/>
          <w:color w:val="auto"/>
        </w:rPr>
        <w:t>”).</w:t>
      </w:r>
    </w:p>
    <w:p>
      <w:pPr>
        <w:spacing w:after="0" w:line="182" w:lineRule="exact"/>
        <w:rPr>
          <w:sz w:val="20"/>
          <w:szCs w:val="20"/>
          <w:color w:val="auto"/>
        </w:rPr>
      </w:pPr>
    </w:p>
    <w:p>
      <w:pPr>
        <w:ind w:right="20" w:firstLine="79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shall have the meaning given to such term in the primary disability benefit plan of the Corporation in which Recipient participates. In the absence of any such plan, “</w:t>
      </w:r>
      <w:r>
        <w:rPr>
          <w:rFonts w:ascii="Arial" w:cs="Arial" w:eastAsia="Arial" w:hAnsi="Arial"/>
          <w:sz w:val="19"/>
          <w:szCs w:val="19"/>
          <w:b w:val="1"/>
          <w:bCs w:val="1"/>
          <w:color w:val="auto"/>
        </w:rPr>
        <w:t>Disability</w:t>
      </w:r>
      <w:r>
        <w:rPr>
          <w:rFonts w:ascii="Arial" w:cs="Arial" w:eastAsia="Arial" w:hAnsi="Arial"/>
          <w:sz w:val="19"/>
          <w:szCs w:val="19"/>
          <w:color w:val="auto"/>
        </w:rPr>
        <w:t>” shall mean any physical or mental impairment that renders Recipient unable to perform the essential functions of Recipient’s job with the Corporation and its Subsidiaries for a period of at least 120 days, either with or without reasonable accommodation. At the Corporation’s request, Recipient shall submit to an examination by a duly licensed physician who is mutually acceptable to the Corporation and Recipient for the purpose of ascertaining the existence of a Disability, and shall authorize the physician to release the results of Recipient’s examination to the Corporation.</w:t>
      </w:r>
    </w:p>
    <w:p>
      <w:pPr>
        <w:spacing w:after="0" w:line="145" w:lineRule="exact"/>
        <w:rPr>
          <w:sz w:val="20"/>
          <w:szCs w:val="20"/>
          <w:color w:val="auto"/>
        </w:rPr>
      </w:pPr>
    </w:p>
    <w:p>
      <w:pPr>
        <w:ind w:firstLine="79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shall mean, without Recipient’s express written consent, the existence of any of the following conditions unless such conditions are fully corrected within thirty days after Recipient notifies the Corporation of the existence of such conditions as hereinafter provided:</w:t>
      </w:r>
    </w:p>
    <w:p>
      <w:pPr>
        <w:spacing w:after="0" w:line="183" w:lineRule="exact"/>
        <w:rPr>
          <w:sz w:val="20"/>
          <w:szCs w:val="20"/>
          <w:color w:val="auto"/>
        </w:rPr>
      </w:pPr>
    </w:p>
    <w:p>
      <w:pPr>
        <w:ind w:left="1680" w:hanging="891"/>
        <w:spacing w:after="0"/>
        <w:tabs>
          <w:tab w:leader="none" w:pos="16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material diminution in Recipient’s authority, duties or responsibilities;</w:t>
      </w:r>
    </w:p>
    <w:p>
      <w:pPr>
        <w:spacing w:after="0" w:line="206" w:lineRule="exact"/>
        <w:rPr>
          <w:rFonts w:ascii="Arial" w:cs="Arial" w:eastAsia="Arial" w:hAnsi="Arial"/>
          <w:sz w:val="22"/>
          <w:szCs w:val="22"/>
          <w:color w:val="auto"/>
        </w:rPr>
      </w:pPr>
    </w:p>
    <w:p>
      <w:pPr>
        <w:ind w:firstLine="789"/>
        <w:spacing w:after="0"/>
        <w:tabs>
          <w:tab w:leader="none" w:pos="1697"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material diminution in the authority, duties or responsibilities of the supervisor to whom Recipient is required to report, including a requirement that Recipient report to a Corporation officer or employee instead of reporting directly to the Corporation’s board of directors;</w:t>
      </w:r>
    </w:p>
    <w:p>
      <w:pPr>
        <w:spacing w:after="0" w:line="186" w:lineRule="exact"/>
        <w:rPr>
          <w:rFonts w:ascii="Arial" w:cs="Arial" w:eastAsia="Arial" w:hAnsi="Arial"/>
          <w:sz w:val="22"/>
          <w:szCs w:val="22"/>
          <w:color w:val="auto"/>
        </w:rPr>
      </w:pPr>
    </w:p>
    <w:p>
      <w:pPr>
        <w:ind w:right="360" w:firstLine="789"/>
        <w:spacing w:after="0" w:line="250" w:lineRule="auto"/>
        <w:tabs>
          <w:tab w:leader="none" w:pos="1685"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material diminution in Recipient’s base salary, other than as a result of across-the-board salary reductions similarly affecting all management personnel of the Corporation; or</w:t>
      </w:r>
    </w:p>
    <w:p>
      <w:pPr>
        <w:spacing w:after="0" w:line="174" w:lineRule="exact"/>
        <w:rPr>
          <w:rFonts w:ascii="Arial" w:cs="Arial" w:eastAsia="Arial" w:hAnsi="Arial"/>
          <w:sz w:val="22"/>
          <w:szCs w:val="22"/>
          <w:color w:val="auto"/>
        </w:rPr>
      </w:pPr>
    </w:p>
    <w:p>
      <w:pPr>
        <w:ind w:left="1680" w:hanging="891"/>
        <w:spacing w:after="0"/>
        <w:tabs>
          <w:tab w:leader="none" w:pos="16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material change in the geographic location at which Recipient must regularly perform services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Corporation.</w:t>
      </w:r>
    </w:p>
    <w:p>
      <w:pPr>
        <w:spacing w:after="0" w:line="188" w:lineRule="exact"/>
        <w:rPr>
          <w:sz w:val="20"/>
          <w:szCs w:val="20"/>
          <w:color w:val="auto"/>
        </w:rPr>
      </w:pPr>
    </w:p>
    <w:p>
      <w:pPr>
        <w:ind w:right="20" w:firstLine="797"/>
        <w:spacing w:after="0" w:line="282" w:lineRule="auto"/>
        <w:rPr>
          <w:sz w:val="20"/>
          <w:szCs w:val="20"/>
          <w:color w:val="auto"/>
        </w:rPr>
      </w:pPr>
      <w:r>
        <w:rPr>
          <w:rFonts w:ascii="Arial" w:cs="Arial" w:eastAsia="Arial" w:hAnsi="Arial"/>
          <w:sz w:val="19"/>
          <w:szCs w:val="19"/>
          <w:color w:val="auto"/>
        </w:rPr>
        <w:t>Recipient shall notify the Corporation that he/she believes that one or more of the conditions described above exists, and of his/her intention to terminate employment for Good Reason as a result thereof, within sixty days after the time that he/she gains knowledge of such conditions. Recipient shall not deliver a notice of termination of employment for Good Reason until thirty days after he/she delivers the notice described in the preceding sentence, and Recipient may do so only if the conditions described in such notice have not been fully corrected by the Corporation.</w:t>
      </w:r>
    </w:p>
    <w:p>
      <w:pPr>
        <w:spacing w:after="0" w:line="141" w:lineRule="exact"/>
        <w:rPr>
          <w:sz w:val="20"/>
          <w:szCs w:val="20"/>
          <w:color w:val="auto"/>
        </w:rPr>
      </w:pPr>
    </w:p>
    <w:p>
      <w:pPr>
        <w:ind w:right="240" w:firstLine="7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Income</w:t>
      </w:r>
      <w:r>
        <w:rPr>
          <w:rFonts w:ascii="Arial" w:cs="Arial" w:eastAsia="Arial" w:hAnsi="Arial"/>
          <w:sz w:val="22"/>
          <w:szCs w:val="22"/>
          <w:color w:val="auto"/>
        </w:rPr>
        <w:t>” shall mean operating income of the Reporting Unit as calculated and disclosed on the Reporting Unit’s financial statements for the fiscal years in question.</w:t>
      </w:r>
    </w:p>
    <w:p>
      <w:pPr>
        <w:spacing w:after="0" w:line="162" w:lineRule="exact"/>
        <w:rPr>
          <w:sz w:val="20"/>
          <w:szCs w:val="20"/>
          <w:color w:val="auto"/>
        </w:rPr>
      </w:pPr>
    </w:p>
    <w:p>
      <w:pPr>
        <w:ind w:right="860" w:firstLine="797"/>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Period</w:t>
      </w:r>
      <w:r>
        <w:rPr>
          <w:rFonts w:ascii="Arial" w:cs="Arial" w:eastAsia="Arial" w:hAnsi="Arial"/>
          <w:sz w:val="21"/>
          <w:szCs w:val="21"/>
          <w:color w:val="auto"/>
        </w:rPr>
        <w:t>” shall mean the period over which Cumulative Adjusted Operating Income is measured, as set forth in the definition of Cumulative Adjusted Operating Income above.</w:t>
      </w:r>
    </w:p>
    <w:p>
      <w:pPr>
        <w:spacing w:after="0" w:line="36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00" w:top="328" w:right="359" w:bottom="1440" w:gutter="0" w:footer="0" w:header="0"/>
        </w:sectPr>
      </w:pPr>
    </w:p>
    <w:bookmarkStart w:id="60" w:name="page61"/>
    <w:bookmarkEnd w:id="60"/>
    <w:p>
      <w:pPr>
        <w:ind w:left="880" w:right="20" w:firstLine="79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Peer Group Companies</w:t>
      </w:r>
      <w:r>
        <w:rPr>
          <w:rFonts w:ascii="Arial" w:cs="Arial" w:eastAsia="Arial" w:hAnsi="Arial"/>
          <w:sz w:val="19"/>
          <w:szCs w:val="19"/>
          <w:color w:val="auto"/>
        </w:rPr>
        <w:t xml:space="preserve">” shall mean the list of peer companies approved and used by the Committee to analyze the Corporation’s pay practices and compensation levels, as in effect as of the date of the Committee’s approval of the grant of Units set forth herein and identified in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attached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company identified on Exhibit A is no longer used by the Committee as a peer company as of the last day of the Performance Period because such company is no longer a public company at such time, then such company shall be excluded from the Peer Group Companies for purposes of this Agreement.]</w:t>
      </w:r>
      <w:r>
        <w:rPr>
          <w:rFonts w:ascii="Arial" w:cs="Arial" w:eastAsia="Arial" w:hAnsi="Arial"/>
          <w:sz w:val="16"/>
          <w:szCs w:val="16"/>
          <w:color w:val="auto"/>
        </w:rPr>
        <w:t>2</w:t>
      </w:r>
    </w:p>
    <w:p>
      <w:pPr>
        <w:spacing w:after="0" w:line="145"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Reporting Unit</w:t>
      </w:r>
      <w:r>
        <w:rPr>
          <w:rFonts w:ascii="Arial" w:cs="Arial" w:eastAsia="Arial" w:hAnsi="Arial"/>
          <w:sz w:val="22"/>
          <w:szCs w:val="22"/>
          <w:color w:val="auto"/>
        </w:rPr>
        <w:t>: ____________ [or the ____________ Division (the “</w:t>
      </w:r>
      <w:r>
        <w:rPr>
          <w:rFonts w:ascii="Arial" w:cs="Arial" w:eastAsia="Arial" w:hAnsi="Arial"/>
          <w:sz w:val="22"/>
          <w:szCs w:val="22"/>
          <w:b w:val="1"/>
          <w:bCs w:val="1"/>
          <w:color w:val="auto"/>
        </w:rPr>
        <w:t>Division</w:t>
      </w:r>
      <w:r>
        <w:rPr>
          <w:rFonts w:ascii="Arial" w:cs="Arial" w:eastAsia="Arial" w:hAnsi="Arial"/>
          <w:sz w:val="22"/>
          <w:szCs w:val="22"/>
          <w:color w:val="auto"/>
        </w:rPr>
        <w:t>”)]</w:t>
      </w:r>
    </w:p>
    <w:p>
      <w:pPr>
        <w:spacing w:after="0" w:line="206" w:lineRule="exact"/>
        <w:rPr>
          <w:sz w:val="20"/>
          <w:szCs w:val="20"/>
          <w:color w:val="auto"/>
        </w:rPr>
      </w:pPr>
    </w:p>
    <w:p>
      <w:pPr>
        <w:ind w:left="880" w:right="60" w:firstLine="79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Shareholder Return</w:t>
      </w:r>
      <w:r>
        <w:rPr>
          <w:rFonts w:ascii="Arial" w:cs="Arial" w:eastAsia="Arial" w:hAnsi="Arial"/>
          <w:sz w:val="22"/>
          <w:szCs w:val="22"/>
          <w:color w:val="auto"/>
        </w:rPr>
        <w:t>” (TSR) shall mean the total value at the end of a specified period of a hypothetical $100.00 investment, made at the beginning of the specified period, in a stock or index, including increases in trading value and all dividends paid during the specified period of time.]</w:t>
      </w:r>
      <w:r>
        <w:rPr>
          <w:rFonts w:ascii="Arial" w:cs="Arial" w:eastAsia="Arial" w:hAnsi="Arial"/>
          <w:sz w:val="18"/>
          <w:szCs w:val="18"/>
          <w:color w:val="auto"/>
        </w:rPr>
        <w:t>3</w:t>
      </w:r>
    </w:p>
    <w:p>
      <w:pPr>
        <w:spacing w:after="0" w:line="177"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b w:val="1"/>
          <w:bCs w:val="1"/>
          <w:color w:val="auto"/>
        </w:rPr>
        <w:t>Section 4. Settlement</w:t>
      </w:r>
      <w:r>
        <w:rPr>
          <w:rFonts w:ascii="Arial" w:cs="Arial" w:eastAsia="Arial" w:hAnsi="Arial"/>
          <w:sz w:val="19"/>
          <w:szCs w:val="19"/>
          <w:color w:val="auto"/>
        </w:rPr>
        <w:t>. As soon as reasonably practicable following (i) a determination by the Corporation that</w:t>
      </w:r>
      <w:r>
        <w:rPr>
          <w:rFonts w:ascii="Arial" w:cs="Arial" w:eastAsia="Arial" w:hAnsi="Arial"/>
          <w:sz w:val="19"/>
          <w:szCs w:val="19"/>
          <w:b w:val="1"/>
          <w:bCs w:val="1"/>
          <w:color w:val="auto"/>
        </w:rPr>
        <w:t xml:space="preserve"> </w:t>
      </w:r>
      <w:r>
        <w:rPr>
          <w:rFonts w:ascii="Arial" w:cs="Arial" w:eastAsia="Arial" w:hAnsi="Arial"/>
          <w:sz w:val="19"/>
          <w:szCs w:val="19"/>
          <w:color w:val="auto"/>
        </w:rPr>
        <w:t>all or part of the Units have vested pursuant to the terms of this Agreement, and (ii) the Corporation’s filing with the SEC of its annual report on Form 10-K that relates to the financial results for the applicable Performance Period for the Performance-Based Units granted hereunder, the Corporation shall issue directly to the Recipient shares of Common Stock with respect to all such Units that have vested. Such shares of Common Stock shall not be treated as issued and outstanding until such shares have been issued by the Corporation in accordance with all applicable laws and the Corporation’s bylaws and articles of incorporation. Any certificate(s) evidencing shares of Common Stock shall bear such legends as the Corporation shall determine to be necessary to comply with all laws, including all applicable federal and state securities laws. All such shares of Common Stock issued pursuant to this Agreement shall be fully paid and nonassessable.</w:t>
      </w:r>
    </w:p>
    <w:p>
      <w:pPr>
        <w:spacing w:after="0" w:line="150" w:lineRule="exact"/>
        <w:rPr>
          <w:sz w:val="20"/>
          <w:szCs w:val="20"/>
          <w:color w:val="auto"/>
        </w:rPr>
      </w:pPr>
    </w:p>
    <w:p>
      <w:pPr>
        <w:ind w:right="20" w:firstLine="864"/>
        <w:spacing w:after="0" w:line="274" w:lineRule="auto"/>
        <w:rPr>
          <w:sz w:val="20"/>
          <w:szCs w:val="20"/>
          <w:color w:val="auto"/>
        </w:rPr>
      </w:pPr>
      <w:r>
        <w:rPr>
          <w:rFonts w:ascii="Arial" w:cs="Arial" w:eastAsia="Arial" w:hAnsi="Arial"/>
          <w:sz w:val="19"/>
          <w:szCs w:val="19"/>
          <w:b w:val="1"/>
          <w:bCs w:val="1"/>
          <w:color w:val="auto"/>
        </w:rPr>
        <w:t>Section 5. Forfeiture</w:t>
      </w:r>
      <w:r>
        <w:rPr>
          <w:rFonts w:ascii="Arial" w:cs="Arial" w:eastAsia="Arial" w:hAnsi="Arial"/>
          <w:sz w:val="19"/>
          <w:szCs w:val="19"/>
          <w:color w:val="auto"/>
        </w:rPr>
        <w:t>. All Units that do not vest pursuant to</w:t>
      </w:r>
      <w:r>
        <w:rPr>
          <w:rFonts w:ascii="Arial" w:cs="Arial" w:eastAsia="Arial" w:hAnsi="Arial"/>
          <w:sz w:val="19"/>
          <w:szCs w:val="19"/>
          <w:b w:val="1"/>
          <w:bCs w:val="1"/>
          <w:color w:val="auto"/>
        </w:rPr>
        <w:t xml:space="preserve"> Section 2 </w:t>
      </w:r>
      <w:r>
        <w:rPr>
          <w:rFonts w:ascii="Arial" w:cs="Arial" w:eastAsia="Arial" w:hAnsi="Arial"/>
          <w:sz w:val="19"/>
          <w:szCs w:val="19"/>
          <w:color w:val="auto"/>
        </w:rPr>
        <w:t>shall automatically be cancelled and</w:t>
      </w:r>
      <w:r>
        <w:rPr>
          <w:rFonts w:ascii="Arial" w:cs="Arial" w:eastAsia="Arial" w:hAnsi="Arial"/>
          <w:sz w:val="19"/>
          <w:szCs w:val="19"/>
          <w:b w:val="1"/>
          <w:bCs w:val="1"/>
          <w:color w:val="auto"/>
        </w:rPr>
        <w:t xml:space="preserve"> </w:t>
      </w:r>
      <w:r>
        <w:rPr>
          <w:rFonts w:ascii="Arial" w:cs="Arial" w:eastAsia="Arial" w:hAnsi="Arial"/>
          <w:sz w:val="19"/>
          <w:szCs w:val="19"/>
          <w:color w:val="auto"/>
        </w:rPr>
        <w:t>forfeited by Recipient effective as of the earlier to occur of (a) with respect to the Performance-Based Units, the first day after the end of the Performance Period (to the extent that Cumulative Adjusted Operating Income for the Reporting Unit is not sufficient to cause such Performance-Based Units to vest pursuant to the terms of this Agreement), (b) the termination by Recipient of his/her employment with the Corporation or its Subsidiaries for any reason, except as otherwise determined by the Committee, in its sole discretion (for example, under circumstances in which Recipient will continue providing Services to the Corporation as a director, consultant, or independent contractor following any such termination by Recipient, or such other circumstances as determined by the Committee), or (c) the termination by the Corporation of Recipient’s employment with the Corporation or its Subsidiaries for any reason (including with or without Cause) (each such event being referred to herein as a “</w:t>
      </w:r>
      <w:r>
        <w:rPr>
          <w:rFonts w:ascii="Arial" w:cs="Arial" w:eastAsia="Arial" w:hAnsi="Arial"/>
          <w:sz w:val="19"/>
          <w:szCs w:val="19"/>
          <w:b w:val="1"/>
          <w:bCs w:val="1"/>
          <w:color w:val="auto"/>
        </w:rPr>
        <w:t>Forfeiture</w:t>
      </w:r>
      <w:r>
        <w:rPr>
          <w:rFonts w:ascii="Arial" w:cs="Arial" w:eastAsia="Arial" w:hAnsi="Arial"/>
          <w:sz w:val="19"/>
          <w:szCs w:val="19"/>
          <w:color w:val="auto"/>
        </w:rPr>
        <w:t xml:space="preserve"> </w:t>
      </w:r>
      <w:r>
        <w:rPr>
          <w:rFonts w:ascii="Arial" w:cs="Arial" w:eastAsia="Arial" w:hAnsi="Arial"/>
          <w:sz w:val="19"/>
          <w:szCs w:val="19"/>
          <w:b w:val="1"/>
          <w:bCs w:val="1"/>
          <w:color w:val="auto"/>
        </w:rPr>
        <w:t>Event</w:t>
      </w:r>
      <w:r>
        <w:rPr>
          <w:rFonts w:ascii="Arial" w:cs="Arial" w:eastAsia="Arial" w:hAnsi="Arial"/>
          <w:sz w:val="19"/>
          <w:szCs w:val="19"/>
          <w:color w:val="auto"/>
        </w:rPr>
        <w:t>”). Upon the occurrence of a Forfeiture Event, all unvested Units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2 Applies only to awards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Applies only to awards for NEOs.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shall automatically, without further action by the Corporation or Recipient, be cancelled and forfeited.</w:t>
      </w:r>
    </w:p>
    <w:p>
      <w:pPr>
        <w:spacing w:after="0" w:line="200"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Tax Matters</w:t>
      </w:r>
      <w:r>
        <w:rPr>
          <w:rFonts w:ascii="Arial" w:cs="Arial" w:eastAsia="Arial" w:hAnsi="Arial"/>
          <w:sz w:val="19"/>
          <w:szCs w:val="19"/>
          <w:color w:val="auto"/>
        </w:rPr>
        <w:t>.</w:t>
      </w:r>
    </w:p>
    <w:p>
      <w:pPr>
        <w:spacing w:after="0" w:line="212" w:lineRule="exact"/>
        <w:rPr>
          <w:sz w:val="20"/>
          <w:szCs w:val="20"/>
          <w:color w:val="auto"/>
        </w:rPr>
      </w:pPr>
    </w:p>
    <w:p>
      <w:pPr>
        <w:ind w:left="880" w:firstLine="789"/>
        <w:spacing w:after="0" w:line="244" w:lineRule="auto"/>
        <w:tabs>
          <w:tab w:leader="none" w:pos="2565" w:val="left"/>
        </w:tabs>
        <w:numPr>
          <w:ilvl w:val="0"/>
          <w:numId w:val="30"/>
        </w:numPr>
        <w:rPr>
          <w:rFonts w:ascii="Arial" w:cs="Arial" w:eastAsia="Arial" w:hAnsi="Arial"/>
          <w:sz w:val="21"/>
          <w:szCs w:val="21"/>
          <w:color w:val="auto"/>
        </w:rPr>
      </w:pPr>
      <w:r>
        <w:rPr>
          <w:rFonts w:ascii="Arial" w:cs="Arial" w:eastAsia="Arial" w:hAnsi="Arial"/>
          <w:sz w:val="21"/>
          <w:szCs w:val="21"/>
          <w:color w:val="auto"/>
        </w:rPr>
        <w:t>Recipient shall promptly pay to the Corporation all federal, state and local income, social security and payroll taxes of any kind required by law to be withheld with respect to the vesting of any Units and the issuance of shares of Common Stock in respect thereof. Subject to the approval of the Committee, Recipient may elect to satisfy this obligation by having the Corporation withhold shares of Common Stock that would otherwise be issued to Recipient with respect to any Units that have vested, which shares of Common Stock shall have a Fair Market Value (as of the date that the amount of the withholding requirement is to be determined) equal to the amount of such withholding requirement. If Recipient fails to make such payments as required (whether in cash or having shares of Common Stock withheld), the Corporation shall, to the extent permitted by law, have the right to deduct from any payment of any kind otherwise due to Recipient all federal, state and local income, social security and payroll taxes of any kind required by law to be withheld with respect to the vesting of Units and the issuance of shares of Common Stock in respect thereof.</w:t>
      </w:r>
    </w:p>
    <w:p>
      <w:pPr>
        <w:spacing w:after="0" w:line="188" w:lineRule="exact"/>
        <w:rPr>
          <w:rFonts w:ascii="Arial" w:cs="Arial" w:eastAsia="Arial" w:hAnsi="Arial"/>
          <w:sz w:val="21"/>
          <w:szCs w:val="21"/>
          <w:color w:val="auto"/>
        </w:rPr>
      </w:pPr>
    </w:p>
    <w:p>
      <w:pPr>
        <w:ind w:left="880" w:right="60" w:firstLine="789"/>
        <w:spacing w:after="0" w:line="273" w:lineRule="auto"/>
        <w:tabs>
          <w:tab w:leader="none" w:pos="2577"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if a Change of Control occurs and if Recipient is entitled under any agreement or arrangement (including, without limitation, this Agreement) to receive compensation that would constitute a parachute payment (including, without limitation, the vesting of any rights) within the meaning of Section 280G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but for the operation of this sentence, then the amount of all such payments shall be reduced, as determined by the Corporation, to the extent necessary to cause the aggregate present value of all payments in the nature of compensation to Recipient that are contingent on a change in the ownership or effective control of the Corporation, or in the ownership of a substantial portion of the assets of the Corporation, not to exceed 2.99 times Recipient’s “base amount,” all within the meaning of Section 280G of the Code and the regulations promulgated thereunder. The parties intend for the immediately preceding sentence to be interpreted and applied so as to prevent Recipient from receiving, with respect to a Change of Control, an excess parachute payment within the meaning of Section 280G of the Code.</w:t>
      </w:r>
    </w:p>
    <w:p>
      <w:pPr>
        <w:spacing w:after="0" w:line="149"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Clawback</w:t>
      </w:r>
      <w:r>
        <w:rPr>
          <w:rFonts w:ascii="Arial" w:cs="Arial" w:eastAsia="Arial" w:hAnsi="Arial"/>
          <w:sz w:val="19"/>
          <w:szCs w:val="19"/>
          <w:color w:val="auto"/>
        </w:rPr>
        <w:t>.</w:t>
      </w:r>
    </w:p>
    <w:p>
      <w:pPr>
        <w:spacing w:after="0" w:line="212" w:lineRule="exact"/>
        <w:rPr>
          <w:sz w:val="20"/>
          <w:szCs w:val="20"/>
          <w:color w:val="auto"/>
        </w:rPr>
      </w:pPr>
    </w:p>
    <w:p>
      <w:pPr>
        <w:ind w:left="880" w:right="60" w:firstLine="789"/>
        <w:spacing w:after="0" w:line="279" w:lineRule="auto"/>
        <w:tabs>
          <w:tab w:leader="none" w:pos="2565"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the Corporation’s reported financial or operating results become subject to a material negative restatement, the Committee may require Recipient to pay to the Corporation an amount corresponding to each award to the Recipient under this Agreement, or otherwise return such Units or Common Stock, that the Committee determines would not have been vested or paid if the Corporation’s results as originally published had been equal to the Corporation’s results as subsequently restated; provided that any requirement or claim under this Section 7(a) must be made, if at all, within five years after the date the amount claimed was originally vested or paid, whichever is later.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2" w:name="page63"/>
    <w:bookmarkEnd w:id="62"/>
    <w:p>
      <w:pPr>
        <w:ind w:left="8" w:firstLine="797"/>
        <w:spacing w:after="0" w:line="271" w:lineRule="auto"/>
        <w:rPr>
          <w:sz w:val="20"/>
          <w:szCs w:val="20"/>
          <w:color w:val="auto"/>
        </w:rPr>
      </w:pPr>
      <w:r>
        <w:rPr>
          <w:rFonts w:ascii="Arial" w:cs="Arial" w:eastAsia="Arial" w:hAnsi="Arial"/>
          <w:sz w:val="19"/>
          <w:szCs w:val="19"/>
          <w:color w:val="auto"/>
        </w:rPr>
        <w:t>In the alternative, the Committee may require Recipient to repay or return compensation awarded hereunder pursuant to such rules as may be adopted from time to time pursuant to Section 954 of the Dodd-Frank Wall Street Reform and Consumer Protection Act, to the extent applicable. By acceptance of any award or Units hereunder, Recipient expressly acknowledges and agrees that any and all Units or Common Stock, as well as the equivalent cash value thereof with respect to any and all such Units or Common Stock, that have become vested, exercised, free of restriction or otherwise released to and/or monetized by or for the benefit of the Recipient or any transferee or assignee thereof (collectively, the “</w:t>
      </w:r>
      <w:r>
        <w:rPr>
          <w:rFonts w:ascii="Arial" w:cs="Arial" w:eastAsia="Arial" w:hAnsi="Arial"/>
          <w:sz w:val="19"/>
          <w:szCs w:val="19"/>
          <w:b w:val="1"/>
          <w:bCs w:val="1"/>
          <w:color w:val="auto"/>
        </w:rPr>
        <w:t>Award-Equivalent Value</w:t>
      </w:r>
      <w:r>
        <w:rPr>
          <w:rFonts w:ascii="Arial" w:cs="Arial" w:eastAsia="Arial" w:hAnsi="Arial"/>
          <w:sz w:val="19"/>
          <w:szCs w:val="19"/>
          <w:color w:val="auto"/>
        </w:rPr>
        <w:t>”), are and will be fully subject to the terms of any policy regarding repayment, recoupment or clawback of compensation now or hereafter adopted by the Corporation in response to the requirements of the Dodd-Frank Wall Street Reform and Consumer Protection Act, rulemaking of the Securities and Exchange Commission or otherwise. Recipient acknowledges and agrees that any such policy will apply to any and all Units or Common Stock, and Award-Equivalent Value in accordance with its terms, whether retroactively or prospectively, and agrees to cooperate fully with the Corporation to facilitate the recovery of any Units or Common Stock and/or Award-Equivalent Value that the Committee determines in its sole discretion is required to be recovered pursuant to the terms of such policy.</w:t>
      </w:r>
    </w:p>
    <w:p>
      <w:pPr>
        <w:spacing w:after="0" w:line="200" w:lineRule="exact"/>
        <w:rPr>
          <w:sz w:val="20"/>
          <w:szCs w:val="20"/>
          <w:color w:val="auto"/>
        </w:rPr>
      </w:pPr>
    </w:p>
    <w:p>
      <w:pPr>
        <w:spacing w:after="0" w:line="211" w:lineRule="exact"/>
        <w:rPr>
          <w:sz w:val="20"/>
          <w:szCs w:val="20"/>
          <w:color w:val="auto"/>
        </w:rPr>
      </w:pPr>
    </w:p>
    <w:p>
      <w:pPr>
        <w:jc w:val="center"/>
        <w:ind w:right="112"/>
        <w:spacing w:after="0"/>
        <w:rPr>
          <w:sz w:val="20"/>
          <w:szCs w:val="20"/>
          <w:color w:val="auto"/>
        </w:rPr>
      </w:pPr>
      <w:r>
        <w:rPr>
          <w:rFonts w:ascii="Arial" w:cs="Arial" w:eastAsia="Arial" w:hAnsi="Arial"/>
          <w:sz w:val="22"/>
          <w:szCs w:val="22"/>
          <w:color w:val="auto"/>
        </w:rPr>
        <w:t>The obligations of Recipient to make payments or return Common Stock under this Section 7(a) are</w:t>
      </w:r>
    </w:p>
    <w:p>
      <w:pPr>
        <w:spacing w:after="0" w:line="8" w:lineRule="exact"/>
        <w:rPr>
          <w:sz w:val="20"/>
          <w:szCs w:val="20"/>
          <w:color w:val="auto"/>
        </w:rPr>
      </w:pPr>
    </w:p>
    <w:p>
      <w:pPr>
        <w:jc w:val="center"/>
        <w:ind w:right="92"/>
        <w:spacing w:after="0"/>
        <w:rPr>
          <w:sz w:val="20"/>
          <w:szCs w:val="20"/>
          <w:color w:val="auto"/>
        </w:rPr>
      </w:pPr>
      <w:r>
        <w:rPr>
          <w:rFonts w:ascii="Arial" w:cs="Arial" w:eastAsia="Arial" w:hAnsi="Arial"/>
          <w:sz w:val="19"/>
          <w:szCs w:val="19"/>
          <w:color w:val="auto"/>
        </w:rPr>
        <w:t>independent of any involvement by such Recipient in events that led to the restatement. The provisions of this Section</w:t>
      </w:r>
    </w:p>
    <w:p>
      <w:pPr>
        <w:spacing w:after="0" w:line="25" w:lineRule="exact"/>
        <w:rPr>
          <w:sz w:val="20"/>
          <w:szCs w:val="20"/>
          <w:color w:val="auto"/>
        </w:rPr>
      </w:pPr>
    </w:p>
    <w:p>
      <w:pPr>
        <w:ind w:left="8" w:right="20" w:hanging="8"/>
        <w:spacing w:after="0" w:line="236" w:lineRule="auto"/>
        <w:tabs>
          <w:tab w:leader="none" w:pos="302" w:val="left"/>
        </w:tabs>
        <w:numPr>
          <w:ilvl w:val="0"/>
          <w:numId w:val="32"/>
        </w:numPr>
        <w:rPr>
          <w:rFonts w:ascii="Arial" w:cs="Arial" w:eastAsia="Arial" w:hAnsi="Arial"/>
          <w:sz w:val="22"/>
          <w:szCs w:val="22"/>
          <w:color w:val="auto"/>
        </w:rPr>
      </w:pPr>
      <w:r>
        <w:rPr>
          <w:rFonts w:ascii="Arial" w:cs="Arial" w:eastAsia="Arial" w:hAnsi="Arial"/>
          <w:sz w:val="22"/>
          <w:szCs w:val="22"/>
          <w:color w:val="auto"/>
        </w:rPr>
        <w:t>are in addition to, not in lieu of, any remedies that the Corporation may have against any persons whose misconduct caused or contributed to a need to restate the Corporation’s reported results.</w:t>
      </w:r>
    </w:p>
    <w:p>
      <w:pPr>
        <w:spacing w:after="0" w:line="186" w:lineRule="exact"/>
        <w:rPr>
          <w:rFonts w:ascii="Arial" w:cs="Arial" w:eastAsia="Arial" w:hAnsi="Arial"/>
          <w:sz w:val="22"/>
          <w:szCs w:val="22"/>
          <w:color w:val="auto"/>
        </w:rPr>
      </w:pPr>
    </w:p>
    <w:p>
      <w:pPr>
        <w:ind w:left="8" w:right="40" w:firstLine="789"/>
        <w:spacing w:after="0" w:line="245" w:lineRule="auto"/>
        <w:tabs>
          <w:tab w:leader="none" w:pos="1705" w:val="left"/>
        </w:tabs>
        <w:numPr>
          <w:ilvl w:val="1"/>
          <w:numId w:val="32"/>
        </w:numPr>
        <w:rPr>
          <w:rFonts w:ascii="Arial" w:cs="Arial" w:eastAsia="Arial" w:hAnsi="Arial"/>
          <w:sz w:val="21"/>
          <w:szCs w:val="21"/>
          <w:color w:val="auto"/>
        </w:rPr>
      </w:pPr>
      <w:r>
        <w:rPr>
          <w:rFonts w:ascii="Arial" w:cs="Arial" w:eastAsia="Arial" w:hAnsi="Arial"/>
          <w:sz w:val="21"/>
          <w:szCs w:val="21"/>
          <w:color w:val="auto"/>
        </w:rPr>
        <w:t>If at any time within three years of the vesting or payment of any award to Recipient under this Agreement, whichever is later, Recipient’s employment is terminated for Cause (or, if such termination is deemed not to be for Cause, but the Corporation determines at any time during such three-year period that the Corporation could have terminated Recipient’s employment for Cause based on Recipient’s conduct during his or her time of employment with the Corporation), then if any part of the underlying conduct giving rise to such determination of Cause by the Corporation took place at any time during the applicable vesting period for each such award, as specified in this Agreement, then the Committee may require Recipient to pay to the Corporation an amount corresponding to each award that vested or was paid to Recipient pursuant to this Agreement, or to otherwise return such Units or Common Stock.</w:t>
      </w:r>
    </w:p>
    <w:p>
      <w:pPr>
        <w:spacing w:after="0" w:line="184" w:lineRule="exact"/>
        <w:rPr>
          <w:sz w:val="20"/>
          <w:szCs w:val="20"/>
          <w:color w:val="auto"/>
        </w:rPr>
      </w:pPr>
    </w:p>
    <w:p>
      <w:pPr>
        <w:ind w:left="8" w:firstLine="797"/>
        <w:spacing w:after="0" w:line="236" w:lineRule="auto"/>
        <w:rPr>
          <w:sz w:val="20"/>
          <w:szCs w:val="20"/>
          <w:color w:val="auto"/>
        </w:rPr>
      </w:pPr>
      <w:r>
        <w:rPr>
          <w:rFonts w:ascii="Arial" w:cs="Arial" w:eastAsia="Arial" w:hAnsi="Arial"/>
          <w:sz w:val="22"/>
          <w:szCs w:val="22"/>
          <w:color w:val="auto"/>
        </w:rPr>
        <w:t>By acceptance of any award or Units hereunder, Recipient expressly acknowledges and agrees that any and all Units or Common Stock, as well as the Award-Equivalent Value thereof, are and will be fully subject to the terms of the foregoing clawback provision, and agrees to cooperate fully with the Corporation to facilitate the recovery of any Units or Common Stock and/or Award-Equivalent Value that the Committee requires to be recovered pursuant to the foregoing.</w:t>
      </w:r>
    </w:p>
    <w:p>
      <w:pPr>
        <w:spacing w:after="0" w:line="200" w:lineRule="exact"/>
        <w:rPr>
          <w:sz w:val="20"/>
          <w:szCs w:val="20"/>
          <w:color w:val="auto"/>
        </w:rPr>
      </w:pPr>
    </w:p>
    <w:p>
      <w:pPr>
        <w:spacing w:after="0" w:line="203" w:lineRule="exact"/>
        <w:rPr>
          <w:sz w:val="20"/>
          <w:szCs w:val="20"/>
          <w:color w:val="auto"/>
        </w:rPr>
      </w:pPr>
    </w:p>
    <w:p>
      <w:pPr>
        <w:ind w:left="4708"/>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8"/>
          </w:cols>
          <w:pgMar w:left="1192" w:top="334" w:right="359" w:bottom="1440" w:gutter="0" w:footer="0" w:header="0"/>
        </w:sectPr>
      </w:pPr>
    </w:p>
    <w:bookmarkStart w:id="63" w:name="page64"/>
    <w:bookmarkEnd w:id="63"/>
    <w:p>
      <w:pPr>
        <w:spacing w:after="0"/>
        <w:tabs>
          <w:tab w:leader="none" w:pos="15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Miscellaneous</w:t>
      </w:r>
      <w:r>
        <w:rPr>
          <w:rFonts w:ascii="Arial" w:cs="Arial" w:eastAsia="Arial" w:hAnsi="Arial"/>
          <w:sz w:val="19"/>
          <w:szCs w:val="19"/>
          <w:color w:val="auto"/>
        </w:rPr>
        <w:t>.</w:t>
      </w:r>
    </w:p>
    <w:p>
      <w:pPr>
        <w:spacing w:after="0" w:line="206" w:lineRule="exact"/>
        <w:rPr>
          <w:sz w:val="20"/>
          <w:szCs w:val="20"/>
          <w:color w:val="auto"/>
        </w:rPr>
      </w:pPr>
    </w:p>
    <w:p>
      <w:pPr>
        <w:ind w:right="360" w:firstLine="789"/>
        <w:spacing w:after="0" w:line="243" w:lineRule="auto"/>
        <w:tabs>
          <w:tab w:leader="none" w:pos="1685"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construed, administered and governed in all respects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and by the applicable internal laws of the State of North Carolina, without giving effect to the principles of conflicts of laws thereof.</w:t>
      </w:r>
    </w:p>
    <w:p>
      <w:pPr>
        <w:spacing w:after="0" w:line="176" w:lineRule="exact"/>
        <w:rPr>
          <w:rFonts w:ascii="Arial" w:cs="Arial" w:eastAsia="Arial" w:hAnsi="Arial"/>
          <w:sz w:val="22"/>
          <w:szCs w:val="22"/>
          <w:color w:val="auto"/>
        </w:rPr>
      </w:pPr>
    </w:p>
    <w:p>
      <w:pPr>
        <w:ind w:right="220" w:firstLine="789"/>
        <w:spacing w:after="0" w:line="280" w:lineRule="auto"/>
        <w:tabs>
          <w:tab w:leader="none" w:pos="1697"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Entire Agreement; Amendment and Waiver</w:t>
      </w:r>
      <w:r>
        <w:rPr>
          <w:rFonts w:ascii="Arial" w:cs="Arial" w:eastAsia="Arial" w:hAnsi="Arial"/>
          <w:sz w:val="19"/>
          <w:szCs w:val="19"/>
          <w:color w:val="auto"/>
        </w:rPr>
        <w:t>. This Agreement and the Units granted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the terms of the Plan, which hereby is incorporated into this Agreement as though set forth in full herein. Recipient hereby acknowledges receipt of a copy of the Plan. This Agreement and the Plan reflect the entire agreement between the parties hereto and supersede any prior or contemporaneous written or oral understanding or agreement regarding the subject matter hereof. This Agreement may not be modified, amended, supplemented or waived except by a writing signed by the parties hereto, and such writing must refer specifically to this Agreement.</w:t>
      </w:r>
    </w:p>
    <w:p>
      <w:pPr>
        <w:spacing w:after="0" w:line="144" w:lineRule="exact"/>
        <w:rPr>
          <w:rFonts w:ascii="Arial" w:cs="Arial" w:eastAsia="Arial" w:hAnsi="Arial"/>
          <w:sz w:val="19"/>
          <w:szCs w:val="19"/>
          <w:color w:val="auto"/>
        </w:rPr>
      </w:pPr>
    </w:p>
    <w:p>
      <w:pPr>
        <w:ind w:right="460" w:firstLine="789"/>
        <w:spacing w:after="0" w:line="251" w:lineRule="auto"/>
        <w:tabs>
          <w:tab w:leader="none" w:pos="1685"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Assignment; Binding Effect</w:t>
      </w:r>
      <w:r>
        <w:rPr>
          <w:rFonts w:ascii="Arial" w:cs="Arial" w:eastAsia="Arial" w:hAnsi="Arial"/>
          <w:sz w:val="21"/>
          <w:szCs w:val="21"/>
          <w:color w:val="auto"/>
        </w:rPr>
        <w:t>. Except as permitted by the Plan, this Agreement and the Units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granted hereunder may not be assigned, pledged, hypothecated or transferred by Recipient in any manner. This Agreement, as amended from time to time, shall be binding upon, inure to the benefit of and be enforceable by the heirs, successors and assigns of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provision shall not permit any assignment in contravention of the terms contained elsewhere herein.</w:t>
      </w:r>
    </w:p>
    <w:p>
      <w:pPr>
        <w:spacing w:after="0" w:line="168" w:lineRule="exact"/>
        <w:rPr>
          <w:rFonts w:ascii="Arial" w:cs="Arial" w:eastAsia="Arial" w:hAnsi="Arial"/>
          <w:sz w:val="21"/>
          <w:szCs w:val="21"/>
          <w:color w:val="auto"/>
        </w:rPr>
      </w:pPr>
    </w:p>
    <w:p>
      <w:pPr>
        <w:ind w:right="600" w:firstLine="789"/>
        <w:spacing w:after="0" w:line="256" w:lineRule="auto"/>
        <w:tabs>
          <w:tab w:leader="none" w:pos="1697"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No Right to Employment</w:t>
      </w:r>
      <w:r>
        <w:rPr>
          <w:rFonts w:ascii="Arial" w:cs="Arial" w:eastAsia="Arial" w:hAnsi="Arial"/>
          <w:sz w:val="22"/>
          <w:szCs w:val="22"/>
          <w:color w:val="auto"/>
        </w:rPr>
        <w:t>. Nothing in this Agreement shall confer on Recipient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in the employ of the Corporation or any of its Subsidiaries.</w:t>
      </w:r>
    </w:p>
    <w:p>
      <w:pPr>
        <w:spacing w:after="0" w:line="162" w:lineRule="exact"/>
        <w:rPr>
          <w:rFonts w:ascii="Arial" w:cs="Arial" w:eastAsia="Arial" w:hAnsi="Arial"/>
          <w:sz w:val="22"/>
          <w:szCs w:val="22"/>
          <w:color w:val="auto"/>
        </w:rPr>
      </w:pPr>
    </w:p>
    <w:p>
      <w:pPr>
        <w:ind w:firstLine="789"/>
        <w:spacing w:after="0" w:line="235" w:lineRule="auto"/>
        <w:tabs>
          <w:tab w:leader="none" w:pos="1685"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each of which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an original, but all of which together shall constitute one and the same instrument. Delivery of an executed counterpart of this Agreement by facsimile or other electronic device shall be equally as effective as delivery of an original executed counterpart of this Agreement. Any party delivering an executed counterpart of this Agreement by facsimile or other electronic device shall also deliver an original executed counterpart of this Agreement, but the failure to deliver an original executed counterpart of this Agreement shall not affect the validity, enforceability and binding effect of this Agreement.</w:t>
      </w:r>
    </w:p>
    <w:p>
      <w:pPr>
        <w:spacing w:after="0" w:line="183" w:lineRule="exact"/>
        <w:rPr>
          <w:rFonts w:ascii="Arial" w:cs="Arial" w:eastAsia="Arial" w:hAnsi="Arial"/>
          <w:sz w:val="22"/>
          <w:szCs w:val="22"/>
          <w:color w:val="auto"/>
        </w:rPr>
      </w:pPr>
    </w:p>
    <w:p>
      <w:pPr>
        <w:ind w:firstLine="789"/>
        <w:spacing w:after="0" w:line="280" w:lineRule="auto"/>
        <w:tabs>
          <w:tab w:leader="none" w:pos="1661"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hereunder to the Corporation shall be addressed to the Corporation’s principal</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 Attention: Compensation Committee, and any notice hereunder to Recipient shall be addressed to Recipient at his/her last address in the records of the Corporation, subject to the right of either party to designate at any time hereafter in writing a different address. Any notice shall be deemed to have been given when delivered personally, one (1) day after dispatch if sent by reputable overnight courier, fees prepaid, or three (3) days following mailing if sent by registered mail, return receipt requested, postage prepaid and addressed as set forth above.</w:t>
      </w:r>
    </w:p>
    <w:p>
      <w:pPr>
        <w:spacing w:after="0" w:line="151"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[Signature page is the next page.]</w:t>
      </w: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00" w:top="328" w:right="35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Agreement has been duly executed as of the date first written above.</w:t>
      </w:r>
    </w:p>
    <w:p>
      <w:pPr>
        <w:spacing w:after="0" w:line="241"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CULP, INC.</w:t>
      </w:r>
      <w:r>
        <w:rPr>
          <w:rFonts w:ascii="Arial" w:cs="Arial" w:eastAsia="Arial" w:hAnsi="Arial"/>
          <w:sz w:val="22"/>
          <w:szCs w:val="22"/>
          <w:color w:val="auto"/>
        </w:rPr>
        <w:t>,</w:t>
      </w:r>
    </w:p>
    <w:p>
      <w:pPr>
        <w:spacing w:after="0" w:line="1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 North Carolina corporation</w:t>
      </w:r>
    </w:p>
    <w:p>
      <w:pPr>
        <w:spacing w:after="0" w:line="18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6985</wp:posOffset>
            </wp:positionV>
            <wp:extent cx="30257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-3175</wp:posOffset>
            </wp:positionV>
            <wp:extent cx="2631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-3175</wp:posOffset>
            </wp:positionV>
            <wp:extent cx="26314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7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431165</wp:posOffset>
            </wp:positionV>
            <wp:extent cx="21342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285115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328" w:right="1440" w:bottom="1440" w:gutter="0" w:footer="0" w:header="0"/>
        </w:sectPr>
      </w:pPr>
    </w:p>
    <w:bookmarkStart w:id="65" w:name="page66"/>
    <w:bookmarkEnd w:id="65"/>
    <w:p>
      <w:pPr>
        <w:jc w:val="center"/>
        <w:ind w:right="-11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Peer Group Companies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[_______]</w:t>
      </w:r>
    </w:p>
    <w:p>
      <w:pPr>
        <w:spacing w:after="0" w:line="200" w:lineRule="exact"/>
        <w:rPr>
          <w:sz w:val="20"/>
          <w:szCs w:val="20"/>
          <w:color w:val="auto"/>
        </w:rPr>
      </w:pPr>
    </w:p>
    <w:p>
      <w:pPr>
        <w:spacing w:after="0" w:line="22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39"/>
          </w:cols>
          <w:pgMar w:left="320" w:top="544"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2021</w:t>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2021</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44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August 1, 2021, as filed with the Securities and Exchange Commission on the date hereof (the “Report”), I, Robert G. Culp, IV,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August 1, 2021, as filed with the Securities and Exchange Commission on the date hereof (the “Report”), I, Kenneth R. Bowling,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2021</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3"/>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5"/>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2"/>
    </w:lvl>
  </w:abstractNum>
  <w:abstractNum w:abstractNumId="25">
    <w:nsid w:val="737B8DDC"/>
    <w:multiLevelType w:val="hybridMultilevel"/>
    <w:lvl w:ilvl="0">
      <w:lvlJc w:val="left"/>
      <w:lvlText w:val="(%1)"/>
      <w:numFmt w:val="lowerLetter"/>
      <w:start w:val="4"/>
    </w:lvl>
    <w:lvl w:ilvl="1">
      <w:lvlJc w:val="left"/>
      <w:lvlText w:val="(%2)"/>
      <w:numFmt w:val="lowerLetter"/>
      <w:start w:val="9"/>
    </w:lvl>
  </w:abstractNum>
  <w:abstractNum w:abstractNumId="26">
    <w:nsid w:val="6CEAF087"/>
    <w:multiLevelType w:val="hybridMultilevel"/>
    <w:lvl w:ilvl="0">
      <w:lvlJc w:val="left"/>
      <w:lvlText w:val="(%1)"/>
      <w:numFmt w:val="lowerRoman"/>
      <w:start w:val="2"/>
    </w:lvl>
  </w:abstractNum>
  <w:abstractNum w:abstractNumId="27">
    <w:nsid w:val="22221A70"/>
    <w:multiLevelType w:val="hybridMultilevel"/>
    <w:lvl w:ilvl="0">
      <w:lvlJc w:val="left"/>
      <w:lvlText w:val="(%1)"/>
      <w:numFmt w:val="lowerRoman"/>
      <w:start w:val="3"/>
    </w:lvl>
    <w:lvl w:ilvl="1">
      <w:lvlJc w:val="left"/>
      <w:lvlText w:val="(%2)"/>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lvl w:ilvl="1">
      <w:lvlJc w:val="left"/>
      <w:lvlText w:val="(%2)"/>
      <w:numFmt w:val="lowerLetter"/>
      <w:start w:val="2"/>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2021-09-10T12:15:38Z</dcterms:created>
  <dcterms:modified xsi:type="dcterms:W3CDTF">2021-09-10T12:15:38Z</dcterms:modified>
</cp:coreProperties>
</file>