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i w:val="1"/>
          <w:iCs w:val="1"/>
          <w:color w:val="auto"/>
        </w:rPr>
        <w:t>FORM 1O-K</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ANNUAL REPORT 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May 3,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1-12597</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CULP,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100" w:type="dxa"/>
            <w:vAlign w:val="bottom"/>
          </w:tcPr>
          <w:p>
            <w:pPr>
              <w:jc w:val="center"/>
              <w:ind w:right="50"/>
              <w:spacing w:after="0"/>
              <w:rPr>
                <w:sz w:val="20"/>
                <w:szCs w:val="20"/>
                <w:color w:val="auto"/>
              </w:rPr>
            </w:pPr>
            <w:r>
              <w:rPr>
                <w:rFonts w:ascii="Arial" w:cs="Arial" w:eastAsia="Arial" w:hAnsi="Arial"/>
                <w:sz w:val="18"/>
                <w:szCs w:val="18"/>
                <w:b w:val="1"/>
                <w:bCs w:val="1"/>
                <w:color w:val="auto"/>
              </w:rPr>
              <w:t>NORTH CAROLINA</w:t>
            </w:r>
          </w:p>
        </w:tc>
        <w:tc>
          <w:tcPr>
            <w:tcW w:w="480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56-1001967</w:t>
            </w:r>
          </w:p>
        </w:tc>
        <w:tc>
          <w:tcPr>
            <w:tcW w:w="0" w:type="dxa"/>
            <w:vAlign w:val="bottom"/>
          </w:tcPr>
          <w:p>
            <w:pPr>
              <w:spacing w:after="0"/>
              <w:rPr>
                <w:sz w:val="1"/>
                <w:szCs w:val="1"/>
                <w:color w:val="auto"/>
              </w:rPr>
            </w:pPr>
          </w:p>
        </w:tc>
      </w:tr>
      <w:tr>
        <w:trPr>
          <w:trHeight w:val="216"/>
        </w:trPr>
        <w:tc>
          <w:tcPr>
            <w:tcW w:w="410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w:t>
            </w:r>
          </w:p>
        </w:tc>
        <w:tc>
          <w:tcPr>
            <w:tcW w:w="4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jc w:val="center"/>
              <w:ind w:right="70"/>
              <w:spacing w:after="0"/>
              <w:rPr>
                <w:sz w:val="20"/>
                <w:szCs w:val="20"/>
                <w:color w:val="auto"/>
              </w:rPr>
            </w:pPr>
            <w:r>
              <w:rPr>
                <w:rFonts w:ascii="Arial" w:cs="Arial" w:eastAsia="Arial" w:hAnsi="Arial"/>
                <w:sz w:val="18"/>
                <w:szCs w:val="18"/>
                <w:color w:val="auto"/>
                <w:w w:val="92"/>
              </w:rPr>
              <w:t>incorporation or other organization)</w:t>
            </w:r>
          </w:p>
        </w:tc>
        <w:tc>
          <w:tcPr>
            <w:tcW w:w="4800" w:type="dxa"/>
            <w:vAlign w:val="bottom"/>
          </w:tcPr>
          <w:p>
            <w:pPr>
              <w:jc w:val="center"/>
              <w:ind w:left="20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23"/>
        </w:trPr>
        <w:tc>
          <w:tcPr>
            <w:tcW w:w="4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1823 Eastchester Drive, High Point, North Carolina</w:t>
            </w:r>
          </w:p>
        </w:tc>
        <w:tc>
          <w:tcPr>
            <w:tcW w:w="4800" w:type="dxa"/>
            <w:vAlign w:val="bottom"/>
          </w:tcPr>
          <w:p>
            <w:pPr>
              <w:jc w:val="right"/>
              <w:ind w:right="990"/>
              <w:spacing w:after="0"/>
              <w:rPr>
                <w:sz w:val="20"/>
                <w:szCs w:val="20"/>
                <w:color w:val="auto"/>
              </w:rPr>
            </w:pPr>
            <w:r>
              <w:rPr>
                <w:rFonts w:ascii="Arial" w:cs="Arial" w:eastAsia="Arial" w:hAnsi="Arial"/>
                <w:sz w:val="18"/>
                <w:szCs w:val="18"/>
                <w:b w:val="1"/>
                <w:bCs w:val="1"/>
                <w:color w:val="auto"/>
              </w:rPr>
              <w:t>27265</w:t>
            </w:r>
          </w:p>
        </w:tc>
        <w:tc>
          <w:tcPr>
            <w:tcW w:w="0" w:type="dxa"/>
            <w:vAlign w:val="bottom"/>
          </w:tcPr>
          <w:p>
            <w:pPr>
              <w:spacing w:after="0"/>
              <w:rPr>
                <w:sz w:val="1"/>
                <w:szCs w:val="1"/>
                <w:color w:val="auto"/>
              </w:rPr>
            </w:pPr>
          </w:p>
        </w:tc>
      </w:tr>
      <w:tr>
        <w:trPr>
          <w:trHeight w:val="244"/>
        </w:trPr>
        <w:tc>
          <w:tcPr>
            <w:tcW w:w="41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4800" w:type="dxa"/>
            <w:vAlign w:val="bottom"/>
          </w:tcPr>
          <w:p>
            <w:pPr>
              <w:jc w:val="center"/>
              <w:ind w:left="209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4800" w:type="dxa"/>
            <w:vAlign w:val="bottom"/>
          </w:tcPr>
          <w:p>
            <w:pPr>
              <w:jc w:val="right"/>
              <w:ind w:right="3470"/>
              <w:spacing w:after="0"/>
              <w:rPr>
                <w:sz w:val="20"/>
                <w:szCs w:val="20"/>
                <w:color w:val="auto"/>
              </w:rPr>
            </w:pPr>
            <w:r>
              <w:rPr>
                <w:rFonts w:ascii="Arial" w:cs="Arial" w:eastAsia="Arial" w:hAnsi="Arial"/>
                <w:sz w:val="18"/>
                <w:szCs w:val="18"/>
                <w:b w:val="1"/>
                <w:bCs w:val="1"/>
                <w:color w:val="auto"/>
                <w:w w:val="99"/>
              </w:rPr>
              <w:t>(336) 889-5161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6"/>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Name of Each Exchange</w:t>
            </w:r>
          </w:p>
        </w:tc>
      </w:tr>
      <w:tr>
        <w:trPr>
          <w:trHeight w:val="190"/>
        </w:trPr>
        <w:tc>
          <w:tcPr>
            <w:tcW w:w="2760" w:type="dxa"/>
            <w:vAlign w:val="bottom"/>
            <w:gridSpan w:val="3"/>
          </w:tcPr>
          <w:p>
            <w:pPr>
              <w:ind w:left="700"/>
              <w:spacing w:after="0" w:line="190" w:lineRule="exact"/>
              <w:rPr>
                <w:sz w:val="20"/>
                <w:szCs w:val="20"/>
                <w:color w:val="auto"/>
              </w:rPr>
            </w:pPr>
            <w:r>
              <w:rPr>
                <w:rFonts w:ascii="Arial" w:cs="Arial" w:eastAsia="Arial" w:hAnsi="Arial"/>
                <w:sz w:val="18"/>
                <w:szCs w:val="18"/>
                <w:color w:val="auto"/>
              </w:rPr>
              <w:t>Title of Each Class</w:t>
            </w:r>
          </w:p>
        </w:tc>
        <w:tc>
          <w:tcPr>
            <w:tcW w:w="4920" w:type="dxa"/>
            <w:vAlign w:val="bottom"/>
            <w:gridSpan w:val="3"/>
          </w:tcPr>
          <w:p>
            <w:pPr>
              <w:jc w:val="center"/>
              <w:ind w:right="200"/>
              <w:spacing w:after="0" w:line="190" w:lineRule="exact"/>
              <w:rPr>
                <w:sz w:val="20"/>
                <w:szCs w:val="20"/>
                <w:color w:val="auto"/>
              </w:rPr>
            </w:pPr>
            <w:r>
              <w:rPr>
                <w:rFonts w:ascii="Arial" w:cs="Arial" w:eastAsia="Arial" w:hAnsi="Arial"/>
                <w:sz w:val="18"/>
                <w:szCs w:val="18"/>
                <w:color w:val="auto"/>
                <w:w w:val="92"/>
              </w:rPr>
              <w:t>Trading Symbol(s)</w:t>
            </w:r>
          </w:p>
        </w:tc>
        <w:tc>
          <w:tcPr>
            <w:tcW w:w="2160" w:type="dxa"/>
            <w:vAlign w:val="bottom"/>
            <w:gridSpan w:val="3"/>
          </w:tcPr>
          <w:p>
            <w:pPr>
              <w:jc w:val="center"/>
              <w:ind w:left="112"/>
              <w:spacing w:after="0" w:line="190" w:lineRule="exact"/>
              <w:rPr>
                <w:sz w:val="20"/>
                <w:szCs w:val="20"/>
                <w:color w:val="auto"/>
              </w:rPr>
            </w:pPr>
            <w:r>
              <w:rPr>
                <w:rFonts w:ascii="Arial" w:cs="Arial" w:eastAsia="Arial" w:hAnsi="Arial"/>
                <w:sz w:val="18"/>
                <w:szCs w:val="18"/>
                <w:color w:val="auto"/>
                <w:w w:val="91"/>
              </w:rPr>
              <w:t>On Which Registered</w:t>
            </w:r>
          </w:p>
        </w:tc>
      </w:tr>
      <w:tr>
        <w:trPr>
          <w:trHeight w:val="20"/>
        </w:trPr>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760" w:type="dxa"/>
            <w:vAlign w:val="bottom"/>
            <w:gridSpan w:val="3"/>
          </w:tcPr>
          <w:p>
            <w:pPr>
              <w:spacing w:after="0"/>
              <w:rPr>
                <w:sz w:val="20"/>
                <w:szCs w:val="20"/>
                <w:color w:val="auto"/>
              </w:rPr>
            </w:pPr>
            <w:r>
              <w:rPr>
                <w:rFonts w:ascii="Arial" w:cs="Arial" w:eastAsia="Arial" w:hAnsi="Arial"/>
                <w:sz w:val="18"/>
                <w:szCs w:val="18"/>
                <w:color w:val="auto"/>
                <w:w w:val="89"/>
              </w:rPr>
              <w:t>Common Stock, par value $.05/ Share</w:t>
            </w:r>
          </w:p>
        </w:tc>
        <w:tc>
          <w:tcPr>
            <w:tcW w:w="168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Arial" w:cs="Arial" w:eastAsia="Arial" w:hAnsi="Arial"/>
                <w:sz w:val="18"/>
                <w:szCs w:val="18"/>
                <w:color w:val="auto"/>
                <w:w w:val="95"/>
              </w:rPr>
              <w:t>CULP</w:t>
            </w: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New York Stock Exchange</w:t>
            </w:r>
          </w:p>
        </w:tc>
      </w:tr>
      <w:tr>
        <w:trPr>
          <w:trHeight w:val="378"/>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Securities registered pursuant to Section 12(g) of the Act:  None</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5"/>
        </w:trPr>
        <w:tc>
          <w:tcPr>
            <w:tcW w:w="7680" w:type="dxa"/>
            <w:vAlign w:val="bottom"/>
            <w:gridSpan w:val="6"/>
          </w:tcPr>
          <w:p>
            <w:pPr>
              <w:ind w:left="20"/>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2160" w:type="dxa"/>
            <w:vAlign w:val="bottom"/>
            <w:gridSpan w:val="3"/>
          </w:tcPr>
          <w:p>
            <w:pPr>
              <w:ind w:left="60"/>
              <w:spacing w:after="0" w:line="184" w:lineRule="exact"/>
              <w:rPr>
                <w:sz w:val="20"/>
                <w:szCs w:val="20"/>
                <w:color w:val="auto"/>
              </w:rPr>
            </w:pPr>
            <w:r>
              <w:rPr>
                <w:rFonts w:ascii="Arial" w:cs="Arial" w:eastAsia="Arial" w:hAnsi="Arial"/>
                <w:sz w:val="16"/>
                <w:szCs w:val="16"/>
                <w:color w:val="auto"/>
              </w:rPr>
              <w:t>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tc>
      </w:tr>
    </w:tbl>
    <w:p>
      <w:pPr>
        <w:spacing w:after="0" w:line="16" w:lineRule="exact"/>
        <w:rPr>
          <w:sz w:val="24"/>
          <w:szCs w:val="24"/>
          <w:color w:val="auto"/>
        </w:rPr>
      </w:pPr>
    </w:p>
    <w:p>
      <w:pPr>
        <w:ind w:left="52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jc w:val="both"/>
        <w:ind w:right="20"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91" w:right="339" w:bottom="1440" w:gutter="0" w:footer="0" w:header="0"/>
        </w:sectPr>
      </w:pPr>
    </w:p>
    <w:p>
      <w:pPr>
        <w:spacing w:after="0" w:line="103" w:lineRule="exact"/>
        <w:rPr>
          <w:sz w:val="24"/>
          <w:szCs w:val="24"/>
          <w:color w:val="auto"/>
        </w:rPr>
      </w:pPr>
    </w:p>
    <w:p>
      <w:pPr>
        <w:ind w:right="400"/>
        <w:spacing w:after="0" w:line="37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90" w:lineRule="exact"/>
        <w:rPr>
          <w:sz w:val="24"/>
          <w:szCs w:val="24"/>
          <w:color w:val="auto"/>
        </w:rPr>
      </w:pPr>
    </w:p>
    <w:p>
      <w:pPr>
        <w:sectPr>
          <w:pgSz w:w="11900" w:h="16838" w:orient="portrait"/>
          <w:cols w:equalWidth="0" w:num="6">
            <w:col w:w="2280" w:space="720"/>
            <w:col w:w="1140" w:space="720"/>
            <w:col w:w="2400" w:space="720"/>
            <w:col w:w="160" w:space="220"/>
            <w:col w:w="1900" w:space="720"/>
            <w:col w:w="260"/>
          </w:cols>
          <w:pgMar w:left="320" w:top="391" w:right="339" w:bottom="1440" w:gutter="0" w:footer="0" w:header="0"/>
          <w:type w:val="continuous"/>
        </w:sect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As of May 3, 2020, 12,284,946 shares of common stock were outstanding. As of November 3, 2019, the aggregate market value of the voting stock held by non-affiliates of the registrant on that date was $183,200,423 based on the closing sales price of such stock as quoted on the New York Stock Exchange (NYSE), assuming, for purposes of this report, that all executive officers and directors of the registrant are affiliates.</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ind w:left="240"/>
        <w:spacing w:after="0"/>
        <w:rPr>
          <w:sz w:val="20"/>
          <w:szCs w:val="20"/>
          <w:color w:val="auto"/>
        </w:rPr>
      </w:pPr>
      <w:r>
        <w:rPr>
          <w:rFonts w:ascii="Arial" w:cs="Arial" w:eastAsia="Arial" w:hAnsi="Arial"/>
          <w:sz w:val="16"/>
          <w:szCs w:val="16"/>
          <w:color w:val="auto"/>
        </w:rPr>
        <w:t>Portions of the registrant’s Proxy Statement to be filed pursuant to Regulation 14A of the Securities and Exchange Commission in connection with its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Annual Meeting of Shareholders to be held on September 30,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9340" w:type="dxa"/>
            <w:vAlign w:val="bottom"/>
          </w:tcPr>
          <w:p>
            <w:pPr>
              <w:jc w:val="center"/>
              <w:spacing w:after="0"/>
              <w:rPr>
                <w:sz w:val="20"/>
                <w:szCs w:val="20"/>
                <w:color w:val="auto"/>
              </w:rPr>
            </w:pPr>
            <w:r>
              <w:rPr>
                <w:rFonts w:ascii="Arial" w:cs="Arial" w:eastAsia="Arial" w:hAnsi="Arial"/>
                <w:sz w:val="18"/>
                <w:szCs w:val="18"/>
                <w:b w:val="1"/>
                <w:bCs w:val="1"/>
                <w:color w:val="auto"/>
                <w:w w:val="98"/>
              </w:rPr>
              <w:t>CULP, INC.</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340" w:type="dxa"/>
            <w:vAlign w:val="bottom"/>
          </w:tcPr>
          <w:p>
            <w:pPr>
              <w:jc w:val="center"/>
              <w:spacing w:after="0"/>
              <w:rPr>
                <w:sz w:val="20"/>
                <w:szCs w:val="20"/>
                <w:color w:val="auto"/>
              </w:rPr>
            </w:pPr>
            <w:r>
              <w:rPr>
                <w:rFonts w:ascii="Arial" w:cs="Arial" w:eastAsia="Arial" w:hAnsi="Arial"/>
                <w:sz w:val="18"/>
                <w:szCs w:val="18"/>
                <w:b w:val="1"/>
                <w:bCs w:val="1"/>
                <w:color w:val="auto"/>
                <w:w w:val="99"/>
              </w:rPr>
              <w:t>FORM 10-K REPORT</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3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920" w:type="dxa"/>
            <w:vAlign w:val="bottom"/>
          </w:tcPr>
          <w:p>
            <w:pPr>
              <w:ind w:left="140"/>
              <w:spacing w:after="0"/>
              <w:rPr>
                <w:sz w:val="20"/>
                <w:szCs w:val="20"/>
                <w:color w:val="auto"/>
              </w:rPr>
            </w:pPr>
            <w:r>
              <w:rPr>
                <w:rFonts w:ascii="Arial" w:cs="Arial" w:eastAsia="Arial" w:hAnsi="Arial"/>
                <w:sz w:val="18"/>
                <w:szCs w:val="18"/>
                <w:color w:val="auto"/>
              </w:rPr>
              <w:t>Item No.</w:t>
            </w:r>
          </w:p>
        </w:tc>
        <w:tc>
          <w:tcPr>
            <w:tcW w:w="934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Page</w:t>
            </w:r>
          </w:p>
        </w:tc>
      </w:tr>
      <w:tr>
        <w:trPr>
          <w:trHeight w:val="445"/>
        </w:trPr>
        <w:tc>
          <w:tcPr>
            <w:tcW w:w="920" w:type="dxa"/>
            <w:vAlign w:val="bottom"/>
            <w:tcBorders>
              <w:top w:val="single" w:sz="8" w:color="auto"/>
            </w:tcBorders>
          </w:tcPr>
          <w:p>
            <w:pPr>
              <w:spacing w:after="0"/>
              <w:rPr>
                <w:sz w:val="24"/>
                <w:szCs w:val="24"/>
                <w:color w:val="auto"/>
              </w:rPr>
            </w:pPr>
          </w:p>
        </w:tc>
        <w:tc>
          <w:tcPr>
            <w:tcW w:w="934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8"/>
        </w:trPr>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934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Overview</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 Information</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Segments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Overview of Industry and Markets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Overview of Bedding Industry</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Overview of Residential and Commercial Furniture Industry</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Products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Manufacturing and Sourcing</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Product Design and Styling</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Distribution</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Sources and Availability of Raw Materials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Seasonality</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Competition</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Environmental and Other Regulations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Employees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29"/>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Customers and Sales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920" w:type="dxa"/>
            <w:vAlign w:val="bottom"/>
          </w:tcPr>
          <w:p>
            <w:pPr>
              <w:spacing w:after="0"/>
              <w:rPr>
                <w:sz w:val="19"/>
                <w:szCs w:val="19"/>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Net Sales by Geographic Area</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920" w:type="dxa"/>
            <w:vAlign w:val="bottom"/>
          </w:tcPr>
          <w:p>
            <w:pPr>
              <w:spacing w:after="0"/>
              <w:rPr>
                <w:sz w:val="20"/>
                <w:szCs w:val="20"/>
                <w:color w:val="auto"/>
              </w:rPr>
            </w:pPr>
          </w:p>
        </w:tc>
        <w:tc>
          <w:tcPr>
            <w:tcW w:w="9340" w:type="dxa"/>
            <w:vAlign w:val="bottom"/>
          </w:tcPr>
          <w:p>
            <w:pPr>
              <w:ind w:left="3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Backlog</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rPr>
              <w:t>1A.</w:t>
            </w:r>
          </w:p>
        </w:tc>
        <w:tc>
          <w:tcPr>
            <w:tcW w:w="934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1B.</w:t>
            </w:r>
          </w:p>
        </w:tc>
        <w:tc>
          <w:tcPr>
            <w:tcW w:w="934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Unresolved Staff Comments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934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Properties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934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934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459"/>
        </w:trPr>
        <w:tc>
          <w:tcPr>
            <w:tcW w:w="920" w:type="dxa"/>
            <w:vAlign w:val="bottom"/>
          </w:tcPr>
          <w:p>
            <w:pPr>
              <w:spacing w:after="0"/>
              <w:rPr>
                <w:sz w:val="24"/>
                <w:szCs w:val="24"/>
                <w:color w:val="auto"/>
              </w:rPr>
            </w:pPr>
          </w:p>
        </w:tc>
        <w:tc>
          <w:tcPr>
            <w:tcW w:w="9340" w:type="dxa"/>
            <w:vAlign w:val="bottom"/>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PART II</w:t>
              </w:r>
            </w:hyperlink>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9340" w:type="dxa"/>
            <w:vAlign w:val="bottom"/>
          </w:tcPr>
          <w:p>
            <w:pPr>
              <w:ind w:left="120"/>
              <w:spacing w:after="0"/>
              <w:rPr>
                <w:rFonts w:ascii="Arial" w:cs="Arial" w:eastAsia="Arial" w:hAnsi="Arial"/>
                <w:sz w:val="18"/>
                <w:szCs w:val="18"/>
                <w:u w:val="single" w:color="auto"/>
                <w:color w:val="0000EE"/>
                <w:w w:val="99"/>
              </w:rPr>
            </w:pPr>
            <w:hyperlink w:anchor="page27">
              <w:r>
                <w:rPr>
                  <w:rFonts w:ascii="Arial" w:cs="Arial" w:eastAsia="Arial" w:hAnsi="Arial"/>
                  <w:sz w:val="18"/>
                  <w:szCs w:val="18"/>
                  <w:u w:val="single" w:color="auto"/>
                  <w:color w:val="0000EE"/>
                  <w:w w:val="99"/>
                </w:rPr>
                <w:t>Market for the Registrant’s Common Equity, Related Stockholder Matters, and Issuer Purchases of Equity Securities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934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Selected Financial Data</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934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rPr>
              <w:t>7A.</w:t>
            </w:r>
          </w:p>
        </w:tc>
        <w:tc>
          <w:tcPr>
            <w:tcW w:w="934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4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Financial Statements and Supplementary Data</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9340" w:type="dxa"/>
            <w:vAlign w:val="bottom"/>
          </w:tcPr>
          <w:p>
            <w:pPr>
              <w:ind w:left="1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Changes in and Disagreements with Accountants on Accounting and Financial Disclosure</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rPr>
              <w:t>9A.</w:t>
            </w:r>
          </w:p>
        </w:tc>
        <w:tc>
          <w:tcPr>
            <w:tcW w:w="9340" w:type="dxa"/>
            <w:vAlign w:val="bottom"/>
          </w:tcPr>
          <w:p>
            <w:pPr>
              <w:ind w:left="1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Controls and Procedures</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88"/>
              </w:rPr>
              <w:t>9B.</w:t>
            </w:r>
          </w:p>
        </w:tc>
        <w:tc>
          <w:tcPr>
            <w:tcW w:w="9340" w:type="dxa"/>
            <w:vAlign w:val="bottom"/>
          </w:tcPr>
          <w:p>
            <w:pPr>
              <w:ind w:left="1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Other Information</w:t>
              </w:r>
            </w:hyperlink>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1060"/>
        </w:trPr>
        <w:tc>
          <w:tcPr>
            <w:tcW w:w="9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PART III</w:t>
              </w:r>
            </w:hyperlink>
          </w:p>
        </w:tc>
        <w:tc>
          <w:tcPr>
            <w:tcW w:w="1620" w:type="dxa"/>
            <w:vAlign w:val="bottom"/>
          </w:tcPr>
          <w:p>
            <w:pPr>
              <w:spacing w:after="0"/>
              <w:rPr>
                <w:sz w:val="20"/>
                <w:szCs w:val="20"/>
                <w:color w:val="auto"/>
              </w:rPr>
            </w:pP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Directors, Executive Officers, and Corporate Governance</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8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Security Ownership of Certain Beneficial Owners and Management and Related Stockholder Matters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Certain Relationships, Related Transactions, and Director Independence</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8840" w:type="dxa"/>
            <w:vAlign w:val="bottom"/>
          </w:tcPr>
          <w:p>
            <w:pPr>
              <w:ind w:left="2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Accountant Fees and Services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PART IV</w:t>
              </w:r>
            </w:hyperlink>
          </w:p>
        </w:tc>
        <w:tc>
          <w:tcPr>
            <w:tcW w:w="1620" w:type="dxa"/>
            <w:vAlign w:val="bottom"/>
          </w:tcPr>
          <w:p>
            <w:pPr>
              <w:spacing w:after="0"/>
              <w:rPr>
                <w:sz w:val="24"/>
                <w:szCs w:val="24"/>
                <w:color w:val="auto"/>
              </w:rPr>
            </w:pP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8840" w:type="dxa"/>
            <w:vAlign w:val="bottom"/>
          </w:tcPr>
          <w:p>
            <w:pPr>
              <w:ind w:left="2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Exhibits and Financial Statement Schedules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Documents Filed as Part of this Report</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Exhibits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Financial Statement Schedules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59"/>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8840" w:type="dxa"/>
            <w:vAlign w:val="bottom"/>
          </w:tcPr>
          <w:p>
            <w:pPr>
              <w:ind w:left="2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Form 10-K Summary</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Exhibit Index</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59"/>
        </w:trPr>
        <w:tc>
          <w:tcPr>
            <w:tcW w:w="800" w:type="dxa"/>
            <w:vAlign w:val="bottom"/>
          </w:tcPr>
          <w:p>
            <w:pPr>
              <w:spacing w:after="0"/>
              <w:rPr>
                <w:sz w:val="24"/>
                <w:szCs w:val="24"/>
                <w:color w:val="auto"/>
              </w:rPr>
            </w:pPr>
          </w:p>
        </w:tc>
        <w:tc>
          <w:tcPr>
            <w:tcW w:w="8840" w:type="dxa"/>
            <w:vAlign w:val="bottom"/>
          </w:tcPr>
          <w:p>
            <w:pPr>
              <w:ind w:left="2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Signatures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303"/>
        </w:trPr>
        <w:tc>
          <w:tcPr>
            <w:tcW w:w="8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CONCERNING FORWARD-LOOKING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project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the company will realize these expectations, meet its guidance, or that these beliefs will prove correct.</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and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is included in the “Risk Factors” section of this report in Item 1A. A forward-looking statement is neither a prediction nor a guarantee of future events or circumstances, and those future events or circumstances may not occur.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used in this document, the terms “Culp,” the “company,” “we,” “our,” and “us” refer to Culp, Inc., its consolidated subsidiaries, and its unconsolidated fifty percent owned joint venture, CLASS International Holdings, Ltd. (unless the context indicates another meaning). The term “common stock” means the common stock of Culp, Inc., par value $.05 per share. The terms “Read Window Products” and “Read” refer to our wholly owned subsidiary, Read Window Products, LLC. During the fourth quarter of fiscal 2020, the company sold its majority ownership interest in eLuxury, LLC (“eLuxury”), resulting in the elimination of the company’s home accessory segment at the time of such sale. Accordingly, the results of operations for this segment are excluded from the company’s continuing operations for the fiscal 2020 year and all prior periods of comparison, and the financial results are presented as a discontinued operation in the company’s consolidated financial statements. See Note 3 to the consolidated financial statements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Culp, Inc. manufactures, sources, and markets mattress fabrics and sewn covers used for covering mattresses and foundations and other bedding products; and upholstery fabrics, including cut and sewn kits, primarily used in the production of upholstered furniture. The company competes in a fashion-driven business, and we strive to differentiate ourselves by placing a sustained focus on product innovation and creativity. In addition, Culp places great emphasis on providing excellent and dependable service to our customers. Our focused efforts to protect our financial strength have allowed us to maintain our position as a financially stable and trusted supplier of innovative fabrics to bedding and furniture manufacturers.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Culp is the largest producer of mattress fabrics in North America and one of the largest marketers of upholstery fabrics for furniture in North America, measured by total sales. Following the sale of our ownership interest in eLuxury during the fourth quarter of fiscal 2020, which resulted in the elimination of our home accessories segment, we now have two operating segments —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principally in the production of residential and commercial upholstered furniture, including sofas, recliners, chairs, loveseats, sectionals, sofa-beds, and office seating, as well as window treatment products and installation services for customers in the hospitality and commercial industries.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Culp markets a variety of fabrics and other products in different categories to a global customer base, including fabrics produced at our manufacturing facilities and fabrics produced by other suppliers. As of the end of fiscal 2020, we had active production facilities located in North Carolina; Tennessee; Quebec, Canada; Shanghai, China; and a joint venture facility in Haiti. We also source fabrics and cut and sewn kits from other manufacturers, located primarily in China, Vietnam, and Turkey, with most all of these products made specifically for Culp and created by Culp designers. We also operate distribution centers in North Carolina, Canada, China, and Haiti to facilitate distribution of our fabric products, with additional distribution capabilities through strategic relationships in Vietnam.</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decade, the portion of total company sales represented by fabrics produced outside of the U.S. and Canada has increased, while sales of goods produced in the U.S. have decreased. This trend is related primarily to the upholstery fabrics segment, where, following the closure of our manufacturing facility in Anderson, South Carolina, during the second quarter of fiscal 2019, substantially all of our sales now consist of fabrics produced in Asia. The mattress fabrics business remains mostly based in North America.</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net sales in fiscal 2020 were $256.2 million. The mattress fabrics segment had net sales of $131.4 million (51% of total net sales), and the upholstery fabrics segment had net sales of $124.8 million (49% of total net sales). Sales declined materially in both business segments during fiscal 2020 compared to fiscal 2019 due primarily to the severe disruption from the COVID-19 pandemic, which significantly affected our operations late in the fiscal year. The impact of the pandemic began to materialize in the second half of March, with a rapid drop in demand as retail home furnishing stores closed and customers shut down or substantially limited their operations for several weeks. Prior to the COVID-19 outbreak, the mattress fabrics segment was also affected by the continued disruption relating to low-priced mattress imports that moved from China to other countries, which disrupted the domestic bedding industry and reduced demand for our mattress fabrics and sewn covers. In addition, during the first half of the year, the upholstery fabrics segment was affected by the soft retail environment for residential furniture and ongoing issues surrounding international trade agreements and associated tariffs.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Culp faced a difficult business environment during fiscal 2020, particularly with the significant disruption from the COVID-19 pandemic during the fourth quarter. This followed a year of challenging business conditions during fiscal 2019 as well, particularly for our mattress fabrics segment, due to the influx of low-priced mattress imports from China, as well as customer and retail disruption for certain of our core customers. Despite these challenges, both the mattress fabrics segment and upholstery fabrics segment have continued to execute our product-driven strategy and focus on innovation and design creativity. We have also continued building upon strategic initiatives and structural changes that were implemented over the last several years to consolidate and streamline operations, while adding capacity where necessary.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Additional information about trends and developments in each of our business segments is provided in the “Segments” discussion below, as well as in our “Management’s Discussion and Analysis” in Part II, Section 7 of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a novel COVID-19 virus was reported to have surfaced in Wuhan, China. In January 2020, the virus began to spread to other countries and in February, China extended its Chinese New Year holiday shutdowns for an additional week and implemented reopening measures to help reduce the spread of the virus. While our China facilities resumed operations in mid-February, some of our suppliers in China did not resume full operation until the beginning of March.</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11, 2020, the World Health Organization declared the COVID-19 outbreak to be a global pandemic. This declaration, along with the continued spread of the disease to other countries, including the United States and other countries in which we operate, prompted federal, state, and local governments throughout the world to take a variety of actions to mitigate the spread of the virus, including travel restrictions, stay-at-home orders, temporary quarantines, restrictions on public gatherings, social distancing measures, mandated closures of non-essential businesses, occupancy limits, and other safety measures.</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mid-March, we experienced a rapid drop in demand as customers and retail home furnishings stores began closing or substantially limiting their operations. Due to government-mandated closure requirements near the end of March, we shut down our facilities in Canada and Haiti for several weeks.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this significant disruption and economic uncertainty, we took several proactive measures to maintain liquidity during the crisis. On March 27, 2020, we amended our existing domestic revolving credit facility to increase the borrowing limit to $30 million, decrease the minimum liquidity level, and extend the expiration date to August 15, 2022. We also drew down a total of $31 million under our domestic and China credit facilities as a precautionary measure to increase financial flexibility.</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31, 2020, we completed the strategic sale of our majority interest in eLuxury, an online retailer of bedding accessories and home goods that we acquired on June 22, 2018. This investment, which was reported under our now-discontinued home accessories segment, provided a new sales channel and an expanded addressable market for finished products. Prior to the COVID-19 pandemic, we were focused on expanding eLuxury’s sales channels to reach business retailers and new online marketplaces. However, due to the unprecedented market conditions and uncertainty arising from the outbreak, we sold our ownership interest in eLuxury to its minority owner in order to focus on our core mattress and upholstery fabrics business segments and increase liquidity during the tumultuous environment. We expect to maintain a strong working relationship with eLuxury going forward through supply and royalty arrangements designed to preserve an additional sales channel for our core products and support eLuxury’s ongoing business-to-business growth strategy.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in response to the COVID-19 pandemic, we implemented a number of measures to manage our liquidity and reduce costs, including, among other things, repurposing a portion of our available operations to produce face masks, bedding covers, and fabrics for healthcare operations and consumer health; reducing operating costs by implementing temporary salary reductions, making workforce adjustments to align with demand, suspending merit pay increases, and eliminating the cash compensation paid to our board of directors; aggressively reducing expenses, capital expenditures, and discretionary spending; working with our vendors and landlords to negotiate temporary terms; and temporarily suspending our share repurchase program. In addition, we have taken steps to help mitigate the risk of COVID-19 to our employees, including implementing detailed cleaning and disinfecting processes at our facilities, instituting temperature checks, adhering to social distancing protocols, suspending non-essential travel, restricting visitors, and providing remote work opportunities where possible.</w:t>
      </w:r>
    </w:p>
    <w:p>
      <w:pPr>
        <w:spacing w:after="0" w:line="1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Together, these actions have helped us mitigate the financial impact of lower industry demand and shutdowns as a result of the COVID-19 pandemic during the fourth quarter of fiscal 2020. While the ongoing effects and duration of the pandemic remain unknown, we are encouraged by improving business conditions and a better-than-expected increase in demand as customers and retail stores have started to reopen in the first quarter of fiscal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Culp, Inc. was organized as a North Carolina corporation in 1972 and made its initial public offering in 1983. Since 1997, our stock has been listed on the New York Stock Exchange and traded under the symbol “CFI” until July 13, 2017, at which time the Company’s ticker symbol changed to “CULP.” Our fiscal year is the 52- or 53-week period ending on the Sunday closest to April 30. Our executive offices are located in High Point, North Carolina.</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Culp maintains an internet website at www.culp.com. We will make this annual report and our other annual reports on Form 10-K, quarterly reports on Form 10-Q, current reports on Form 8-K and amendments to these reports available free of charge on our internet 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Segments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the sale of our ownership interest in eLuxury on March 31, 2020, which resulted in the elimination of our home accessories segment, our two continuing operating segments are mattress fabrics and upholstery fabrics. The following table sets forth certain information for each of our segments.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8"/>
          </w:tcPr>
          <w:p>
            <w:pPr>
              <w:jc w:val="center"/>
              <w:ind w:left="190"/>
              <w:spacing w:after="0"/>
              <w:rPr>
                <w:sz w:val="20"/>
                <w:szCs w:val="20"/>
                <w:color w:val="auto"/>
              </w:rPr>
            </w:pPr>
            <w:r>
              <w:rPr>
                <w:rFonts w:ascii="Arial" w:cs="Arial" w:eastAsia="Arial" w:hAnsi="Arial"/>
                <w:sz w:val="18"/>
                <w:szCs w:val="18"/>
                <w:b w:val="1"/>
                <w:bCs w:val="1"/>
                <w:color w:val="auto"/>
                <w:w w:val="89"/>
              </w:rPr>
              <w:t>Sales by Fiscal Year ($ in Millions) and Percentage of Total</w:t>
            </w:r>
          </w:p>
        </w:tc>
        <w:tc>
          <w:tcPr>
            <w:tcW w:w="70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Company Sales</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5"/>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0"/>
              <w:spacing w:after="0" w:line="205" w:lineRule="exact"/>
              <w:rPr>
                <w:sz w:val="20"/>
                <w:szCs w:val="20"/>
                <w:color w:val="auto"/>
              </w:rPr>
            </w:pPr>
            <w:r>
              <w:rPr>
                <w:rFonts w:ascii="Arial" w:cs="Arial" w:eastAsia="Arial" w:hAnsi="Arial"/>
                <w:sz w:val="18"/>
                <w:szCs w:val="18"/>
                <w:b w:val="1"/>
                <w:bCs w:val="1"/>
                <w:color w:val="auto"/>
              </w:rPr>
              <w:t>Fiscal</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Fiscal</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0"/>
              <w:spacing w:after="0" w:line="205" w:lineRule="exact"/>
              <w:rPr>
                <w:sz w:val="20"/>
                <w:szCs w:val="20"/>
                <w:color w:val="auto"/>
              </w:rPr>
            </w:pPr>
            <w:r>
              <w:rPr>
                <w:rFonts w:ascii="Arial" w:cs="Arial" w:eastAsia="Arial" w:hAnsi="Arial"/>
                <w:sz w:val="18"/>
                <w:szCs w:val="18"/>
                <w:b w:val="1"/>
                <w:bCs w:val="1"/>
                <w:color w:val="auto"/>
              </w:rPr>
              <w:t>Fiscal</w:t>
            </w:r>
          </w:p>
        </w:tc>
        <w:tc>
          <w:tcPr>
            <w:tcW w:w="700" w:type="dxa"/>
            <w:vAlign w:val="bottom"/>
          </w:tcPr>
          <w:p>
            <w:pPr>
              <w:spacing w:after="0"/>
              <w:rPr>
                <w:sz w:val="17"/>
                <w:szCs w:val="17"/>
                <w:color w:val="auto"/>
              </w:rPr>
            </w:pPr>
          </w:p>
        </w:tc>
      </w:tr>
      <w:tr>
        <w:trPr>
          <w:trHeight w:val="234"/>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CFF0FC"/>
            </w:tcBorders>
          </w:tcPr>
          <w:p>
            <w:pPr>
              <w:spacing w:after="0"/>
              <w:rPr>
                <w:sz w:val="20"/>
                <w:szCs w:val="20"/>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Mattress Fabrics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131.4</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Upholstery Fabrics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Non-U.S.-Produced</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113.6</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U.S.-Produced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84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Upholstery</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124.8</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131.1</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256.2</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5"/>
              </w:rPr>
              <w:t>100%</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323.7</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financial information about our operating segments can be found in Note 21 to the Consolidated Financial Statements included in Item 8 of this report.</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Mattress Fabrics. </w:t>
      </w:r>
      <w:r>
        <w:rPr>
          <w:rFonts w:ascii="Arial" w:cs="Arial" w:eastAsia="Arial" w:hAnsi="Arial"/>
          <w:sz w:val="18"/>
          <w:szCs w:val="18"/>
          <w:color w:val="auto"/>
        </w:rPr>
        <w:t>The mattress fabrics segment, also known as Culp Home Fashions, manufactures and markets mattress fabrics and sewn mattress covers</w:t>
      </w:r>
      <w:r>
        <w:rPr>
          <w:rFonts w:ascii="Arial" w:cs="Arial" w:eastAsia="Arial" w:hAnsi="Arial"/>
          <w:sz w:val="18"/>
          <w:szCs w:val="18"/>
          <w:b w:val="1"/>
          <w:bCs w:val="1"/>
          <w:color w:val="auto"/>
        </w:rPr>
        <w:t xml:space="preserve"> </w:t>
      </w:r>
      <w:r>
        <w:rPr>
          <w:rFonts w:ascii="Arial" w:cs="Arial" w:eastAsia="Arial" w:hAnsi="Arial"/>
          <w:sz w:val="18"/>
          <w:szCs w:val="18"/>
          <w:color w:val="auto"/>
        </w:rPr>
        <w:t>to bedding manufacturers. These products include woven jacquard fabrics, knitted fabrics, and some converted fabrics. Culp Home Fashions has manufacturing facilities located in Stokesdale and High Point, North Carolina, and St. Jerome, Quebec, Canada. The division also sources products internally from Culp China, which is operated by our upholstery fabrics division, as well as from a supplier in Turkey, based on our own designs and production schedule. Additionally, Culp Home Fashions has a joint venture mattress cover facility in Haiti and utilizes our Culp China platform for the production of sewn mattress covers. Knitted fabrics are produced at both the Stokesdale and St. Jerome facilities, while jacquard (damask) fabric is now produced solely at the St. Jerome facility following consolidation of our weaving operations during the fourth quarter of fiscal 2019. The majority of our finishing and inspection processes for mattress fabrics are conducted at the Stokesdale plant, while the St. Jerome plant provides additional capacity and a second location for these processes. Both of these facilities now offer finished goods distribution capabilities, and the Stokesdale plant continues to house the division offices.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Culp Home Fashions had capital expenditures totaling $71 million during the past ten years, with especially high spending levels during fiscal 2015 through fiscal 2018. These expenditures provided for increased knit machine capacity, faster and more efficient weaving machines, and the initial capital required for our sewn cover business, while also allowing us to maintain our leading-edge technology through modernization and expansion projects. These capital expenditures also provided high technology finishing equipment for woven and knitted fabric and a much-improved U.S. platform for warehousing and distribution, along with a new distribution facility in Canada.</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acquisition transactions in fiscal 2009 and fiscal 2014 allowed us to enhance and secure our competitive position and to expand our mattress fabrics business. Taken together, the two transactions allowed us to secure our supply for knitted mattress fabrics, an important and growing product category, while also gaining control of product development and improving customer service. In addition to these transactions, we have continued to make further investments in knitting machines and finishing equipment, increasing our internal production capacity.</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sewn mattress cover operation, established during fiscal 2013 and owned by Culp, has a manufacturing plant in High Point, North Carolina. This facility is leased by the company, and its operation involves a limited capital investment in equipment. The business participates in a joint marketing arrangement for the production and marketing of sewn mattress covers with A. Lava &amp; Son Co. of Chicago, a leading provider of mattress covers. The marketing venture is known as Culp-Lava Applied Sewn Solutions (CLASS). In fiscal 2017, in response to continued growth in mattress cover demand, we entered into a joint venture with A Lava to construct a second location for our CLASS operations in Haiti, and that joint-venture facility began production of mattress covers for CLASS during the second quarter of fiscal 2018. We commenced an expansion of this Haiti facility during the fourth quarter of fiscal 2020, which is expected to be completed during the second quarter of fiscal 2021 and will provide additional capacity and enhance our ability to produce sewn covers. We also utilize our Culp China platform, operated by our upholstery fabrics division, to manufacture sewn mattress covers for CLASS and to source sewn covers from third-party suppliers in Asia. These three manufacturing locations in North Carolina, Haiti, and China give us repetitive production capabilities and allow us greater flexibility in meeting demand for mattress covers from bedding producers.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As noted above, fiscal 2018 marked the completion of several multi-year capital projects for the mattress fabrics business, including consolidating certain operations, expanding capacity, improving efficiency and customer service, and maintaining our flexible approach to fabric sourcing. In fiscal 2019, we continued these initiatives by consolidating our weaving operations to one facility, our plant in Quebec, Canada, and expanding production of our CLASS sewn mattress covers in Haiti and China to meet customer demand in the growing boxed bedding market. Additionally, we continued to expand our design capabilities in fiscal 2019, launching new software and a library system for cataloguing our products to drive marketing and enhance innovation. In fiscal 2020, we further enhanced our design and innovation platform by establishing a dedicated innovation team to develop and offer the latest technologies and forward-looking products, expanding our creative team to complement our innovation strategy, and releasing a new digital library, design simulations, and 3D image rendering capabilities to showcase our designs and marketing tools. We were able to leverage these new technologies during the fourth quarter of fiscal 2020, in the face of COVID-19-related travel restrictions and cancelled tradeshows, to continue showcasing our products and support our customers through virtual design collaboration.</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eight consecutive years of growth, sales declined in fiscal 2019 and fiscal 2020. The decline in fiscal 2019 was mainly attributable to the acceleration of low-priced mattress imports from China towards the end of fiscal 2018 and through the first three quarters of fiscal 2019, together with the increased acceptance by consumers of roll-packed/boxed bedding delivered through major online e-commerce channels. This disrupted the U.S. bedding industry and resulted in a decline in sales for domestic bedding manufacturers, which affected our business as a supplier to those manufacturers. Fiscal 2019 was also affected by major customer and retail disruption for certain of our core customers. The decline in fiscal 2020 was primarily due to the significant disruption from the COVID-19 pandemic during the fourth quarter, which has traditionally experienced higher sales for the mattress fabrics segment due to early spring seasonality trends. We experienced a rapid drop in demand beginning in mid-March, as customers and retail mattress stores began closing or substantially limiting their operations. Due to the government-mandated closure requirements near the end of March, we shut down our facilities in Canada and Haiti for several weeks. At the same time, we responded to these challenging conditions by reducing production schedules and furloughing workers to align with the severely reduced demand, while aggressively cutting costs, delaying non-essential capital expenditures, and reducing inventory. We also repurposed a portion of our available operations to produce face masks, bedding covers, and fabrics for healthcare operations and consumer health. This allowed us to support much-needed relief efforts as an essential business and keep as many workers as possible employed.</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COVID-19 outbreak, our results for fiscal 2020 were also affected by continued disruption in the domestic mattress industry relating to low-priced mattress imports that moved from China to other countries. We believe our global platform for fabric and covers in Haiti and Asia has us well positioned to capture market share with imported mattresses if and when business conditions normalize from the effects of the COVID-19 pandemic. We are also encouraged by the recent anti-dumping duty petitions filed with the U.S. International Trade Commission (ITC) and U.S. Department of Commerce against seven countries for engaging in unfair trade practices relating to low-priced mattress imports, as well as the ITC’s preliminary determination allowing these petitions to move forward. If successful, we believe the proposed relief being sought will benefit the domestic mattress industry.</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Despite the challenging market conditions during fiscal 2019 and 2020, we believe our success over the longer term is due to our focus on creative designs and product innovation, service and delivery performance, and our flexible, global platform that allows us to meet changing customer demands.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Upholstery Fabrics. </w:t>
      </w:r>
      <w:r>
        <w:rPr>
          <w:rFonts w:ascii="Arial" w:cs="Arial" w:eastAsia="Arial" w:hAnsi="Arial"/>
          <w:sz w:val="17"/>
          <w:szCs w:val="17"/>
          <w:color w:val="auto"/>
        </w:rPr>
        <w:t>The upholstery fabrics segment markets fabrics for residential and commercial furniture, including jacquard woven fabrics, velvets,</w:t>
      </w:r>
      <w:r>
        <w:rPr>
          <w:rFonts w:ascii="Arial" w:cs="Arial" w:eastAsia="Arial" w:hAnsi="Arial"/>
          <w:sz w:val="17"/>
          <w:szCs w:val="17"/>
          <w:b w:val="1"/>
          <w:bCs w:val="1"/>
          <w:color w:val="auto"/>
        </w:rPr>
        <w:t xml:space="preserve"> </w:t>
      </w:r>
      <w:r>
        <w:rPr>
          <w:rFonts w:ascii="Arial" w:cs="Arial" w:eastAsia="Arial" w:hAnsi="Arial"/>
          <w:sz w:val="17"/>
          <w:szCs w:val="17"/>
          <w:color w:val="auto"/>
        </w:rPr>
        <w:t>micro denier suedes, woven dobbies, knitted fabrics, piece-dyed woven products, and polyurethane “leather look” fabrics. With the acquisition of Read Window Products at the end of fiscal 2018, this segment also markets window treatment products and installation services, including roller shades, drapery, hardware, and top-of-mattress soft goods, for customers in the hospitality and commercial industries.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closure of our manufacturing facility in Anderson, South Carolina, during the second quarter of fiscal 2019, this segment currently operates two manufacturing facilities in Shanghai, China. We market cut and sewn fabric kits produced in these locations, as well as a variety of upholstery fabrics and cut and sewn kits sourced from third party producers, mostly in China and Vietnam. Following the closure of our SC facility, sales of non-U.S. produced upholstery accounted for substantially all of our upholstery fabric sales. Our China facilities in Shanghai include production of cut and sewn “kits” made to specifications of furniture manufacturing customers using sourced fabrics, as well as design, finishing, warehousing, quality control, and inspection operations. We continue to expand our marketing efforts to sell our upholstery fabrics products in countries other than the U.S., including the Chinese local market. Additionally, we fabricate a variety of window treatments, using mostly customer-supplied fabrics and materials, at our facility in Knoxville, Tennessee.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upholstery fabrics business has moved from one that relied on a large fixed capital base that is difficult to adjust to a more flexible and scalable marketer of upholstery fabrics that meets changing levels of customer demand and tastes. At the same time, we have maintained control of the most important “value added” aspects of our business, such as design, finishing, quality control, and logistics. This strategic approach has allowed us to limit our investment of capital in fixed assets and control the costs of our products, while continuing to leverage our design and finishing expertise, industry knowledge, and important relationships.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t>After six consecutive years of sales growth, sales declined in fiscal 2016 and 2017, mainly as a result of a weaker demand environment for upholstered furniture, before increasing by 10% in fiscal 2018 and 3.5% in fiscal 2019. However, sales declined in fiscal 2020 due to the severe disruption from the COVID-19 pandemic during the fourth quarter, which began with limited disruption from government-mandated closure requirements in China and re-opening protocols that affected the start-up of some of our China suppliers during the month of February, as well as the more significant widespread disruption from the shutdowns of our customers and home furnishings retail stores in the U.S. beginning in mid-March. Prior to this disruption, we were experiencing a solid year of annual sales, despite the soft retail environment for residential furniture and ongoing issues surrounding international trade agreements and associated tariffs during the first half of the year. Our line of LiveSmart® performance fabrics remained popular with both existing and new residential furniture customers, and our new LiveSmart Evolve™ line of sustainability fabrics, which features the use of recycled fibers along with the same stain-resistant performance, continued to be well received. We also experienced continued growth in our hospitality business during the year, including a meaningful contribution from Read Window Products. We believe our success over the longer term is due largely to a business strategy that has included: 1) innovation in a low-cost environment, 2) speed-to-market execution, 3) consistent quality, 4) reliable service and lead times, and 5) increased recognition of and reliance on the Culp brand.</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progress has been achieved through a unique business model that has enabled the upholstery fabrics segment to execute a strategy that we believe is clearly differentiated from our competitors. In this way, we have maintained our ability to provide furniture manufacturers with products from every category of fabric for upholstered furniture and meet continually changing demand levels and consumer preferences. In recent years, we have implemented additional steps to grow net sales, including an emphasis on markets beyond residential furniture, such as the hospitality market. One result of these efforts was the acquisition of Read Window Products at the end of fiscal 2018, representing a significant expansion of our production capabilities in the hospitality market, along with the addition of window treatment installation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Industry and Markets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Culp markets products primarily to manufacturers and hospitality customers in three principal markets. The mattress fabrics segment supplies the bedding industry, which produces mattress sets (mattresses, box springs, foundations and top of bed components) and bedding accessory products. The upholstery fabrics segment primarily supplies the residential furniture industry and, to a lesser extent, the commercial furniture industry. The residential furniture market includes upholstered furniture sold to consumers for household use, including sofas, sofa-beds, chairs, recliners, and sectionals. The commercial furniture, fabrics, and window treatments market includes fabrics and window treatment products used in the hospitality industry (primarily hotels and motels); fabrics used for upholstered office seating and modular office systems sold primarily for use in offices and other institutional settings, as well as commercial textile wall coverings; and window treatments for commercial application. The principal industries into which the company sells products – the bedding industry and residential and commercial furniture industry – are described in more detail below. Currently, a great majority of our products are sold to manufacturers for end use in the U.S., and thus the discussions below are focused on that market.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Bedding Industry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bedding industry has contracted and expanded in recent years in accordance with the general economy, although traditionally the industry has been relatively mature and stable. This is due in part to the fact that a majority of bedding industry sales are replacement purchases, which are less volatile than sales based on economic growth and new household formations. Until recently, the U.S. bedding industry has largely remained a North American-based business, with limited competition from imports. This dynamic has mainly been due to short lead times demanded by mattress manufacturers and retailers, the customized nature of product lines, the relatively low direct labor content in mattresses, and strong brand recognition. Imports of bedding into the U.S. had been increasing gradually in recent years, but this trend significantly accelerated over the past three years, especially for lower-priced bedding. During fiscal 2018 and 2019, China accounted for the largest share of the imported units, but the level of mattress imports entering the U.S. from China began to substantially decline beginning in the fourth quarter of fiscal 2019 in connection with punitive anti-dumping duties imposed by the U.S. Department of Commerce. However, the level of mattress imports from other countries, including Vietnam, Cambodia, Indonesia, Thailand, and Turkey, among others, significantly increased during fiscal 2020 as imports from China declined. The result of the increase in imports over the past three years has been a decline in sales for the major U.S. bedding manufacturers, which has affected major suppliers to those manufacturers, including Culp.</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continued significant influx of low-priced imports that moved from China to other countries, anti-dumping duty petitions were filed with the U.S. International Trade Commission (ITC) and U.S. Department of Commerce in March of 2020 against seven countries, including Cambodia, Indonesia, Malaysia, Serbia, Thailand, Turkey, and Vietnam, for engaging in unfair trade practices relating to low-priced mattress imports. A countervailing duty petition was also filed against mattresses imported from China. On May 14, 2020, the ITC issued a preliminary determination finding a reasonable indication that the U.S. mattress industry had been materially injured by unfairly traded mattress imports from these countries, and the ITC allowed these petitions to move forward. If successful, we believe the proposed relief being sought under these petitions will benefit the domestic mattress industry and, in turn, our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A key trend driving the bedding industry is the increased demand for roll-packed/compressed mattresses in both online and traditional sales channels, as consumer acceptance of boxed beds as a delivery mechanism continues to drive growth and increase market share for this product, increasing potential demand for sewn mattress covers. Another important trend is the increased awareness among consumers about the health benefits of better sleep, with an increased focus on the quality of bedding products and an apparent willingness on the part of consumers to upgrade their bedding. A further trend is the strong and growing emphasis on the design knitted or woven into mattress fabrics to appeal to the customer’s visual attraction and perceived value of the mattress on the retail floor. Mattress fabric design efforts are based on current trends in home decor and fashion. Additionally, the growth in non- traditional sources for retail mattress sales, such as online e-commerce channels and wholesale warehouse clubs, has the potential to increase overall consumption of goods due to convenience and high traffic volume, which in turn results in higher turnover of product. Among fabric types, knitted fabrics have continued to increase in popularity. Knitted fabric was initially used primarily on premium mattresses, but these products are now being placed increasingly on mattresses at mid-range to lower retail price 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and Commercial Furniture Industry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Overall demand for our products depends upon consumer demand for furniture and bedding products, which is subject to variations in the general economy, including the current and evolving negative economic impact of the COVID-19 pandemic. Because purchases of furniture and bedding products are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home furnishings, which reduces the demand for our products and therefore can cause a decline in our sales and earnings.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residential and commercial furniture are affected by variations in the global economy, including economic downturns, increases in unemployment rates, and uncertainty about future health and economic prospects. These market conditions, as well as the pace of recovery from these conditions, have been uneven in recent years. In general, sales of residential furniture are influenced significantly by the housing industry and by trends in home sales and household formations, while demand for commercial furniture generally reflects economic trends affecting businesses.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sourcing of components and fully assembled furniture from overseas continues to play a major role in the furniture industry. By far, the largest source for these imports continues to be China. Imports of upholstery fabric, both in roll and in “kit” form, have also had a significant impact on the market for upholstery fabrics in recent years. Fabrics entering the U.S. from China and other low labor cost countries have resulted in increased price competition in the upholstery fabric and upholstered furniture markets.</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general, the residential furniture industry has been consolidating for several years. The result of this trend is fewer, but larger, customers for marketers of upholstery fabrics. Intense price competition continues to be an important consideration for both residential and commercial furniture.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with the ongoing global trade dispute between the U.S. and China, including the imposition of tariffs during fiscal 2019 and the possibility for additional tariffs on China imports, some customers began altering their supply chains away from China in late fiscal 2019, and this trend continued in fiscal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Additionally, with the acquisition of Read Window Products, our upholstery segment products also include window treatments and related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Mattress fabrics segment sales constituted 51% of our total net sales for fiscal 2020, compared with 52% for fiscal 2019. The company has emphasized fabrics that have broad appeal at prices generally ranging from $1.50 to more than $10.00 per yard.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Upholstery fabrics segment sales totaled 49% of our sales for fiscal 2020, compared with 48% of for fiscal 2019. The company has emphasized fabrics that have broad appeal at “good” and “better” prices, generally ranging from $3.00 to $12.00 per yard.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Culp Product Categories by Segment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market products in most categories of fabric that manufacturers currently use for bedding and furniture. Additionally, with the acquisition of Read Window Products, we also market window treatment products to customers in the hospitality and commercial industries. The following table indicates the product lines within each segment, and, with respect to the fabric products, a brief description of their characteristics.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Mattress Fabrics</w:t>
            </w:r>
          </w:p>
        </w:tc>
        <w:tc>
          <w:tcPr>
            <w:tcW w:w="9040" w:type="dxa"/>
            <w:vAlign w:val="bottom"/>
          </w:tcPr>
          <w:p>
            <w:pPr>
              <w:spacing w:after="0"/>
              <w:rPr>
                <w:sz w:val="17"/>
                <w:szCs w:val="17"/>
                <w:color w:val="auto"/>
              </w:rPr>
            </w:pPr>
          </w:p>
        </w:tc>
      </w:tr>
      <w:tr>
        <w:trPr>
          <w:trHeight w:val="479"/>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Woven jacquards</w:t>
            </w:r>
          </w:p>
        </w:tc>
        <w:tc>
          <w:tcPr>
            <w:tcW w:w="900" w:type="dxa"/>
            <w:vAlign w:val="bottom"/>
            <w:gridSpan w:val="2"/>
          </w:tcPr>
          <w:p>
            <w:pPr>
              <w:spacing w:after="0"/>
              <w:rPr>
                <w:sz w:val="24"/>
                <w:szCs w:val="24"/>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Various patterns and intricate designs. Woven on complex looms using a variety of synthetic and natural yarns.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Converted</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Suedes, pile and embroidered fabrics, and other specialty type products are sourced to offer diversity for higher end</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mattresses.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Knitted fabric</w:t>
            </w:r>
          </w:p>
        </w:tc>
        <w:tc>
          <w:tcPr>
            <w:tcW w:w="9040" w:type="dxa"/>
            <w:vAlign w:val="bottom"/>
          </w:tcPr>
          <w:p>
            <w:pPr>
              <w:ind w:left="620"/>
              <w:spacing w:after="0"/>
              <w:rPr>
                <w:sz w:val="20"/>
                <w:szCs w:val="20"/>
                <w:color w:val="auto"/>
              </w:rPr>
            </w:pPr>
            <w:r>
              <w:rPr>
                <w:rFonts w:ascii="Arial" w:cs="Arial" w:eastAsia="Arial" w:hAnsi="Arial"/>
                <w:sz w:val="18"/>
                <w:szCs w:val="18"/>
                <w:color w:val="auto"/>
                <w:w w:val="98"/>
              </w:rPr>
              <w:t>Various patterns and intricate designs produced on special-width circular knit machines utilizing a variety of</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synthetic and natural yarns. Knitted mattress fabrics have inherent stretching properties and spongy softness, which</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conforms well with layered foam packages.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Sewn mattress covers</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Covers for bedding (primarily specialty beds), sewn from mattress fabrics produced by our facilities or sourced from</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others.</w:t>
            </w:r>
          </w:p>
        </w:tc>
      </w:tr>
      <w:tr>
        <w:trPr>
          <w:trHeight w:val="36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Upholstery Fabrics</w:t>
            </w:r>
          </w:p>
        </w:tc>
        <w:tc>
          <w:tcPr>
            <w:tcW w:w="9040" w:type="dxa"/>
            <w:vAlign w:val="bottom"/>
          </w:tcPr>
          <w:p>
            <w:pPr>
              <w:spacing w:after="0"/>
              <w:rPr>
                <w:sz w:val="24"/>
                <w:szCs w:val="24"/>
                <w:color w:val="auto"/>
              </w:rPr>
            </w:pPr>
          </w:p>
        </w:tc>
      </w:tr>
      <w:tr>
        <w:trPr>
          <w:trHeight w:val="465"/>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Woven jacquards</w:t>
            </w:r>
          </w:p>
        </w:tc>
        <w:tc>
          <w:tcPr>
            <w:tcW w:w="720" w:type="dxa"/>
            <w:vAlign w:val="bottom"/>
          </w:tcPr>
          <w:p>
            <w:pPr>
              <w:spacing w:after="0"/>
              <w:rPr>
                <w:sz w:val="24"/>
                <w:szCs w:val="24"/>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Elaborate, complex designs such as florals and tapestries in traditional, transitional, and contemporary styles. Woven</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on intricate looms using a wide variety of synthetic and natural yarns.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Woven dobbies</w:t>
            </w: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Fabrics that use straight lines to produce geometric designs such as plaids, stripes, and solids in traditional and</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country styles. Woven on less complicated looms using a variety of weaving constructions and primarily synthetic</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yarns.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Velvets</w:t>
            </w: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Soft fabrics with a plush feel. Woven or knitted in basic designs, using synthetic yarns that are yarn dyed or piece</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dyed.</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Suedes</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Fabrics woven or knitted using microdenier polyester yarns, which are piece dyed and finished, usually by sanding.</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The fabrics are typically plain or small jacquard designs, with some being printed. These are sometimes referred to</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as microdenier suedes.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Faux leathers</w:t>
            </w: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Sueded or knitted base cloths which are overprinted with polyurethane, and composite products consisting of a base</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fabric that is coated with a top layer of polyurethane, which simulates the look and feel of leather.</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Cut and sewn kits</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Covers made from various types of upholstery fabrics and cut and sewn to specifications of furniture manufacturing</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customers for use on specific furniture frames.</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acquisition of Read Window Products at the end of fiscal 2018, the upholstery fabrics business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Sourcing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mattress fabrics segment operates four manufacturing plants, with two located in North Carolina, one in St. Jerome, Quebec, Canada and a joint venture facility in Haiti. Over the past ten fiscal years, we made capital expenditures of approximately $71 million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 and capacity.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Knitted fabrics are produced at both our Stokesdale facility and our St. Jerome plant, while production of jacquard mattress fabrics was consolidated into the St. Jerome facility during the fourth quarter of fiscal 2019. The majority of our finishing and inspection processes for mattress fabrics are conducted at the Stokesdale plant, with the St. Jerome plant providing additional capacity and a second location for these processes, along with distribution capabilities. We produce sewn mattress covers at our manufacturing facility in High Point, North Carolina, at our joint venture facility in Haiti, and at the manufacturing facilities of our Culp China platform in China. Our sewn cover operation participates in a joint marketing arrangement for the production and marketing of sewn mattress covers with A. Lava &amp; Son Co. of Chicago, a leading provider of mattress covers. This marketing venture is known as Culp-Lava Applied Sewn Solutions (CLASS). Our High Point facility for production of sewn covers is a leased space with limited capital investment in equipment. In fiscal 2017, we entered into a 50/50 joint venture with A. Lava to construct a second location for our CLASS operations in Haiti, and this joint venture facility began production of mattress covers for CLASS during the second quarter of fiscal 2018. We commenced an expansion of this Haiti facility during the fourth quarter of fiscal 2020, which is expected to be completed during the second quarter of fiscal 2021 and will provide additional capacity and enhance our ability to produce sewn covers. Additionally, we utilize the company’s Culp China platform, operated by our upholstery fabrics division, to manufacture sewn mattress covers. These three manufacturing locations give us repetitive production capabilities and allow us greater flexibility in meeting demand for mattress covers from bedding producers.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mattress fabrics and sewn covers manufactured by Culp, we have important supply arrangements in place that allow us to source mattress fabric and sewn covers from strategic suppliers. We source some Culp-designed knitted fabrics, certain converted fabric products, and sewn mattress covers using our Culp China platform. We also source Culp-designed sewn mattress covers from a strategic supply relationship in Vietnam. Additionally, we source a portion of our woven jacquard fabric and knitted fabric, which is obtained from a supplier located in Turkey, based on designs and a production schedule created by Culp.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upholstery fabrics segment currently operates two manufacturing facilities in China. During the second quarter of fiscal 2019, we closed our U.S. plant located in Anderson, South Carolina, which mainly produced velvet upholstery fabrics with some production of certain decorative fabrics. Additionally, we fabricate a variety of window treatments, using mostly customer-supplied fabrics and materials, at our Read Window Products facility in Knoxville, Tennessee.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upholstery fabrics facilities in China are all located within the same industrial area in Shanghai. At these facilities, we apply value-added finishing processes to fabrics sourced from a limited number of strategic suppliers in China, and we inspect sourced fabric there as well. In addition, the Shanghai operations include facilities where sourced fabric is cut and sewn to provide “kits” that are designed to be placed on specific furniture frames designated by our customers.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large portion of our upholstery fabric products, as well as certain elements of our production processes, are being sourced from outside suppliers. Our facilities in China provide a base from which to access a variety of products, including certain fabrics (such as micro 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We source unfinished and finished fabrics, as well as a portion of our cut and sewn kits, from a limited number of strategic suppliers in China who are willing to commit significant capacity to meet our needs while working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conjunction with ongoing trade disputes between the U.S. and China.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Styling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 tastes and preferences related to bedding, upholstered furniture, and window treatment products change over time. The use of new fabrics and creative designs remains an important consideration for manufacturers and marketers to distinguish their products at retail and to capitalize on changes in preferred colors, patterns, and textures. Culp’s success is largely dependent on our ability to market fabrics and products with appealing designs and patterns. The process of developing new designs involves maintaining an awareness of broad fashion and color trends both in the United States and internationally.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Design innovation is a very important element of producing mattress fabrics. We invest significant resources to stay ahead of current design trends, including maintaining a trained and active design and innovation staff, investing in research and development activities such as participation in international design shows, and implementing systems for creating, cataloguing, and simulating new designs. Price point delineation for our fabrics and our customers’ finished mattress products is accomplished through fabric quality as well as variation in design. Consumers are drawn to the mattress that is the most visually appealing when walking into a retail showroom,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Mattress fabric designs are not routinely introduced on a scheduled season. Designs are typically introduced upon the request of the customer as they plan introductions to retailers. Additionally, we work closely with our customers on new design offerings around the major furniture markets such as Las Vegas, Nevada, and High Point, North Carolina.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developed an upholstery fabrics design and product development team (with staff located in the U.S. and in China) with a primary focus on value in designing body cloths, while promoting style leadership with pillow fabrics and color. Our design staff travels regularly to international trade and design shows to maintain familiarity with current design and fashion trends. The team searches continually for new ideas and for the best sources of raw materials, yarns, and fabrics, utilizing a supply network located mostly in China. Using these design elements, they develop product offerings using ideas and materials that take both fashion trends and cost considerations into account to offer products designed to meet the needs of furniture manufacturers and ultimately the desires of consumers.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Upholstery fabric designs are introduced at major fabric trade conferences that occur twice a year in the United States (June and December). In recent years we have become more aggressive in registering copyrights for popular fabric patterns and taking steps to discourage the illegal copying of our proprietary designs.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mattress fabrics shipments originate from our facilities in Stokesdale, North Carolina, and we have additional distribution capabilities in Canada, China, and Haiti. Through arrangements with major customers and in accordance with industry practice, we maintain a significant inventory of mattress fabrics at our distribution facility in Stokesdale (“make to stock”), so that products may be shipped to customers with short lead times and on a “just in time”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upholstery fabrics are marketed on a “make to order” basis and are shipped directly from our distribution facilities in Burlington, North Carolina, and Shanghai, China, and we have additional distribution capabilities in Vietnam. In addition to “make to order” distribution, an inventory of a limited number of fabric patterns is held at our distribution facilities in Burlington and Shanghai from which our customers can obtain quick delivery of sourced fabrics through a program known as “Culp Express.” We also have distribution capabilities for our “Culp Express” program to local customers in Canada through our mattress fabrics distribution facility in Quebec, Canada. Window treatment products sold through our Read Window Products business are done on a “job order” basis, with manufactured products shipped directly from our manufacturing facility in Knoxville, Tennessee to the job installation 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Raw materials account for approximately 60%-70% of mattress fabric production costs. The mattress fabrics segment purchases primarily synthetic yarns (polyester, polypropylene, and rayon), certain greige (unfinished) goods, latex adhesives, laminates, dyes, and other chemicals. Most of these materials are available from several suppliers, and prices fluctuate based on supply and demand, the general rate of inflation, and particularly on the price of petrochemical products. The mattress fabrics segment has generally not had significant difficulty in obtaining raw materials.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Raw materials account for approximately 60%-70% of upholstery fabric manufacturing costs for products the company manufactures. Prior to closure of the Anderson, South Carolina, facility during the second quarter of fiscal 2019, this segment purchased synthetic yarns (polyester, acrylic, rayon, and polypropylene), latex adhesives, dyes, and other chemicals from various suppliers. Following the closure, we ceased purchases of synthetic yarns and dyes, although these raw materials remain important to our suppliers of finished and unfinished fabrics.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Both Segments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basic raw materials are petrochemical products or are produced from such products. For this reason, our raw material costs can be sensitive to changes in prices for petrochemicals and the underlying price of oil. From fiscal 2015 and continuing into fiscal 2018, our profitability was aided by lower raw material prices due to lower oil prices, among other factors. Later in fiscal 2018, we began to experience higher raw material prices. We had a significant escalation of polyester prices due to a global shortage of certain components during the second and third quarters of fiscal 2019, after which these prices stabilized and returned to pre-escalation levels. Our raw material costs were lower in fiscal 2020 compared to the prior year. As we begin fiscal 2021, we expect the impact of the COVID-19 pandemic will result in raw material prices that are flat or slightly down in the short term, but prices may gradually increase as market conditions normalize.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we believe demand for our products depends upon consumer demand for furniture and bedding products, which reflects sensitivity to overall economic conditions, including consumer confidence, unemployment rates, and housing market conditions. During the fourth quarter of fiscal 2020, the bedding and furniture industries, including manufacturers and retail stores, were adversely impacted by closures/restricted operations, supply chain disruption, and economic uncertainty due to the COVID-19 global pandemic. This impact is not reflective of any seasonal trends in the bedding or furniture industries and is not an indicator that seasonal trends are changing for our business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mattress fabrics business and the bedding industry in general are slightly seasonal, with sales being the highest in early spring and late summer, with another peak in mid-winter.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upholstery fabrics business today is less seasonal than it once was. In the past, seasonality resulted from one-week closings of our manufacturing facilities and the facilities of most of our customers in the U.S. during our first and third fiscal quarters for the holiday weeks of July 4th and Christmas. This effect has become much less pronounced as a larger portion of our fabrics are produced or sold in locations outside of the U.S. The timing of the Chinese National Holiday in October and, to a larger extent, the Chinese New Year (which occurs in January or February each year) now have a more significant impact on upholstery sales than the U.S. holiday periods, often causing sales to be higher in advance of these Chinese holiday periods and sometimes lower during or immediately following the same periods.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Competition for our products is high and is based primarily on price, design, quality, timing of delivery, and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mattress fabrics market is concentrated in a few relatively large suppliers, as well as some niche producers focusing mainly on knitted products. We believe our principal mattress fabric competitors are BekaertDeslee Textiles, Global Textile Alliance, and several smaller companies producing knitted fabrics, sewn covers, and other fabric. In addition, our bedding customers continue to face increasing competition from imports of finished beds, which indirectly compete with our mattress fabrics by replacing potential sales of our products to those customers.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upholstery fabrics market, we compete against a large number of companies, ranging from a few large manufacturers comparable in size to the company to small producers and converters (companies who buy and re-sell fabrics, but have no manufacturing). We believe our principal upholstery fabric competitors are Dorell Fabrics Co., Merrimack Fabrics, Morgan Fabrics, Richloom Fabrics, and Specialty Textile, Inc. (or STI), plus a large number of smaller competitors (both manufacturers and converters).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trend in the upholstery fabrics industry to greater overseas competition and the entry of more converters has caused the upholstery fabrics industry to become substantially more fragmented in recent years, with lower barriers to entry. This has resulted in a larger number of competitors selling upholstery fabrics, with an increase in competition based on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federal and state laws and regulations, including the Occupational Safety and Health Act (“OSHA”) and federal and state environmental laws, as well as similar laws governing our manufacturing facilities in China and Canada. We periodically review our compliance with these laws and regulations in an attempt to minimize the risk of violations.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Congress is considering legislation to address climate change that is intended to reduce overall greenhouse gas emissions, including carbon dioxide. In addition, the U.S. Environmental Protection Agency has made a determination that greenhouse gas emissions may be a threat to human health and the environment. International agreements may also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periodically involved in environmental claims or litigation and requests for information from environmental regulators. Each of these matters is carefully evaluated, and the company provides for environmental matters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 2020, we had 1,399 employees, compared to 1,387 at April 28, 2019. Overall, our total number of employees has increased over the past five years primarily due to the growth in our mattress fabrics segment. The decrease in the number of employees in our upholstery fabrics segment in fiscal 2020, as compared to fiscal 2019, is associated with the transition of some of our China cut and sew production to our strategic supplier in Vietnam, while the decrease in the number of employees in fiscal 2019 as compared to fiscal 2018 is attributed to the closure of our Anderson, South Carolina, facility during the second quarter of fiscal 2019.</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hourly employees at our manufacturing facility in Canada (approximately 12% of the company’s workforce) are represented by a local, unaffiliated union. Although the collective bargaining agreement for these employees expired on February 1, 2020, we continue to operate under the terms of this agreement while negotiations are underway for a new agreement. Negotiations have been delayed in connection with disruption from the COVID-19 pandemic but are expected to resume during the first quarter of fiscal 2021. We are not aware of any efforts to organize any more of our employees, and we believe our relations with our employees are good.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The following table illustrates the changes in the location of our workforce and number of employees, as of year-end, over the past five fiscal years and excludes the effect of employees associated with discontinued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Number of Employees</w:t>
            </w:r>
          </w:p>
        </w:tc>
        <w:tc>
          <w:tcPr>
            <w:tcW w:w="1140" w:type="dxa"/>
            <w:vAlign w:val="bottom"/>
            <w:tcBorders>
              <w:bottom w:val="single" w:sz="8" w:color="auto"/>
            </w:tcBorders>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2020</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2019</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Fiscal 2018</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2017</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Fiscal 2016</w:t>
            </w: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Mattress Fabrics Segment</w:t>
            </w: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507</w:t>
            </w: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Canada</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 xml:space="preserve">Haiti </w:t>
            </w:r>
            <w:r>
              <w:rPr>
                <w:rFonts w:ascii="Arial" w:cs="Arial" w:eastAsia="Arial" w:hAnsi="Arial"/>
                <w:sz w:val="14"/>
                <w:szCs w:val="14"/>
                <w:color w:val="auto"/>
              </w:rPr>
              <w:t>(1)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Mattress Fabrics Segment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682</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Upholstery Fabrics Segment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China</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23"/>
        </w:trPr>
        <w:tc>
          <w:tcPr>
            <w:tcW w:w="5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Upholstery Fabrics Segment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507</w:t>
            </w: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Total Shared Services </w:t>
            </w:r>
            <w:r>
              <w:rPr>
                <w:rFonts w:ascii="Arial" w:cs="Arial" w:eastAsia="Arial" w:hAnsi="Arial"/>
                <w:sz w:val="14"/>
                <w:szCs w:val="14"/>
                <w:color w:val="auto"/>
              </w:rPr>
              <w:t>(2)</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23"/>
        </w:trPr>
        <w:tc>
          <w:tcPr>
            <w:tcW w:w="5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1,217</w:t>
            </w:r>
          </w:p>
        </w:tc>
      </w:tr>
    </w:tbl>
    <w:p>
      <w:pPr>
        <w:spacing w:after="0" w:line="229" w:lineRule="exact"/>
        <w:rPr>
          <w:sz w:val="20"/>
          <w:szCs w:val="20"/>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Employees reported within the Haiti location are affiliated with our unconsolidated fifty percent owned joint venture, CLASS International Holdings, Ltd., which commenced production in the second quarter of fiscal 2018.</w:t>
      </w:r>
    </w:p>
    <w:p>
      <w:pPr>
        <w:spacing w:after="0" w:line="14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compensation and related benefit costs associated with employees reported within shared services is allocated between our mattress fabrics segment, upholstery fabrics segment, and unallocated corporate.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Major customers for our mattress fabrics include the leading bedding manufacturers: Serta-Simmons Bedding (SSB), Tempur + Sealy International (TSI), Corsicana Bedding, and Casper. Our largest customer in the mattress fabrics segment is Serta Simmons Holdings, LLC, accounting for approximately 13% of the company’s overall sales in fiscal 2020. These sales include sales to customers who are also subcontractors for Serta Simmons Holdings, LLC. Our mattress fabrics customers also include many small and medium-size bedding manufacturers.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major customers for upholstery fabrics are leading manufacturers of upholstered furniture, including Ashley, Flexsteel, Franklin Fusion, Kuka, La-Z-Boy (La-Z-Boy Residential and England), and Southern Motion. Major customers for the company’s fabrics for commercial furniture include HNI Corporation and Wyndham Destinations. Our largest customer in the upholstery fabrics segment is La-Z-Boy Incorporated, which accounted for approximately 12% of the company’s consolidated sales in fiscal 2020.</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net sales by geographic area by amount and percentage of total net sales for the three most recent fiscal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Net Sales by Geographic Area</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4320" w:type="dxa"/>
            <w:vAlign w:val="bottom"/>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3"/>
        </w:trPr>
        <w:tc>
          <w:tcPr>
            <w:tcW w:w="43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Fiscal 2020</w:t>
            </w:r>
          </w:p>
        </w:tc>
        <w:tc>
          <w:tcPr>
            <w:tcW w:w="9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Fiscal 2019</w:t>
            </w:r>
          </w:p>
        </w:tc>
        <w:tc>
          <w:tcPr>
            <w:tcW w:w="9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Fiscal 2018</w:t>
            </w:r>
          </w:p>
        </w:tc>
        <w:tc>
          <w:tcPr>
            <w:tcW w:w="800" w:type="dxa"/>
            <w:vAlign w:val="bottom"/>
            <w:tcBorders>
              <w:bottom w:val="single" w:sz="8" w:color="CFF0FC"/>
            </w:tcBorders>
          </w:tcPr>
          <w:p>
            <w:pPr>
              <w:spacing w:after="0"/>
              <w:rPr>
                <w:sz w:val="24"/>
                <w:szCs w:val="24"/>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189,073</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73.8%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209,089</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74.3%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249,529</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77.1%</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North America (Excluding USA)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27,637</w:t>
            </w: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0"/>
              </w:rPr>
              <w:t>10.8%</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29,247</w:t>
            </w: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0"/>
              </w:rPr>
              <w:t>10.4%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27,844</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8.6%</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Far East and Asia</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36,470</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14.2%</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39,277</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14.0%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40,671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12.6%</w:t>
            </w: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areas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2,986</w:t>
            </w:r>
          </w:p>
        </w:tc>
        <w:tc>
          <w:tcPr>
            <w:tcW w:w="920" w:type="dxa"/>
            <w:vAlign w:val="bottom"/>
            <w:tcBorders>
              <w:bottom w:val="single" w:sz="8" w:color="CFF0FC"/>
            </w:tcBorders>
          </w:tcPr>
          <w:p>
            <w:pPr>
              <w:jc w:val="center"/>
              <w:ind w:right="10"/>
              <w:spacing w:after="0"/>
              <w:rPr>
                <w:sz w:val="20"/>
                <w:szCs w:val="20"/>
                <w:color w:val="auto"/>
              </w:rPr>
            </w:pPr>
            <w:r>
              <w:rPr>
                <w:rFonts w:ascii="Arial" w:cs="Arial" w:eastAsia="Arial" w:hAnsi="Arial"/>
                <w:sz w:val="18"/>
                <w:szCs w:val="18"/>
                <w:color w:val="auto"/>
                <w:w w:val="92"/>
              </w:rPr>
              <w:t>1.2%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3,712</w:t>
            </w:r>
          </w:p>
        </w:tc>
        <w:tc>
          <w:tcPr>
            <w:tcW w:w="920" w:type="dxa"/>
            <w:vAlign w:val="bottom"/>
            <w:tcBorders>
              <w:bottom w:val="single" w:sz="8" w:color="CFF0FC"/>
            </w:tcBorders>
          </w:tcPr>
          <w:p>
            <w:pPr>
              <w:jc w:val="center"/>
              <w:ind w:right="50"/>
              <w:spacing w:after="0"/>
              <w:rPr>
                <w:sz w:val="20"/>
                <w:szCs w:val="20"/>
                <w:color w:val="auto"/>
              </w:rPr>
            </w:pPr>
            <w:r>
              <w:rPr>
                <w:rFonts w:ascii="Arial" w:cs="Arial" w:eastAsia="Arial" w:hAnsi="Arial"/>
                <w:sz w:val="18"/>
                <w:szCs w:val="18"/>
                <w:color w:val="auto"/>
                <w:w w:val="92"/>
              </w:rPr>
              <w:t>1.3%</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5,681</w:t>
            </w:r>
          </w:p>
        </w:tc>
        <w:tc>
          <w:tcPr>
            <w:tcW w:w="8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1.8%</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Subtotal (International)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67,093</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26.2%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72,236</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25.7%</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74,196</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22.9%</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256,166</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281,325</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323,725</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100.0%</w:t>
            </w:r>
          </w:p>
        </w:tc>
      </w:tr>
    </w:tbl>
    <w:p>
      <w:pPr>
        <w:spacing w:after="0" w:line="22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this amount, $21.7 million, $22.5 million, and $21.9 million are attributable to shipments to Mexico in fiscal 2020, 2019, and 2018, respectively.</w:t>
      </w:r>
    </w:p>
    <w:p>
      <w:pPr>
        <w:spacing w:after="0" w:line="207" w:lineRule="exact"/>
        <w:rPr>
          <w:rFonts w:ascii="Arial" w:cs="Arial" w:eastAsia="Arial" w:hAnsi="Arial"/>
          <w:sz w:val="16"/>
          <w:szCs w:val="16"/>
          <w:color w:val="auto"/>
        </w:rPr>
      </w:pPr>
    </w:p>
    <w:p>
      <w:pPr>
        <w:jc w:val="center"/>
        <w:ind w:left="5540" w:right="200" w:hanging="5532"/>
        <w:spacing w:after="0" w:line="527" w:lineRule="auto"/>
        <w:tabs>
          <w:tab w:leader="none" w:pos="513"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this amount, $21.4 million, $29.8 million, and $32.6 million are attributable to shipments to China in fiscal 2020, 2019, and 2018, respectively.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Sales are attributed to individual countries based upon the location that the company ships its products to for delivery to customers.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segment information, including the geographic location of long-lived assets, see Note 21 in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backlog for the mattress fabric segment is not a reliable predictor of future shipments because the majority of sales for the mattress fabrics segment are on a just-in-time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it is difficult to predict the amount of backlog that is “firm,” we have reported the portion of the upholstery fabric backlog from customers with confirmed shipping dates within five weeks of the end of the fiscal year. On May 3, 2020, the portion of the upholstery fabric backlog with confirmed shipping dates prior to June 8, 2020 was $10.6 million, compared with $10.7 million as of the end of fiscal 2019 (for confirmed shipping dates prior to June 3, 2019). However, due to the disruption relating to the COVID-19 pandemic during the fourth quarter of fiscal 2020, many customers delayed shipments that were included in the backlog for the fiscal 2020 year, but there were only minimal cancellations of orders.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we seek to diligently protect, monitor, and defend, through appropriate action, against their unauthorized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or financial condition. The risks described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Market, and Strategic Risks</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ongoing global COVID-19 pandemic has significantly and adversely affected, and may continue to adversely affect, our business, financial position, results of operations, and cash flows.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global spread of COVID-19 in recent months has negatively affected the global and U.S. economy, severely disrupted global supply chains, and created significant volatility and disruption in financial markets, all of which have negatively affected, and continue to negatively affect, the bedding and home furnishings industries, our customers and suppliers, and our business. Many countries, including the countries in which we operate, as well as state and local governmental authorities, have taken various actions to mitigate the spread of COVID-19, including travel restrictions, stay-at-home orders, restrictions on public gatherings, social distancing measures, mandated closures of non-essential businesses, occupancy limits, and other safety measures.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government-mandated closure requirements near the end of March 2020, we shut down our facilities in Canada and Haiti for several weeks. At the same time, we experienced a rapid decline in demand as customers and retail stores began closing or substantially limiting their operations. We took a number of measures in response to the increasingly challenging market conditions, including, among other things, repurposing a portion of our available operations to produce face masks, bedding covers, and fabrics for healthcare operations and consumer health; reducing operating costs by implementing temporary salary reductions, making workforce adjustments to align with demand, suspending merit pay increases, and eliminating the cash compensation paid to our board of directors; aggressively reducing expenses, capital expenditures, and discretionary spending, and working with our vendors and landlords to negotiate temporary terms. We have also taken steps to mitigate the risk of COVID-19 to our employees, including implementing detailed cleaning and disinfecting processes at our facilities, instituting temperature checks, adhering to social distancing protocols, suspending non-essential travel, restricting visitors, and providing remote work opportunities where possible.</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ongoing COVID-19 pandemic and any additional preventative or protective actions that governmental authorities or we may take in response to the pandemic may continue to have a material adverse effect on our business or the business of our customers, suppliers, or distribution channels, including additional business shutdowns, reduced operations, restrictions on shipping or installing products, reduced consumer demand, or the ability of our customers to make payments. In addition, preparing for and responding to the ongoing pandemic could divert management’s attention from our key strategic priorities, increase costs as we prioritize the health and safety of our employees and customers, cause us to reduce, delay, alter, or abandon strategic initiatives that may otherwise increase our long-term value, and otherwise continue to disrupt our business operations. Also, while we believe the employee-safety measures we have implemented or others we may take in the future are temporary, they may continue until after the pandemic is contained and could amplify existing risks or introduce new risks that could adversely affect our business, including, but not limited to, risks related to internal controls and cybersecurity. Furthermore, these safety measures may not be successful in preventing the spread of the virus among our employees and we could face litigation or other claims related to unsafe working conditions, inadequate protection of our employees, or other similar or related claims. Any of these claims, even if without merit, could result in costly litigation or further divert management's attention and resources.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ongoing impact of the COVID-19 pandemic continues to evolve rapidly and depends on factors beyond our knowledge or control, including the duration and severity of the outbreak, actions taken to contain its spread and mitigate the public health and economic effects, and the short- and long-term disruption to the global economy, consumer confidence, unemployment, and the financial health of our customers, suppliers, and distribution channels. At this time, we cannot reasonably estimate the ongoing impact of the COVID-19 pandemic on our business or on our future financial or operational results; however, the disruption could have a material adverse effect on our business, financial condition, results of operations, and cash flows over time. Furthermore, the impact of the COVID-19 pandemic may also exacerbate other risks discussed in this Item 1A – Risk Factors, any of which could have a material adverse effect on our operations.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in the future there is an outbreak of another highly infectious disease or other health concern or epidemic, we may be subject to similar risks as those currently posed by COVID-19.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Continued economic uncertainty could negatively affect our sales and earnings.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demand for our products depends upon consumer demand for furniture and bedding products, which is subject to variations in the general economy, including the current and evolving negative economic impact of the COVID-19 pandemic. Because purchases of furniture and bedding products are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home furnishings, which reduces the demand for our products and therefore can cause a decline in our sales and earnings. Continued economic uncertainty has caused a decrease in consumer spending and demand for home furnishings, including goods that incorporate our products. If these conditions persist, including as a result of ongoing economic uncertainty in connection with the COVID-19 pandemic, our business will be negatively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market share due to competition would result in declines in sales and could result in losses or decreases in earnings.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As a result of increased competition, there have been deflationary pressures on the prices for many of our products, which make it more difficult to pass along increased operating costs such as raw materials, energy or labor in the form of price increases and puts downward pressure on our profit margins. Also, the wide range of product offerings in our business can make it more difficult to differentiate our products through design, styling, finish, and other techniques.</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operations are subject to risks of unsettled political conditions, civil unrest or instability, public health concerns or pandemics, natural or man-made disasters, acts of war, and terrorism, any one of which could adversely affect our business and results of operations.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domestic and foreign operations are subject to risks of unsettled political conditions, civil unrest of instability, public health concerns or pandemics, natural or man-made disasters, acts of war, and terrorism. Any of these risks could cause disruption at our manufacturing or distribution facilities, or at the facilities of our suppliers and distribution channels, which could make servicing our customers more difficult and could reduce our sales, earnings, or both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may be adversely affected by increased tariffs or other changes in U.S. policy related to imported products, as well as violations of existing trade policies.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manufactured or sourced outside of the United States. The U.S. government has compiled a list of products under consideration for potential tariffs on imports from many countries, including China, where a significant amount of our products are produced. Certain tariffs have been imposed, and negotiations continue regarding possible additional tariffs and other categories of products subject to the already-imposed tariffs. Any tariffs that result in increased costs of imported products and materials could require us to increase prices to our domestic customers or, if we are unable to do so, result in lowering our gross margins on products sold. As a result, the tariffs could have a material adverse effect on our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recent announcements about tariffs, the U.S. government is considering other proposals for substantial changes to its trade and tax policies, which could include import restrictions, increased import tariffs, changes to or withdrawal from existing trade agreements, and border-adjustment taxes, among other possible measures. Material changes in these policies could increase our tax obligations or require us to increase prices to customers, which could adversely affect sales. Any significant change in U.S. policy related to imported products could have a material adverse effect on our business and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There are also a number of trade regulations and duties currently in place to protect the U.S. textile industry against competition from low-priced foreign producers, such as those in China and Vietnam, but violations of these trade regulations and duties has had, and may 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started to occur,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Also, 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 During fiscal 2020, the U.S. mattress industry was affected by continued disruption relating to low-priced mattress imports that moved from China to other countries, which affected demand for our products. Recent anti-dumping duty petitions have been filed with the U.S. International Trade Commission (ITC) and U.S. Department of Commerce against seven of these countries for engaging in unfair trade practices relating to low-priced mattress imports, and the ITC has reached a preliminary determination allowing these petitions to move forward. However, these petitions may be unsuccessful, or if successful, supply chains could then move out of the affected countries to other countries without anti-dumping duties and continue supplying low-priced imports in violation of U.S. trade laws.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Finally, geo-political pressures associated with the COVID-19 pandemic may also introduce uncertainty into many markets, including with respect to tariffs and freight.</w:t>
      </w:r>
    </w:p>
    <w:p>
      <w:pPr>
        <w:spacing w:after="0" w:line="12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Greater reliance on offshore operations and foreign sources of products or raw materials increases the likelihood of disruptions to our supply chain or our ability to deliver products to our customers on a timely basis.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significantly on operations in distant locations, especially China, and in addition we have been purchasing a significant share of our products and raw materials from offshore sources, particularly Asia and Turkey. At the same time, with the closure of our Anderson, South Carolina plant during the first half of fiscal 2019, our domestic manufacturing capacity for the upholstery fabrics segment continues to decline. These changes have caused us to rely on an extended supply chain and on a larger number of suppliers that we do not control, both of which are inherently subject to greater risks of delay or disruption. In addition, operations and sourcing in foreign areas are subject to the risk of changing local governmental rules, taxes, changes in import rules or customs, tariffs, shipping rates, potential political unrest and instability, or other threats that could disrupt or increase the costs of operating in foreign areas or sourcing products overseas. Changes in the value of the U.S. dollar versus other currencies can affect our financial results because a significant portion of our operations are located outside the United States. Strengthening of the U.S. dollar against other currencies can have a negative impact on our sales of products produced in those countries. Any of the risks associated with foreign operations and sources could cause unanticipated increases in operating costs or disruptions in business, which could negatively impact our ultimate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faces several risks associated with doing business in China</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source a variety of fabrics from a limited number of strategic suppliers in China, and we operate two upholstery manufacturing facilities and one inspection facility in Shanghai, China. The Chinese economy is characterized by extensive state ownership, control, and regulation. Therefore, our business is continually subject to the risk of changes in Chinese laws and regulations that could have an adverse effect on our suppliers and manufacturing operations. Any changes in policies governing tariffs, imports and exports, taxation, inflation, environmental regulations, foreign currency exchange rates, the labor market, property, and financial regulations could have an adverse effect on our business. Further, the Chinese legal system is continuing to develop and evolve, and the enforcement of rules and regulations is not always consistent or uniform. Moreover, any potential civil unrest, natural disasters, or other threats could disrupt or increase the costs of operating in China. The Chinese economy poses additional risks to our business, including fluctuating rates of inflation and currency exchange rates, a declining labor force participation rate, and rising employee wages. In addition, changes in the political climate or trade policy of the United States, such as increased duties or tariffs on Chinese imports, may adversely affect our business, and geo-political pressures associated with the COVID-19 pandemic may also introduce additional uncertainty, including with respect to tariffs and freight. Any of the risks associated with our Chinese operations and sources could cause unanticipated increases in operating costs or disruptions in business, which could negatively affect our ultimate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managing the outsourcing arrangements being used for products and services.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outside sources for various products and services, including yarn and other raw materials, greige (unfinished) fabrics, finished fabrics, and services such as weaving and finishing.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Write-offs or write-downs of assets would result in a decrease in our earnings and shareholders’ equity.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long-lived assets, primarily consisting of property, plant and equipment, goodwill, and other intangible assets. ASC Topic 360 establishes an impairment accounting model for long-lived assets such as property, plant, and equipment and requires the company to assess for impairment whenever events or changes in circumstances indicate that the carrying value of the asset may not be recovered. ASC Topic 350 requires that goodwill and other intangible assets be tested at least annually for impairment or whenever events or changes in circumstances indicate that the carrying value of the asset may not be recovered.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Identifying and assessing whether impairment indicators exist, or if events or changes in circumstances have occurred, including market conditions, operating results, competition and general economic conditions, requires significant judgment. Any of such future actions could result in charges that could have an adverse effect on our financial condition and results of operations, and there is no assurance that future write-downs of fixed assets, goodwill, or other intangible assets will not occur if business conditions were to deteriorate.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impairment assessment conduced during the third quarter of fiscal 2020 and our annual impairment assessment conducted during the fourth quarter of fiscal 2020, we recorded asset impairment charges associated with our goodwill and tradenames totaling $33.9 million during the fiscal 2020 year. Of the total $33.9 million asset impairment charges, $27.2 million and $6.7 million pertained to goodwill and tradenames, respectively. Due to the asset impairment charge of $27.2 million associated with our goodwill, no goodwill was reported on our Consolidated Balance Sheet as of May 3, 2020. See notes 8 and 9 located in the notes to the consolidated financial statements for further details of our assessments of impairment, conclusions reached, and the performance of our quantitative tests.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2019, we closed our Anderson, South Carolina upholstery fabrics facility due to the continued decline in demand for the products manufactured at this facility, reflecting change in consumer style preferences. As a result of this plant closure, were recorded inventory markdowns totaling $1.6 million, which were mostly offset by a gain on the sale of property, plant, and equipment of $1.5 million.</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upon outside suppliers for most of our raw material needs, and we rely upon outside suppliers for component materials such as yarn and unfinished fabrics, as well as for certain services such as finishing and weaving. Fluctuations in the price, availability, and quality of these goods and services could have a negative effect on our production costs and ability to meet the demands of our customers, which would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earnings. Although our raw material costs were lower in fiscal 2020 compared to the prior year, higher raw material prices in the future would result in downward pressure on our profit margins and earnings.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energy costs would increase our operating costs and could adversely affect earnings.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difficulties or failures of large customers could result in a decrease in our sales and earnings.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several customers that account for a substantial portion of our sales. In the mattress fabrics segment, several large bedding manufacturers have large market shares and comprise a significant portion of our mattress fabric sales, with Serta Simmons Holdings, LLC accounting for approximately 13% of consolidated net sales in fiscal 2020. These include sales to customers who are also subcontractors for Serta Simmons Holding, LLC. In the upholstery fabrics segment, La-Z-Boy Incorporated accounted for approximately 13% of consolidated net sales during fiscal 2020,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Additionally, as a result of the COVID-19 pandemic during the fourth quarter of fiscal 2020, some customers experienced cash flow challenges and requested extended payment terms. If the negative economic impact of COVID-19 continues or if a similar pandemic or another major, unexpected event with negative economic effects occurs, we may not be able to collect amounts owed to us or such payment may only occur after significant delay. While we perform credit evaluations of our customers, those evaluations may not prevent uncollectible trade accounts receivable. Credit evaluations involve significant management diligence and judgment,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anticipate and respond to changes in consumer tastes and fashion trends, our sales and earnings may decline.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incorrect projections about the demand for certain products could cause the accumulation of excess raw material or finished goods inventory, which could lead to inventory mark-downs and decreases in earnings.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increasingly rely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poses risks that sensitive data may be permanently lost or leaked to the public or other unauthorized persons. With the growing use and rapid evolution of technology, including internet selling, cloud-based computing and mobile devices, there are additional risks of unintentional data leaks. There is also the risk of our exposure to theft of confidential information, intentional vandalism, industrial espionage, and a variety of cyber-attacks, including phishing attempts, that could compromise our internal technology system, infrastructure, or result in data leakage in-house or at our third-party providers and business partners. Failures of technology or related systems, or an improper release of confidential information, could damage our business or subject us to unexpected liabilities. 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 taken steps to ensure that losses arising from a breach would be covered in part by insurance that we carry.</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due to the COVID-19 pandemic, we have permitted certain employees to work from home in order to limit the number of people at our facilities. Although we continue to implement strong physical and cybersecurity measures to ensure that our business operations remain functional and to ensure uninterrupted service to our customers, our systems and our operations remain vulnerable to cyberattacks and other disruptions due to the fact that more employees are working remotely, and we cannot be certain that our mitigation efforts will be effective.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recruit and retain key employees and skilled workers in a competitive labor market.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cannot successfully recruit and retain key employees and skilled workers or if we experience the unexpected loss of those employees, our operations may be negatively affected. A shortage of qualified personnel may require us to enhance our compensation in order to compete effectively in the hiring and retention of qualified employees.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are and will continue to be dependent upon our senior management team and other key personnel. Losing the services of one or more key members of our management team or other key personnel could adversely affect our operations. COVID-19 may also increase the risk that certain senior management executives or a member of the board of directors could become ill, causing them to be incapacitated or otherwise unable to perform their duties for an extended absence. Furthermore, because of the nature of the disease, multiple people working in proximity could also become ill simultaneously, which could result in the same department having extended absences. This could negatively affect the efficiency and effectiveness of processes and internal controls throughout the company.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possible, we have permitted work-from-home arrangements for certain employees in order to limit the number of people at our facilities due to the COVID-19 pandemic. The effects of stay-at-home orders and our work-from-home policies may negatively affect productivity and disrupt our business, the magnitude of which will depend, in part, on the length and severity of the restrictions and other limitations on our ability to conduct our business in the ordinary course.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both"/>
        <w:spacing w:after="0" w:line="282" w:lineRule="auto"/>
        <w:rPr>
          <w:sz w:val="20"/>
          <w:szCs w:val="20"/>
          <w:color w:val="auto"/>
        </w:rPr>
      </w:pPr>
      <w:r>
        <w:rPr>
          <w:rFonts w:ascii="Arial" w:cs="Arial" w:eastAsia="Arial" w:hAnsi="Arial"/>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we may be unable to prevent other companies from using our fabric designs or trademarks in connection with competitive products, which could adversely affect our sales, profitability, cash flows and financial condition.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and expect to continue to make acquisitions, which could involve certain risks and uncertainties.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require funding from external sources, which may not be available at the levels we require or may cost more than we expect. As a result, our expenses and operating results could be negatively affected.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review and evaluate our liquidity and capital needs. In March 2020, in order to increase balance sheet flexibility during the COVID-19 crisis, we proactively drew down $29.8 million under our $30 million domestic revolving credit facility, as well as an additional $1 million under our $5 million China credit facility. We subsequently repaid these borrowings in full in June of 2020 based on improving business conditions. We believe our available cash, cash equivalents, and cash flow from operations will be enough to finance our operations and expected capital requirements for at least the next 12 months. However, if we experience a sustained decline in revenue relating to the COVID-19 pandemic, there may be periods in which we may require additional external funding to support our operations.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July 17, 2020, we had approximately $35 million in combined total borrowing availability under our domestic credit facility and our China credit facility. In the event we require additional liquidity from our lenders that exceeds the availability under our credit facilities at such time, such funds may not be available to us. In addition, outstanding amounts under the credit facility may become immediately due and payable upon certain events of default, including a failure to comply with the financial covenants or certain other affirmative and negative covenants in the credit agreements. If we are unable to access additional credit at the levels we require, or the cost of credit is greater than expected, it could adversely affect our operating results or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jc w:val="both"/>
        <w:spacing w:after="0" w:line="282" w:lineRule="auto"/>
        <w:rPr>
          <w:sz w:val="20"/>
          <w:szCs w:val="20"/>
          <w:color w:val="auto"/>
        </w:rPr>
      </w:pPr>
      <w:r>
        <w:rPr>
          <w:rFonts w:ascii="Arial" w:cs="Arial" w:eastAsia="Arial" w:hAnsi="Arial"/>
          <w:sz w:val="18"/>
          <w:szCs w:val="18"/>
          <w:b w:val="1"/>
          <w:bCs w:val="1"/>
          <w:color w:val="auto"/>
        </w:rPr>
        <w:t>Changes in the method of determining the London Interbank Offered Rate (LIBOR), or the replacement of LIBOR with an alternative reference rate, may adversely affect interest rates.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27, 2017, the Financial Conduct Authority (the authority that regulates LIBOR) announced that it would phase out LIBOR as a benchmark by the end of 2021. It is unclear whether new methods of calculating LIBOR will be established such that it continues to exist after 2021, or whether different benchmark rates used to price indebtedness will develop. Changes in the method of calculating LIBOR, or the replacement of LIBOR with an alternative rate or benchmark, may adversely affect interest rates and result in higher borrowing costs. Our domestic revolving credit facility, which expires August 15, 2022, uses LIBOR as the benchmark for setting the interest rate thereunder. In March of 2020, we amended this credit facility to, among other things, address a phase out of LIBOR by providing for an alternative benchmark. We cannot predict the effect of the use of this alternative benchmark, but our interest expense could increase and our available cash flow for general corporate requirements may be adversely affected. In addition, the overall financial market may be disrupted as a result of the phase-out or replacement of LIBOR. Disruption in the financial market could have a material adverse effect on our financial position, results of operations, and liquidity.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and environmental regulations that could adversely affect our sales and earnings.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in the future may be, a party to legal proceedings and claims, including environmental matters, product liability, and employment disputes, some of which claim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comply with many governmental regulations applicable to our business, and changes in those regulations could adversely affect our business.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products and raw materials are and will continue to be subject to regulation in the United States by various federal, state, and local regulatory authorities. In addition, other governments and agencies in other jurisdictions regulate the manufacture, sale, and distribution of our products and raw materials. Also, rules and restrictions regarding the importation of fabrics and other materials, including custom duties, tariffs, quotas and other regulations, are continually changing. Environmental laws, labor laws, tax regulations, and other regulations continually affect our business. These rules and regulations can and do change from time to time, which can increase our costs or require us to make changes in our manufacturing processes, product mix, sources of products and raw materials, or distribution. Changes in the rules and regulations applicable to our business may negatively affect our sales and earnings.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headquarters are located in High Point, North Carolina. As of the end of fiscal 2020 (May 3, 2020), we leased our corporate headquarters and owned or leased fourteen facilities associated with our mattress and upholstery fabrics operations. The following is a list of our administrative and production facilities. Our facilities listed below are organized by business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Approx.</w:t>
            </w:r>
          </w:p>
        </w:tc>
        <w:tc>
          <w:tcPr>
            <w:tcW w:w="16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Total Area</w:t>
            </w: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Expiration</w:t>
            </w: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4080" w:type="dxa"/>
            <w:vAlign w:val="bottom"/>
            <w:gridSpan w:val="3"/>
          </w:tcPr>
          <w:p>
            <w:pPr>
              <w:ind w:left="160"/>
              <w:spacing w:after="0"/>
              <w:rPr>
                <w:sz w:val="20"/>
                <w:szCs w:val="20"/>
                <w:color w:val="auto"/>
              </w:rPr>
            </w:pPr>
            <w:r>
              <w:rPr>
                <w:rFonts w:ascii="Arial" w:cs="Arial" w:eastAsia="Arial" w:hAnsi="Arial"/>
                <w:sz w:val="18"/>
                <w:szCs w:val="18"/>
                <w:b w:val="1"/>
                <w:bCs w:val="1"/>
                <w:color w:val="auto"/>
              </w:rPr>
              <w:t>Principal Use</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(Sq. Ft.)</w:t>
            </w: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of Lease (1)</w:t>
            </w:r>
          </w:p>
        </w:tc>
      </w:tr>
      <w:tr>
        <w:trPr>
          <w:trHeight w:val="223"/>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Administrative:</w:t>
            </w:r>
          </w:p>
        </w:tc>
        <w:tc>
          <w:tcPr>
            <w:tcW w:w="160" w:type="dxa"/>
            <w:vAlign w:val="bottom"/>
            <w:tcBorders>
              <w:top w:val="single" w:sz="8" w:color="CFF0FC"/>
            </w:tcBorders>
            <w:shd w:val="clear" w:color="auto" w:fill="CFF0FC"/>
          </w:tcPr>
          <w:p>
            <w:pPr>
              <w:spacing w:after="0"/>
              <w:rPr>
                <w:sz w:val="19"/>
                <w:szCs w:val="19"/>
                <w:color w:val="auto"/>
              </w:rPr>
            </w:pPr>
          </w:p>
        </w:tc>
        <w:tc>
          <w:tcPr>
            <w:tcW w:w="3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Upholstery fabric division offices and corporate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headquarters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36,643</w:t>
            </w:r>
          </w:p>
        </w:tc>
        <w:tc>
          <w:tcPr>
            <w:tcW w:w="16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2034</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ind w:left="100"/>
              <w:spacing w:after="0"/>
              <w:rPr>
                <w:sz w:val="20"/>
                <w:szCs w:val="20"/>
                <w:color w:val="auto"/>
              </w:rPr>
            </w:pPr>
            <w:r>
              <w:rPr>
                <w:rFonts w:ascii="Arial" w:cs="Arial" w:eastAsia="Arial" w:hAnsi="Arial"/>
                <w:sz w:val="18"/>
                <w:szCs w:val="18"/>
                <w:b w:val="1"/>
                <w:bCs w:val="1"/>
                <w:color w:val="auto"/>
              </w:rPr>
              <w:t>Mattress Fabrics: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Stokesdale,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and headquarters office</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299,163</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Owned</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Stokesdale,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Distribution center</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220,222</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Owned</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63,522</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 and offices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65,886</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2023</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 Jerome, Quebec, Canada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202,500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Owned</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Ouanaminthe, Haiti (3)</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2025</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ind w:left="100"/>
              <w:spacing w:after="0"/>
              <w:rPr>
                <w:sz w:val="20"/>
                <w:szCs w:val="20"/>
                <w:color w:val="auto"/>
              </w:rPr>
            </w:pPr>
            <w:r>
              <w:rPr>
                <w:rFonts w:ascii="Arial" w:cs="Arial" w:eastAsia="Arial" w:hAnsi="Arial"/>
                <w:sz w:val="18"/>
                <w:szCs w:val="18"/>
                <w:b w:val="1"/>
                <w:bCs w:val="1"/>
                <w:color w:val="auto"/>
              </w:rPr>
              <w:t>Upholstery Fabrics: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Burlington,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Finished goods distribution</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132,000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2028</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Burlington,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Design center</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13,750</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2026</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Knoxville, Tennessee</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and offices</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37,700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2033</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Manufacturing, warehouse, offices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68,677</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2021</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warehouse, offices</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89,857</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2024</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 and offices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89,861</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2021</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Warehouse</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64,583</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2024</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48,610</w:t>
            </w: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2021</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all options to renew.</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lease agreement is currently on a month to month basis.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leased facility pertains to our 50% owned joint venture associated with Class International Holdings, Ltd (See Note 10 of the consolidated financial statements for further details).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management has estimated that it is currently performing at near capacity. Also, we have the ability to source additional mattress fabric from outside suppliers to further increase our ultimate output of finished goods.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legal proceedings to which the company, or its subsidiaries, is a party to or of which any of their property is the subject that are required to be disclosed under this item.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should be mailed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505000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Overnight correspondence should be sent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181" w:lineRule="auto"/>
        <w:rPr>
          <w:sz w:val="20"/>
          <w:szCs w:val="20"/>
          <w:color w:val="auto"/>
        </w:rPr>
      </w:pPr>
      <w:r>
        <w:rPr>
          <w:rFonts w:ascii="Arial" w:cs="Arial" w:eastAsia="Arial" w:hAnsi="Arial"/>
          <w:sz w:val="17"/>
          <w:szCs w:val="17"/>
          <w:color w:val="auto"/>
        </w:rPr>
        <w:t>462 South 4</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1600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(800) 254-5196</w:t>
      </w:r>
    </w:p>
    <w:p>
      <w:pPr>
        <w:spacing w:after="0" w:line="23" w:lineRule="exact"/>
        <w:rPr>
          <w:sz w:val="20"/>
          <w:szCs w:val="20"/>
          <w:color w:val="auto"/>
        </w:rPr>
      </w:pPr>
    </w:p>
    <w:p>
      <w:pPr>
        <w:ind w:right="842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575-2879 (Foreign shareholders) www.computershare.com/investor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July 13, 2017, Culp, Inc. common stock was traded on the New York Stock Exchange (NYSE) under the symbol CFI. Effective July 13, 2017, Culp, Inc. common stock commenced trading on the NYSE under the symbol CULP. As of May 3, 2020, Culp, Inc. had approximately 2,639 shareholders based on the number of holders of record and an estimate of individual participants represented by security position listings.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Coverage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analysts cover Culp,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 Bobby Griffin, CFA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Value Line – Simon R. Shoucair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Stifel Financial Corp - John A. Baugh, CFA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Stonegate Capital Partners, Inc. – Marco Rodriguez, CFA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Dividends and Share Repurchases;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(b)</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as Part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Publicly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Paid per</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5840" w:type="dxa"/>
            <w:vAlign w:val="bottom"/>
            <w:gridSpan w:val="2"/>
          </w:tcPr>
          <w:p>
            <w:pPr>
              <w:ind w:left="2600"/>
              <w:spacing w:after="0"/>
              <w:rPr>
                <w:sz w:val="20"/>
                <w:szCs w:val="20"/>
                <w:color w:val="auto"/>
              </w:rPr>
            </w:pPr>
            <w:r>
              <w:rPr>
                <w:rFonts w:ascii="Arial" w:cs="Arial" w:eastAsia="Arial" w:hAnsi="Arial"/>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20"/>
                <w:szCs w:val="20"/>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Programs (1)</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 , 2020 to March 8, 2020</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88,746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88,746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5,000,000</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March 9, 2020 to April 5,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5,000,000</w:t>
            </w: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6, 2019 to May 3, 2020</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5,000,000</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88,746</w:t>
            </w:r>
          </w:p>
        </w:tc>
        <w:tc>
          <w:tcPr>
            <w:tcW w:w="1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88,746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5,000,000</w:t>
            </w:r>
          </w:p>
        </w:tc>
      </w:tr>
    </w:tbl>
    <w:p>
      <w:pPr>
        <w:spacing w:after="0" w:line="228" w:lineRule="exact"/>
        <w:rPr>
          <w:sz w:val="20"/>
          <w:szCs w:val="20"/>
          <w:color w:val="auto"/>
        </w:rPr>
      </w:pPr>
    </w:p>
    <w:p>
      <w:pPr>
        <w:jc w:val="both"/>
        <w:ind w:left="50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February 2, 2020, there was $4.3 million available for repurchases of our common stock was associated with the share repurchase program approved by our board of directors in September 2019. The company repurchased 86,746 shares for approximately $1 million between February 3, 2020 and March 3, 2020, leaving $3.3 million available under such share repurchase program. The board of directors subsequently approved an increase in the company’s share repurchase authorization back up to a total of $5.0 million on March 4, 2020. However, as part of our comprehensive response to the COVID-19 pandemic, we announced on April 3, 2020, that our board of directors temporarily suspended the share repurchase program given the ongoing economic disruption and uncertainty.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 2020, we announced that our board of directors approved a regular quarterly cash dividend payment of $0.105 per share. These dividend payments are payable on or about July 17, 2020, to shareholders of record as of July 10, 2020.</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2020, dividend payments totaled $5.1 million, all of which represented our regular quarterly cash dividend payments ranging from $0.10 to $0.105 per share.</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2019, dividend payments totaled $4.7 million, all of which represented our regular quarterly cash dividend payments ranging from $0.09 to $0.10 per share.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2018, dividend payments totaled $6.8 million, of which $2.6 million represented a special cash dividend payment of $0.21 per share, and $4.2 million represented our regular quarterly cash dividend payments ranging from $0.08 to $0.09 per share.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Future dividend payments are subject to board approval and may be adjusted at the board’s discretion as business needs or market conditions change. The board will continue to evaluate the appropriateness of dividends in light of current economic conditions and our performance in future 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fiscal 2020, 2019, or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Performance Comparison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changes over the five fiscal years ending May 3, 2020 in the value of $100 invested in (1) the common stock of the company,</w:t>
      </w:r>
    </w:p>
    <w:p>
      <w:pPr>
        <w:spacing w:after="0" w:line="46" w:lineRule="exact"/>
        <w:rPr>
          <w:sz w:val="20"/>
          <w:szCs w:val="20"/>
          <w:color w:val="auto"/>
        </w:rPr>
      </w:pPr>
    </w:p>
    <w:p>
      <w:pPr>
        <w:ind w:firstLine="8"/>
        <w:spacing w:after="0" w:line="260"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Hemscott Textile Manufacturing Group Index reported by Standard and Poor’s, consisting of three companies in the textile industry, and (3) the Standard &amp; Poor’s 500 Index.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graph assumes an initial investment of $100 at the end of fiscal 2014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168910</wp:posOffset>
            </wp:positionV>
            <wp:extent cx="6069330" cy="5040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6, Selected Financial Data, and Selected Quarterly Data in Item 8, for market information regarding the company’s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i w:val="1"/>
                <w:iCs w:val="1"/>
                <w:color w:val="auto"/>
              </w:rPr>
              <w:t>percent</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i w:val="1"/>
                <w:iCs w:val="1"/>
                <w:color w:val="auto"/>
              </w:rPr>
              <w:t>fiscal</w:t>
            </w:r>
          </w:p>
        </w:tc>
        <w:tc>
          <w:tcPr>
            <w:tcW w:w="900" w:type="dxa"/>
            <w:vAlign w:val="bottom"/>
            <w:gridSpan w:val="2"/>
          </w:tcPr>
          <w:p>
            <w:pPr>
              <w:ind w:left="160"/>
              <w:spacing w:after="0"/>
              <w:rPr>
                <w:sz w:val="20"/>
                <w:szCs w:val="20"/>
                <w:color w:val="auto"/>
              </w:rPr>
            </w:pPr>
            <w:r>
              <w:rPr>
                <w:rFonts w:ascii="Arial" w:cs="Arial" w:eastAsia="Arial" w:hAnsi="Arial"/>
                <w:sz w:val="14"/>
                <w:szCs w:val="14"/>
                <w:i w:val="1"/>
                <w:iCs w:val="1"/>
                <w:color w:val="auto"/>
              </w:rPr>
              <w:t>fiscal</w:t>
            </w:r>
          </w:p>
        </w:tc>
        <w:tc>
          <w:tcPr>
            <w:tcW w:w="900" w:type="dxa"/>
            <w:vAlign w:val="bottom"/>
            <w:gridSpan w:val="2"/>
          </w:tcPr>
          <w:p>
            <w:pPr>
              <w:ind w:left="160"/>
              <w:spacing w:after="0"/>
              <w:rPr>
                <w:sz w:val="20"/>
                <w:szCs w:val="20"/>
                <w:color w:val="auto"/>
              </w:rPr>
            </w:pPr>
            <w:r>
              <w:rPr>
                <w:rFonts w:ascii="Arial" w:cs="Arial" w:eastAsia="Arial" w:hAnsi="Arial"/>
                <w:sz w:val="14"/>
                <w:szCs w:val="14"/>
                <w:i w:val="1"/>
                <w:iCs w:val="1"/>
                <w:color w:val="auto"/>
              </w:rPr>
              <w:t>fiscal</w:t>
            </w:r>
          </w:p>
        </w:tc>
        <w:tc>
          <w:tcPr>
            <w:tcW w:w="900" w:type="dxa"/>
            <w:vAlign w:val="bottom"/>
            <w:gridSpan w:val="2"/>
          </w:tcPr>
          <w:p>
            <w:pPr>
              <w:ind w:left="160"/>
              <w:spacing w:after="0"/>
              <w:rPr>
                <w:sz w:val="20"/>
                <w:szCs w:val="20"/>
                <w:color w:val="auto"/>
              </w:rPr>
            </w:pPr>
            <w:r>
              <w:rPr>
                <w:rFonts w:ascii="Arial" w:cs="Arial" w:eastAsia="Arial" w:hAnsi="Arial"/>
                <w:sz w:val="14"/>
                <w:szCs w:val="14"/>
                <w:i w:val="1"/>
                <w:iCs w:val="1"/>
                <w:color w:val="auto"/>
              </w:rPr>
              <w:t>fiscal</w:t>
            </w:r>
          </w:p>
        </w:tc>
        <w:tc>
          <w:tcPr>
            <w:tcW w:w="900" w:type="dxa"/>
            <w:vAlign w:val="bottom"/>
            <w:gridSpan w:val="2"/>
          </w:tcPr>
          <w:p>
            <w:pPr>
              <w:ind w:left="160"/>
              <w:spacing w:after="0"/>
              <w:rPr>
                <w:sz w:val="20"/>
                <w:szCs w:val="20"/>
                <w:color w:val="auto"/>
              </w:rPr>
            </w:pPr>
            <w:r>
              <w:rPr>
                <w:rFonts w:ascii="Arial" w:cs="Arial" w:eastAsia="Arial" w:hAnsi="Arial"/>
                <w:sz w:val="14"/>
                <w:szCs w:val="14"/>
                <w:i w:val="1"/>
                <w:iCs w:val="1"/>
                <w:color w:val="auto"/>
              </w:rPr>
              <w:t>fiscal</w:t>
            </w:r>
          </w:p>
        </w:tc>
        <w:tc>
          <w:tcPr>
            <w:tcW w:w="820" w:type="dxa"/>
            <w:vAlign w:val="bottom"/>
          </w:tcPr>
          <w:p>
            <w:pPr>
              <w:jc w:val="right"/>
              <w:ind w:right="228"/>
              <w:spacing w:after="0"/>
              <w:rPr>
                <w:sz w:val="20"/>
                <w:szCs w:val="20"/>
                <w:color w:val="auto"/>
              </w:rPr>
            </w:pPr>
            <w:r>
              <w:rPr>
                <w:rFonts w:ascii="Arial" w:cs="Arial" w:eastAsia="Arial" w:hAnsi="Arial"/>
                <w:sz w:val="14"/>
                <w:szCs w:val="14"/>
                <w:i w:val="1"/>
                <w:iCs w:val="1"/>
                <w:color w:val="auto"/>
              </w:rPr>
              <w:t>change</w:t>
            </w:r>
          </w:p>
        </w:tc>
        <w:tc>
          <w:tcPr>
            <w:tcW w:w="0" w:type="dxa"/>
            <w:vAlign w:val="bottom"/>
          </w:tcPr>
          <w:p>
            <w:pPr>
              <w:spacing w:after="0"/>
              <w:rPr>
                <w:sz w:val="1"/>
                <w:szCs w:val="1"/>
                <w:color w:val="auto"/>
              </w:rPr>
            </w:pPr>
          </w:p>
        </w:tc>
      </w:tr>
      <w:tr>
        <w:trPr>
          <w:trHeight w:val="167"/>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 except per share, ratios &amp; other, stock data)</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i w:val="1"/>
                <w:iCs w:val="1"/>
                <w:color w:val="auto"/>
              </w:rPr>
              <w:t>2020</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2019</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2018</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2017</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w w:val="90"/>
              </w:rPr>
              <w:t>2020/2019</w:t>
            </w: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STATEMENT DATA</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sales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256,166</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281,325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323,725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309,544</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312,860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 of sales</w:t>
            </w: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96"/>
              </w:rPr>
              <w:t>(215,668)</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(235,556)</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(259,092)</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(240,309)</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(247,749)</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6"/>
        </w:trPr>
        <w:tc>
          <w:tcPr>
            <w:tcW w:w="5740" w:type="dxa"/>
            <w:vAlign w:val="bottom"/>
          </w:tcPr>
          <w:p>
            <w:pPr>
              <w:ind w:left="260"/>
              <w:spacing w:after="0" w:line="155" w:lineRule="exact"/>
              <w:rPr>
                <w:sz w:val="20"/>
                <w:szCs w:val="20"/>
                <w:color w:val="auto"/>
              </w:rPr>
            </w:pPr>
            <w:r>
              <w:rPr>
                <w:rFonts w:ascii="Arial" w:cs="Arial" w:eastAsia="Arial" w:hAnsi="Arial"/>
                <w:sz w:val="14"/>
                <w:szCs w:val="14"/>
                <w:color w:val="auto"/>
              </w:rPr>
              <w:t>gross profit from continuing operations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40,498</w:t>
            </w:r>
          </w:p>
        </w:tc>
        <w:tc>
          <w:tcPr>
            <w:tcW w:w="120" w:type="dxa"/>
            <w:vAlign w:val="bottom"/>
          </w:tcPr>
          <w:p>
            <w:pPr>
              <w:spacing w:after="0"/>
              <w:rPr>
                <w:sz w:val="13"/>
                <w:szCs w:val="13"/>
                <w:color w:val="auto"/>
              </w:rPr>
            </w:pPr>
          </w:p>
        </w:tc>
        <w:tc>
          <w:tcPr>
            <w:tcW w:w="7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45,769</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64,633</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69,235</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65,111</w:t>
            </w: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(34,424)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(33,243)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(37,172)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(39,157)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(36,773)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asset impairments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(13,712)</w:t>
            </w: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restructuring credit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56"/>
        </w:trPr>
        <w:tc>
          <w:tcPr>
            <w:tcW w:w="5740" w:type="dxa"/>
            <w:vAlign w:val="bottom"/>
          </w:tcPr>
          <w:p>
            <w:pPr>
              <w:ind w:left="500"/>
              <w:spacing w:after="0" w:line="155" w:lineRule="exact"/>
              <w:rPr>
                <w:sz w:val="20"/>
                <w:szCs w:val="20"/>
                <w:color w:val="auto"/>
              </w:rPr>
            </w:pPr>
            <w:r>
              <w:rPr>
                <w:rFonts w:ascii="Arial" w:cs="Arial" w:eastAsia="Arial" w:hAnsi="Arial"/>
                <w:sz w:val="14"/>
                <w:szCs w:val="14"/>
                <w:color w:val="auto"/>
              </w:rPr>
              <w:t>(loss) income from continuing operations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(7,568)</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13,351</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27,461</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30,078</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28,338</w:t>
            </w: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(1,018)</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55"/>
        </w:trPr>
        <w:tc>
          <w:tcPr>
            <w:tcW w:w="5740" w:type="dxa"/>
            <w:vAlign w:val="bottom"/>
          </w:tcPr>
          <w:p>
            <w:pPr>
              <w:ind w:left="500"/>
              <w:spacing w:after="0" w:line="155" w:lineRule="exact"/>
              <w:rPr>
                <w:sz w:val="20"/>
                <w:szCs w:val="20"/>
                <w:color w:val="auto"/>
              </w:rPr>
            </w:pPr>
            <w:r>
              <w:rPr>
                <w:rFonts w:ascii="Arial" w:cs="Arial" w:eastAsia="Arial" w:hAnsi="Arial"/>
                <w:sz w:val="14"/>
                <w:szCs w:val="14"/>
                <w:color w:val="auto"/>
              </w:rPr>
              <w:t>(loss) income before income taxes from continuing operations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(7,679)</w:t>
            </w:r>
          </w:p>
        </w:tc>
        <w:tc>
          <w:tcPr>
            <w:tcW w:w="120" w:type="dxa"/>
            <w:vAlign w:val="bottom"/>
          </w:tcPr>
          <w:p>
            <w:pPr>
              <w:spacing w:after="0"/>
              <w:rPr>
                <w:sz w:val="13"/>
                <w:szCs w:val="13"/>
                <w:color w:val="auto"/>
              </w:rPr>
            </w:pPr>
          </w:p>
        </w:tc>
        <w:tc>
          <w:tcPr>
            <w:tcW w:w="7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12,722</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26,883</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29,696</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27,898</w:t>
            </w:r>
          </w:p>
        </w:tc>
        <w:tc>
          <w:tcPr>
            <w:tcW w:w="120" w:type="dxa"/>
            <w:vAlign w:val="bottom"/>
          </w:tcPr>
          <w:p>
            <w:pPr>
              <w:spacing w:after="0"/>
              <w:rPr>
                <w:sz w:val="13"/>
                <w:szCs w:val="13"/>
                <w:color w:val="auto"/>
              </w:rPr>
            </w:pPr>
          </w:p>
        </w:tc>
        <w:tc>
          <w:tcPr>
            <w:tcW w:w="8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(3,354)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(6,537)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(5,740)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(7,339)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(10,963)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62"/>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loss from investment in unconsolidated joint venture</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6"/>
        </w:trPr>
        <w:tc>
          <w:tcPr>
            <w:tcW w:w="574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(loss) income from continuing operations</w:t>
            </w: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(11,158)</w:t>
            </w:r>
          </w:p>
        </w:tc>
        <w:tc>
          <w:tcPr>
            <w:tcW w:w="1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6,071</w:t>
            </w:r>
          </w:p>
        </w:tc>
        <w:tc>
          <w:tcPr>
            <w:tcW w:w="1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20,877</w:t>
            </w:r>
          </w:p>
        </w:tc>
        <w:tc>
          <w:tcPr>
            <w:tcW w:w="1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22,334</w:t>
            </w:r>
          </w:p>
        </w:tc>
        <w:tc>
          <w:tcPr>
            <w:tcW w:w="1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16,935</w:t>
            </w:r>
          </w:p>
        </w:tc>
        <w:tc>
          <w:tcPr>
            <w:tcW w:w="1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5740" w:type="dxa"/>
            <w:vAlign w:val="bottom"/>
          </w:tcPr>
          <w:p>
            <w:pPr>
              <w:ind w:left="500"/>
              <w:spacing w:after="0" w:line="155" w:lineRule="exact"/>
              <w:rPr>
                <w:sz w:val="20"/>
                <w:szCs w:val="20"/>
                <w:color w:val="auto"/>
              </w:rPr>
            </w:pPr>
            <w:r>
              <w:rPr>
                <w:rFonts w:ascii="Arial" w:cs="Arial" w:eastAsia="Arial" w:hAnsi="Arial"/>
                <w:sz w:val="14"/>
                <w:szCs w:val="14"/>
                <w:color w:val="auto"/>
              </w:rPr>
              <w:t>loss before income taxes from discontinued operation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(17,577)</w:t>
            </w:r>
          </w:p>
        </w:tc>
        <w:tc>
          <w:tcPr>
            <w:tcW w:w="120" w:type="dxa"/>
            <w:vAlign w:val="bottom"/>
          </w:tcPr>
          <w:p>
            <w:pPr>
              <w:spacing w:after="0"/>
              <w:rPr>
                <w:sz w:val="13"/>
                <w:szCs w:val="13"/>
                <w:color w:val="auto"/>
              </w:rPr>
            </w:pPr>
          </w:p>
        </w:tc>
        <w:tc>
          <w:tcPr>
            <w:tcW w:w="7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(726)</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loss from discontinued operation</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(17,509)</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(613)</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net (loss) income</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(28,667)</w:t>
            </w: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5,458</w:t>
            </w: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20,877</w:t>
            </w: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22,334</w:t>
            </w: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16,935</w:t>
            </w: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60"/>
              <w:spacing w:after="0"/>
              <w:rPr>
                <w:sz w:val="20"/>
                <w:szCs w:val="20"/>
                <w:color w:val="auto"/>
              </w:rPr>
            </w:pPr>
            <w:r>
              <w:rPr>
                <w:rFonts w:ascii="Arial" w:cs="Arial" w:eastAsia="Arial" w:hAnsi="Arial"/>
                <w:sz w:val="14"/>
                <w:szCs w:val="14"/>
                <w:color w:val="auto"/>
              </w:rPr>
              <w:t>depreciation</w:t>
            </w: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rPr>
              <w:t>7,827</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8,117</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7,672</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7,085</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6,671</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12,378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12,462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12,431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12,312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12,302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weighted average shares outstanding, assuming dilution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12,378</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12,548</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12,633</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12,518</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12,475</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PER SHARE DATA</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(loss) income from continuing operations per share - basic</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 income from continuing operations per share - diluted</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0.48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loss from discontinued operations per share - basic</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 from discontinued operations per share - diluted</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(loss) income per share - basic</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 income per share - diluted</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dividends per 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book value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10.56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working capital (4)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49,389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47,736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49,939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40,869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45,794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43,147</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46,479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51,794</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51,651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39,973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215,084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220,556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217,984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205,634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175,142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4,633</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2,975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7,439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18,771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10,708</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5,075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4,732</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6,843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6,280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8,140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lines of credit and Paycheck Protection Program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38,371</w:t>
            </w: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shareholders' equity attributable to Culp Inc.</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129,698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159,933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163,376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148,630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128,812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capital employed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94,526</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107,561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114,817</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98,429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90,357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RATIOS &amp; OTHER DATA</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gross profit margin from continuing operations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(loss) income margin from continuing operations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(loss) income margin from continuing operations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effective income tax rate from continuing operations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debt to total capital employed ratio (1)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working capital turnover (4)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days sales in receivables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 turnover</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STOCK DATA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price</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high</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34.05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37.80</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35.23</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low</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17.05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26.15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25.57</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close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26.24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 ratio (2)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low</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tcPr>
          <w:p>
            <w:pPr>
              <w:ind w:left="260"/>
              <w:spacing w:after="0"/>
              <w:rPr>
                <w:sz w:val="20"/>
                <w:szCs w:val="20"/>
                <w:color w:val="auto"/>
              </w:rPr>
            </w:pPr>
            <w:r>
              <w:rPr>
                <w:rFonts w:ascii="Arial" w:cs="Arial" w:eastAsia="Arial" w:hAnsi="Arial"/>
                <w:sz w:val="14"/>
                <w:szCs w:val="14"/>
                <w:color w:val="auto"/>
              </w:rPr>
              <w:t>daily average trading volume (shares)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540" w:right="3560" w:hanging="5532"/>
        <w:spacing w:after="0" w:line="527" w:lineRule="auto"/>
        <w:tabs>
          <w:tab w:leader="none" w:pos="513"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includes outstanding borrowings on our lines of credit and Paycheck Protection Program loan.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92" w:hanging="492"/>
        <w:spacing w:after="0"/>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 ratios based on trailing 12-month diluted net income per share.</w:t>
      </w:r>
    </w:p>
    <w:p>
      <w:pPr>
        <w:spacing w:after="0" w:line="184" w:lineRule="exact"/>
        <w:rPr>
          <w:rFonts w:ascii="Arial" w:cs="Arial" w:eastAsia="Arial" w:hAnsi="Arial"/>
          <w:sz w:val="18"/>
          <w:szCs w:val="18"/>
          <w:color w:val="auto"/>
        </w:rPr>
      </w:pPr>
    </w:p>
    <w:p>
      <w:pPr>
        <w:jc w:val="both"/>
        <w:ind w:left="492" w:hanging="492"/>
        <w:spacing w:after="0" w:line="259"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employed does not include cash and cash equivalents, short-term investments (available for sale), short-term investments (held-to-maturity), long-term investments (held-to-maturity), long-term investments (rabbi trust), lines of credit, Paycheck Protection Program loan, noncurrent deferred tax assets and liabilities, income taxes receivable and payable, deferred compensation, and financial statement line items associated with our discontinued operation.</w:t>
      </w:r>
    </w:p>
    <w:p>
      <w:pPr>
        <w:spacing w:after="0" w:line="146"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working capital for this calculation is accounts receivable and inventories, offset by accounts payable-trade, account payable - capital expenditures, and deferred revenue.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for a discussion of factors that may cause results to differ materially.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sold our majority ownership interest in eLuxury, LLC (“eLuxury”) on March 31, 2020, resulting in the elimination of our home accessories segment at such time. Accordingly, the results of operations and assets and liabilities for this segment are excluded from the company’s continuing operations for the fiscal 2020 year (and for all prior periods of comparison) and presented as a discontinued operation in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year is the 52 or 53-week period ending on the Sunday closest to April 30. Fiscal 2020 included 53 weeks. Fiscal 2019 and 2018 each included 52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continuing operations are classified into two business segments: mattress fabrics and upholstery fabrics. The mattress fabrics segment manufactures, sources, and sells fabrics and mattress covers primarily to bedding manufacturers. We have wholly owned mattress fabric operations located in Stokesdale, NC, High Point, NC, and Quebec, Canada, as well as a fifty-percent owned cut and sew mattress cover operation located in Haiti.</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upholstery fabrics segment develops, sources, manufactures, and sells fabrics primarily to residential and commercial furniture manufacturers. We have wholly owned upholstery fabric operations located in Shanghai, China and Burlington, NC. With the acquisition of Read Window Products, LLC (“Read”) late in fiscal 2018, we now have a wholly owned company located in Knoxville, TN that provides window treatments and sourcing of upholstery fabrics and other products, as well as measuring and installation services of Read’s own products to customers in the hospitality and commercial industries. The company operated an upholstery fabrics plant in Anderson, SC, during the first quarter of fiscal 2019, which was closed during the second quarter of fiscal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 our June 22, 2018, majority investment in eLuxury, our operations also included a home accessories segment, which manufactured, sourced, and sold finished bedding accessory and home good products directly to consumers and businesses through global e-commerce and business-to-business sales channels. However, we sold our majority ownership interest in eLuxury on March 31, 2020, to focus on the company’s core mattress and upholstery fabrics businesses and increase liquidity during the unprecedented disruption arising from the COVID-19 pandemic. This sale of eLuxury resulted in the elimination of our home accessories segment at such time. Accordingly, the results of operations and assets and liabilities for this segment are excluded from the company’s continuing operations for the fiscal 2020 year (and for all prior periods of comparison) and presented as a discontinued operation in this report. See Note 3 – Discontinued Operations, of the consolidated financial statements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how COVID-19 has affected and may continue to affect our business and financial condition, see the discussion under the heading “Recent Developments” in Part I, Item 1 of this report, as well as the Risk Factors set forth in Part I, Item 1A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operating performance of our segments based upon income (loss) from continuing operations before certain unallocated corporate expenses, asset impairment charges, restructuring expense (credit) and related charges, and other non-recurring items. Cost of sales in each segment includes costs to develop, manufacture, or source our products, including costs such as raw material costs and finished good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360" w:type="dxa"/>
            <w:vAlign w:val="bottom"/>
            <w:gridSpan w:val="3"/>
          </w:tcPr>
          <w:p>
            <w:pPr>
              <w:spacing w:after="0"/>
              <w:rPr>
                <w:sz w:val="20"/>
                <w:szCs w:val="20"/>
                <w:color w:val="auto"/>
              </w:rPr>
            </w:pPr>
            <w:r>
              <w:rPr>
                <w:rFonts w:ascii="Arial" w:cs="Arial" w:eastAsia="Arial" w:hAnsi="Arial"/>
                <w:sz w:val="18"/>
                <w:szCs w:val="18"/>
                <w:color w:val="auto"/>
              </w:rPr>
              <w:t>Results of Continuing Operations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93"/>
        </w:trPr>
        <w:tc>
          <w:tcPr>
            <w:tcW w:w="24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420"/>
              <w:spacing w:after="0"/>
              <w:rPr>
                <w:sz w:val="20"/>
                <w:szCs w:val="20"/>
                <w:color w:val="auto"/>
              </w:rPr>
            </w:pPr>
            <w:r>
              <w:rPr>
                <w:rFonts w:ascii="Arial" w:cs="Arial" w:eastAsia="Arial" w:hAnsi="Arial"/>
                <w:sz w:val="18"/>
                <w:szCs w:val="18"/>
                <w:color w:val="auto"/>
              </w:rPr>
              <w:t>Twelve Months Ended</w:t>
            </w:r>
          </w:p>
        </w:tc>
        <w:tc>
          <w:tcPr>
            <w:tcW w:w="1600" w:type="dxa"/>
            <w:vAlign w:val="bottom"/>
          </w:tcPr>
          <w:p>
            <w:pPr>
              <w:spacing w:after="0"/>
              <w:rPr>
                <w:sz w:val="24"/>
                <w:szCs w:val="24"/>
                <w:color w:val="auto"/>
              </w:rPr>
            </w:pPr>
          </w:p>
        </w:tc>
      </w:tr>
      <w:tr>
        <w:trPr>
          <w:trHeight w:val="209"/>
        </w:trPr>
        <w:tc>
          <w:tcPr>
            <w:tcW w:w="2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May 3,</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April 28,</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20"/>
                <w:szCs w:val="20"/>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Change</w:t>
            </w:r>
          </w:p>
        </w:tc>
      </w:tr>
      <w:tr>
        <w:trPr>
          <w:trHeight w:val="223"/>
        </w:trPr>
        <w:tc>
          <w:tcPr>
            <w:tcW w:w="6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256,166</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281,325</w:t>
            </w:r>
          </w:p>
        </w:tc>
        <w:tc>
          <w:tcPr>
            <w:tcW w:w="1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(8.9)%</w:t>
            </w: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Gross profit from continuing operations</w:t>
            </w:r>
          </w:p>
        </w:tc>
        <w:tc>
          <w:tcPr>
            <w:tcW w:w="2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40,498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45,769</w:t>
            </w:r>
          </w:p>
        </w:tc>
        <w:tc>
          <w:tcPr>
            <w:tcW w:w="1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29"/>
        </w:trPr>
        <w:tc>
          <w:tcPr>
            <w:tcW w:w="6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Gross profit margin from continuing operations</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bp</w:t>
            </w:r>
          </w:p>
        </w:tc>
      </w:tr>
      <w:tr>
        <w:trPr>
          <w:trHeight w:val="229"/>
        </w:trPr>
        <w:tc>
          <w:tcPr>
            <w:tcW w:w="6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34,424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33,243</w:t>
            </w:r>
          </w:p>
        </w:tc>
        <w:tc>
          <w:tcPr>
            <w:tcW w:w="140" w:type="dxa"/>
            <w:vAlign w:val="bottom"/>
          </w:tcPr>
          <w:p>
            <w:pPr>
              <w:spacing w:after="0"/>
              <w:rPr>
                <w:sz w:val="19"/>
                <w:szCs w:val="19"/>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230"/>
        </w:trPr>
        <w:tc>
          <w:tcPr>
            <w:tcW w:w="6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(7,568)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13,351</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N.M.</w:t>
            </w:r>
          </w:p>
        </w:tc>
      </w:tr>
      <w:tr>
        <w:trPr>
          <w:trHeight w:val="229"/>
        </w:trPr>
        <w:tc>
          <w:tcPr>
            <w:tcW w:w="6360" w:type="dxa"/>
            <w:vAlign w:val="bottom"/>
            <w:gridSpan w:val="3"/>
          </w:tcPr>
          <w:p>
            <w:pPr>
              <w:spacing w:after="0"/>
              <w:rPr>
                <w:sz w:val="20"/>
                <w:szCs w:val="20"/>
                <w:color w:val="auto"/>
              </w:rPr>
            </w:pPr>
            <w:r>
              <w:rPr>
                <w:rFonts w:ascii="Arial" w:cs="Arial" w:eastAsia="Arial" w:hAnsi="Arial"/>
                <w:sz w:val="18"/>
                <w:szCs w:val="18"/>
                <w:color w:val="auto"/>
              </w:rPr>
              <w:t>Operating margin from continuing operations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(770) bp</w:t>
            </w:r>
          </w:p>
        </w:tc>
      </w:tr>
      <w:tr>
        <w:trPr>
          <w:trHeight w:val="229"/>
        </w:trPr>
        <w:tc>
          <w:tcPr>
            <w:tcW w:w="6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income before income taxes from continuing operations</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(7,679)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12,722</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N.M.</w:t>
            </w: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6,537</w:t>
            </w:r>
          </w:p>
        </w:tc>
        <w:tc>
          <w:tcPr>
            <w:tcW w:w="1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29"/>
        </w:trPr>
        <w:tc>
          <w:tcPr>
            <w:tcW w:w="6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6,071</w:t>
            </w:r>
          </w:p>
        </w:tc>
        <w:tc>
          <w:tcPr>
            <w:tcW w:w="14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our net sales decreased 8.9% in fiscal 2020 compared with a year ago, with mattress fabric net sales declining 9.8% and upholstery fabric net sales declining 8.0%. The fiscal 2020 year had 53 weeks compared to 52 weeks in fiscal 2019.</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sales for both the mattress fabrics and upholstery fabrics segments reflects the severe economic disruption caused by the COVID-19 pandemic during the fourth quarter of fiscal 2020, which significantly affected our results for the fourth quarter and fiscal 2020. The impact of the COVID-19 pandemic began to materialize in the second half of March 2020, as retail home furnishings stores across the country closed and many of our customers shut down or limited their operations for several weeks.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prior to the COVID-19 outbreak, net sales for our mattress fabrics segment were also affected by continued industry weakness in the domestic mattress industry relating to low-priced mattress imports that moved from China to other countries following the imposition of punitive anti-dumping measures by the U.S. Department of Commerce against Chinese-made mattresses during the first quarter of fiscal 2020. Our upholstery fabrics segment was also affected during the first half of the fiscal year by the soft retail environment for residential furniture and ongoing issues surrounding international trade agreements and associated tariffs. However, the COVID-19 pandemic during the fourth quarter of fiscal 2020 was the most significant and primary factor that resulted in the decline in net sales for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Before Income Taxes from Continuing Operations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our income (loss) before income taxes from continuing operations was $(7.7) million for fiscal 2020, compared with income before income taxes from continuing operations of $12.7 million for the prior year. Income (loss) before income taxes from continuing operations for fiscal 2020 included non-cash asset impairment charges of $13.7 million associated with goodwill and certain intangible assets, of which $11.5 million related to the mattress fabrics segment and $2.2 million related to the upholstery fabrics segment, as well as $70,000 in restructuring credits associated with the closure of our Anderson, SC, upholstery fabrics facility. Income before income taxes from continuing operations for fiscal 2019 included restructuring and related charges and credits and other non-recurring charges resulting in a net charge of approximately $2.7 million, of which $1.6 million related to restructuring and related charges and credits associated with the closure of our Anderson, SC, upholstery fabrics facility, and $1.1 million related to other non-recurring charges, including a $500,000 charitable contribution in honor of our co-founder and former chairman of the board and other non-recurring charges associated with the mattress fabrics segment.</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asset impairment charges noted above, income (loss) before income taxes for continuing operations for fiscal 2020 was significantly affected by lower sales due to the COVID-19 pandemic.</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Additionally, unallocated corporate SG&amp;A expense was higher during fiscal 2020, as compared to the prior year, due primarily to change in estimate adjustments that were recorded during fiscal 2019 that lowered share-based compensation expense in fiscal 2019, as well as an increase in professional fees during fiscal 2020 that were attributable to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our recent acquisitions and disposal of businesses, and our comprehensive response to the COVID-19 global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recorded income tax expense of $3.4 million, or (43.7%) of loss before income tax expense from continuing operations, in fiscal 2020, compared with income tax expense of $6.5 million, or 51.4% of income before income tax expense from continuing operations in fiscal 2019. The decrease in our income tax expense for fiscal 2020 is primarily due to the decline in our consolidated taxable income, with a pre-tax loss from continuing operations in fiscal 2020 versus pre-tax income in fiscal 2019. Our effective income tax rates for both fiscal 2020 and 2019 reflected the mix of our pre-tax earnings from continuing operations that adversely affected our effective income tax rates for the year, as we had higher income tax rates associated with the pre-tax income earned by our foreign operations in China and Canada, as compared to a lower income tax rate on our U.S. pre-tax loss in fiscal 2020 and our U.S. pre-tax income in fiscal 2019. Additionally, the current mix of taxable income that favors our foreign operations led to a significant increase in the effective income tax rates that are associated with our Global Intangible Low Taxed Income (GILTI) Tax, which represents a U.S. income tax on foreign earnings. During the fiscal 2020 year, we did not make any U.S. income tax payments due to the utilization of the company’s U.S. Federal net operating loss carryforwards and immediate expensing of U.S. capital expenditures. However, we did have income tax payments during the year totaling $5.0 million associated with our foreign operations located in China and Canada.</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14 of the consolidated financial statements for further details regarding our provision for income taxes from continuing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section located in the Results of Continuing Operations for further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3, 2020, our cash and cash equivalents, short-term investments (available for sale), and short-term and long-term investments (held-to-maturity) totaled $77.1 million compared with $45.0 million at April 28, 2019.</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from the end of fiscal 2019 is attributable to $38.4 million in total proceeds received during the fourth quarter of fiscal 2020 from borrowings under our lines of credit and receipt of a loan under the U.S. Small Business Administration (“SBA”) Paycheck Protection Program of the Coronavirus Aid, Relief and Economic Security Act of 2020 (such loan, the “PPP loan”). As a result of the COVID-19 global pandemic and the uncertainty relating to its duration and overall effect on our business, we proactively borrowed $29.8 million, the maximum amount available, under our domestic line of credit, an also borrowed an additional $1.0 million from our line of credit associated with our China operations, as a precautionary measure to increase balance sheet flexibility during the COVID-19 crisis. In addition, we applied for and received $7.6 million in cash proceeds from the PPP Loan (which, as noted below, we subsequently repaid in full on May 13, 2020 following new guidance issued by the U.S. Treasury Department and SBA raising questions regarding the eligibility of publicly traded companies to receive loans under the Paycheck Protection Program).</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Excluding the cash proceeds from our lines of credit and the PPP Loan, our cash and cash equivalents, short-term investments (available for sale), and short-term and long-term investments (held-to-maturity) as of the end of fiscal 2020 would have decreased $6.3 million from the end of fiscal 2019. This decrease was mostly due to (i) cash payments of $6.8 million returned to shareholders in the form of regular quarterly dividend payments and common stock repurchases; (ii) $4.6 million of capital expenditures that were mostly associated with our mattress fabrics segment; and (iii) $1.5 million for additional purchase price payments on our recent acquisitions, partially offset by (iv) $5.0 million in net cash provided by operating activities; and (v) $1.5 million in proceeds from a long-term note receivable associated with a discontinued operation.</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cash provided by operating activities of $5.0 million in fiscal 2020 decreased $8.9 million compared with $13.9 million in fiscal 2019. The decrease is mostly due to lower earnings and slower cash collections on accounts receivable stemming from the COVID-19 global pandemic.</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net cash provided by operating activities in fiscal 2020 and fiscal 2019 reflects cash flows from operating activities for both our continuing operations and our discontinued operation. Our discontinued operation had net cash used in operating activities totaling $(2.3) million and $(1.5) million for fiscal 2020 and 2019, respectively. Our discontinued operation had net cash used in investing activities totaling $(134,000) and $(54,000) for fiscal 2020 and 2019, respectively. Our discontinued operation had net cash provided by financing activities, all of which were loan proceeds and capital contributions from Culp, Inc. and the owner of the noncontrolling interest of eLuxury totaling $2.4 million and $1.5 million during fiscal 2020 and 2019, respectively. We believe our liquidity will improve in the absence of our home accessories segment due to the significant losses that were incurred and the funding of working capital requirements through loans and capital contributions.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May 3, 2020, our outstanding borrowings totaled $38.4 million, which consisted of $29.8 million outstanding under our domestic bank credit facility, $1.0 million outstanding under our China credit facility, and the $7.6 million PPP Loan. During the first quarter of fiscal 2021, we repaid in full the PPP Loan and all borrowings that were outstanding under our lines of credit at May 3, 2020, and currently we have no outstanding borrowings under our line of credit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Dividend Program</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2020, we announced that our board of directors approved a regular quarterly cash dividend payment of $0.105 per share. This payment will be made on or about July 17, 2020, to shareholders of record as of July 10, 2020.</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During fiscal 2020, dividend payments totaled $5.1 million, all of which represented our regularly quarterly cash dividend payments ranging from $0.10 to $0.105 per share. During fiscal 2019, dividend payments totaled $4.7 million, all of which represented our regular quarterly cash dividend payments ranging from $0.09 to $0.10 per share. During fiscal 2018, dividend payments totaled $6.8 million, of which $2.6 million represented a special cash dividend payment of $0.21 per share, and $4.2 million represented our regular quarterly cash dividend payments ranging from $0.08 to $0.09 per share.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12529"/>
        </w:rPr>
        <w:t xml:space="preserve">Our board of directors has sole authority to determine if and when we will declare future dividends and on what terms. </w:t>
      </w:r>
      <w:r>
        <w:rPr>
          <w:rFonts w:ascii="Arial" w:cs="Arial" w:eastAsia="Arial" w:hAnsi="Arial"/>
          <w:sz w:val="18"/>
          <w:szCs w:val="18"/>
          <w:color w:val="000000"/>
        </w:rPr>
        <w:t>Future dividend payments are</w:t>
      </w:r>
      <w:r>
        <w:rPr>
          <w:rFonts w:ascii="Arial" w:cs="Arial" w:eastAsia="Arial" w:hAnsi="Arial"/>
          <w:sz w:val="18"/>
          <w:szCs w:val="18"/>
          <w:color w:val="212529"/>
        </w:rPr>
        <w:t xml:space="preserve"> </w:t>
      </w:r>
      <w:r>
        <w:rPr>
          <w:rFonts w:ascii="Arial" w:cs="Arial" w:eastAsia="Arial" w:hAnsi="Arial"/>
          <w:sz w:val="18"/>
          <w:szCs w:val="18"/>
          <w:color w:val="000000"/>
        </w:rPr>
        <w:t>subject to final determination by our board of directors and will depend on our earnings, capital requirements, financial condition, excess availability under our lines of credit, market conditions, and other factors we consider relevant.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Repurchases</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Under the common stock repurchase program, shares may be purchased from time to time in open market transactions, block trades, through plans established under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3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fiscal 2020, we purchased 142,496 shares of our common stock at a cost of $1.7 million, leaving approximately $3.3 million available under the share repurchase program approved by the board of directors in September 2019. The board of directors subsequently approved an increase in the company’s share repurchase authorization back up to a total of $5.0 million in March 2020. However, as part of our comprehensive response to the COVID-19 pandemic, we announced on April 3, 2020, that our board of directors temporarily suspended the share repurchase program given the ongoing economic disruption and uncertainty.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2019, we purchased 160,823 shares of our common stock at a cost of $3.3 million. During fiscal 2018, there were no repurchases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May 3, 2020, we had $5.0 million available for additional repurchases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in our consolidated statements of net (loss) income as a percentage of net sales.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93"/>
              </w:rPr>
              <w:t>Fiscal</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Fiscal</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Fiscal</w:t>
            </w:r>
          </w:p>
        </w:tc>
        <w:tc>
          <w:tcPr>
            <w:tcW w:w="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718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r>
      <w:tr>
        <w:trPr>
          <w:trHeight w:val="223"/>
        </w:trPr>
        <w:tc>
          <w:tcPr>
            <w:tcW w:w="63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100.0%</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29"/>
        </w:trPr>
        <w:tc>
          <w:tcPr>
            <w:tcW w:w="736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r>
        <w:trPr>
          <w:trHeight w:val="230"/>
        </w:trPr>
        <w:tc>
          <w:tcPr>
            <w:tcW w:w="180" w:type="dxa"/>
            <w:vAlign w:val="bottom"/>
            <w:shd w:val="clear" w:color="auto" w:fill="CFF0FC"/>
          </w:tcPr>
          <w:p>
            <w:pPr>
              <w:spacing w:after="0"/>
              <w:rPr>
                <w:sz w:val="19"/>
                <w:szCs w:val="19"/>
                <w:color w:val="auto"/>
              </w:rPr>
            </w:pPr>
          </w:p>
        </w:tc>
        <w:tc>
          <w:tcPr>
            <w:tcW w:w="71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Gross profit from continuing operations</w:t>
            </w: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30"/>
        </w:trPr>
        <w:tc>
          <w:tcPr>
            <w:tcW w:w="73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30"/>
        </w:trPr>
        <w:tc>
          <w:tcPr>
            <w:tcW w:w="73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Assets impairments</w:t>
            </w: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9"/>
        </w:trPr>
        <w:tc>
          <w:tcPr>
            <w:tcW w:w="7360" w:type="dxa"/>
            <w:vAlign w:val="bottom"/>
            <w:gridSpan w:val="4"/>
          </w:tcPr>
          <w:p>
            <w:pPr>
              <w:spacing w:after="0"/>
              <w:rPr>
                <w:sz w:val="20"/>
                <w:szCs w:val="20"/>
                <w:color w:val="auto"/>
              </w:rPr>
            </w:pPr>
            <w:r>
              <w:rPr>
                <w:rFonts w:ascii="Arial" w:cs="Arial" w:eastAsia="Arial" w:hAnsi="Arial"/>
                <w:sz w:val="18"/>
                <w:szCs w:val="18"/>
                <w:color w:val="auto"/>
              </w:rPr>
              <w:t>Restructuring credit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180" w:type="dxa"/>
            <w:vAlign w:val="bottom"/>
            <w:shd w:val="clear" w:color="auto" w:fill="CFF0FC"/>
          </w:tcPr>
          <w:p>
            <w:pPr>
              <w:spacing w:after="0"/>
              <w:rPr>
                <w:sz w:val="19"/>
                <w:szCs w:val="19"/>
                <w:color w:val="auto"/>
              </w:rPr>
            </w:pPr>
          </w:p>
        </w:tc>
        <w:tc>
          <w:tcPr>
            <w:tcW w:w="71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(Loss) Income from continuing operations</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30"/>
        </w:trPr>
        <w:tc>
          <w:tcPr>
            <w:tcW w:w="7360" w:type="dxa"/>
            <w:vAlign w:val="bottom"/>
            <w:gridSpan w:val="4"/>
          </w:tcPr>
          <w:p>
            <w:pPr>
              <w:spacing w:after="0"/>
              <w:rPr>
                <w:sz w:val="20"/>
                <w:szCs w:val="20"/>
                <w:color w:val="auto"/>
              </w:rPr>
            </w:pPr>
            <w:r>
              <w:rPr>
                <w:rFonts w:ascii="Arial" w:cs="Arial" w:eastAsia="Arial" w:hAnsi="Arial"/>
                <w:sz w:val="18"/>
                <w:szCs w:val="18"/>
                <w:color w:val="auto"/>
              </w:rPr>
              <w:t>Interest income, net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73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expense</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7180" w:type="dxa"/>
            <w:vAlign w:val="bottom"/>
            <w:gridSpan w:val="3"/>
          </w:tcPr>
          <w:p>
            <w:pPr>
              <w:ind w:left="80"/>
              <w:spacing w:after="0"/>
              <w:rPr>
                <w:sz w:val="20"/>
                <w:szCs w:val="20"/>
                <w:color w:val="auto"/>
              </w:rPr>
            </w:pPr>
            <w:r>
              <w:rPr>
                <w:rFonts w:ascii="Arial" w:cs="Arial" w:eastAsia="Arial" w:hAnsi="Arial"/>
                <w:sz w:val="18"/>
                <w:szCs w:val="18"/>
                <w:color w:val="auto"/>
              </w:rPr>
              <w:t>(Loss) Income before income taxes from continuing operations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r>
      <w:tr>
        <w:trPr>
          <w:trHeight w:val="230"/>
        </w:trPr>
        <w:tc>
          <w:tcPr>
            <w:tcW w:w="73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tax expense *</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r>
      <w:tr>
        <w:trPr>
          <w:trHeight w:val="230"/>
        </w:trPr>
        <w:tc>
          <w:tcPr>
            <w:tcW w:w="7360" w:type="dxa"/>
            <w:vAlign w:val="bottom"/>
            <w:gridSpan w:val="4"/>
          </w:tcPr>
          <w:p>
            <w:pPr>
              <w:spacing w:after="0"/>
              <w:rPr>
                <w:sz w:val="20"/>
                <w:szCs w:val="20"/>
                <w:color w:val="auto"/>
              </w:rPr>
            </w:pPr>
            <w:r>
              <w:rPr>
                <w:rFonts w:ascii="Arial" w:cs="Arial" w:eastAsia="Arial" w:hAnsi="Arial"/>
                <w:sz w:val="18"/>
                <w:szCs w:val="18"/>
                <w:color w:val="auto"/>
              </w:rPr>
              <w:t>Loss from investment in unconsolidated joint venture</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63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45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320"/>
              <w:spacing w:after="0"/>
              <w:rPr>
                <w:sz w:val="20"/>
                <w:szCs w:val="20"/>
                <w:color w:val="auto"/>
              </w:rPr>
            </w:pPr>
            <w:r>
              <w:rPr>
                <w:rFonts w:ascii="Arial" w:cs="Arial" w:eastAsia="Arial" w:hAnsi="Arial"/>
                <w:sz w:val="18"/>
                <w:szCs w:val="18"/>
                <w:color w:val="auto"/>
                <w:w w:val="92"/>
              </w:rPr>
              <w:t>Calculated as a percentage of (loss) income before income taxes from continuing operations.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6180" w:type="dxa"/>
            <w:vAlign w:val="bottom"/>
          </w:tcPr>
          <w:p>
            <w:pPr>
              <w:ind w:left="53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680" w:type="dxa"/>
            <w:vAlign w:val="bottom"/>
            <w:gridSpan w:val="4"/>
          </w:tcPr>
          <w:p>
            <w:pPr>
              <w:spacing w:after="0"/>
              <w:rPr>
                <w:sz w:val="20"/>
                <w:szCs w:val="20"/>
                <w:color w:val="auto"/>
              </w:rPr>
            </w:pPr>
            <w:r>
              <w:rPr>
                <w:rFonts w:ascii="Arial" w:cs="Arial" w:eastAsia="Arial" w:hAnsi="Arial"/>
                <w:sz w:val="18"/>
                <w:szCs w:val="18"/>
                <w:b w:val="1"/>
                <w:bCs w:val="1"/>
                <w:color w:val="auto"/>
              </w:rPr>
              <w:t>2020 compared with 2019</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2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Segment Analysis</w:t>
            </w:r>
          </w:p>
        </w:tc>
        <w:tc>
          <w:tcPr>
            <w:tcW w:w="47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6680" w:type="dxa"/>
            <w:vAlign w:val="bottom"/>
            <w:gridSpan w:val="4"/>
          </w:tcPr>
          <w:p>
            <w:pPr>
              <w:spacing w:after="0"/>
              <w:rPr>
                <w:sz w:val="20"/>
                <w:szCs w:val="20"/>
                <w:color w:val="auto"/>
              </w:rPr>
            </w:pPr>
            <w:r>
              <w:rPr>
                <w:rFonts w:ascii="Arial" w:cs="Arial" w:eastAsia="Arial" w:hAnsi="Arial"/>
                <w:sz w:val="18"/>
                <w:szCs w:val="18"/>
                <w:color w:val="auto"/>
              </w:rPr>
              <w:t>Mattress Fabrics Segment</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1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color w:val="auto"/>
              </w:rPr>
              <w:t>Twelve Months Ended</w:t>
            </w:r>
          </w:p>
        </w:tc>
        <w:tc>
          <w:tcPr>
            <w:tcW w:w="1160" w:type="dxa"/>
            <w:vAlign w:val="bottom"/>
          </w:tcPr>
          <w:p>
            <w:pPr>
              <w:spacing w:after="0"/>
              <w:rPr>
                <w:sz w:val="24"/>
                <w:szCs w:val="24"/>
                <w:color w:val="auto"/>
              </w:rPr>
            </w:pPr>
          </w:p>
        </w:tc>
      </w:tr>
      <w:tr>
        <w:trPr>
          <w:trHeight w:val="209"/>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May 3,</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April 28,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68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52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131,412</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145,671</w:t>
            </w:r>
          </w:p>
        </w:tc>
        <w:tc>
          <w:tcPr>
            <w:tcW w:w="1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(9.8)%</w:t>
            </w:r>
          </w:p>
        </w:tc>
      </w:tr>
      <w:tr>
        <w:trPr>
          <w:trHeight w:val="229"/>
        </w:trPr>
        <w:tc>
          <w:tcPr>
            <w:tcW w:w="6680" w:type="dxa"/>
            <w:vAlign w:val="bottom"/>
            <w:gridSpan w:val="4"/>
          </w:tcPr>
          <w:p>
            <w:pPr>
              <w:spacing w:after="0"/>
              <w:rPr>
                <w:sz w:val="20"/>
                <w:szCs w:val="20"/>
                <w:color w:val="auto"/>
              </w:rPr>
            </w:pPr>
            <w:r>
              <w:rPr>
                <w:rFonts w:ascii="Arial" w:cs="Arial" w:eastAsia="Arial" w:hAnsi="Arial"/>
                <w:sz w:val="18"/>
                <w:szCs w:val="18"/>
                <w:color w:val="auto"/>
              </w:rPr>
              <w:t>Gross profit from continuing operations</w:t>
            </w:r>
          </w:p>
        </w:tc>
        <w:tc>
          <w:tcPr>
            <w:tcW w:w="2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16,278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22,904</w:t>
            </w:r>
          </w:p>
        </w:tc>
        <w:tc>
          <w:tcPr>
            <w:tcW w:w="1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30"/>
        </w:trPr>
        <w:tc>
          <w:tcPr>
            <w:tcW w:w="66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Gross profit margin from continuing operations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 bp</w:t>
            </w:r>
          </w:p>
        </w:tc>
      </w:tr>
      <w:tr>
        <w:trPr>
          <w:trHeight w:val="229"/>
        </w:trPr>
        <w:tc>
          <w:tcPr>
            <w:tcW w:w="6680" w:type="dxa"/>
            <w:vAlign w:val="bottom"/>
            <w:gridSpan w:val="4"/>
          </w:tcPr>
          <w:p>
            <w:pPr>
              <w:spacing w:after="0"/>
              <w:rPr>
                <w:sz w:val="20"/>
                <w:szCs w:val="20"/>
                <w:color w:val="auto"/>
              </w:rPr>
            </w:pPr>
            <w:r>
              <w:rPr>
                <w:rFonts w:ascii="Arial" w:cs="Arial" w:eastAsia="Arial" w:hAnsi="Arial"/>
                <w:sz w:val="18"/>
                <w:szCs w:val="18"/>
                <w:color w:val="auto"/>
              </w:rPr>
              <w:t>SG&amp;A expenses</w:t>
            </w:r>
          </w:p>
        </w:tc>
        <w:tc>
          <w:tcPr>
            <w:tcW w:w="2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11,354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11,296</w:t>
            </w:r>
          </w:p>
        </w:tc>
        <w:tc>
          <w:tcPr>
            <w:tcW w:w="16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30"/>
        </w:trPr>
        <w:tc>
          <w:tcPr>
            <w:tcW w:w="66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4,924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11,607</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(57.6)%</w:t>
            </w:r>
          </w:p>
        </w:tc>
      </w:tr>
      <w:tr>
        <w:trPr>
          <w:trHeight w:val="229"/>
        </w:trPr>
        <w:tc>
          <w:tcPr>
            <w:tcW w:w="6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 bp</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Mattress fabrics sales decreased 9.8% in fiscal 2020 compared to the prior year. These results for fiscal 2020 reflected the significant disruption from the COVID-19 pandemic during the fourth quarter of fiscal 2020. We experienced a rapid drop in demand beginning in mid-March, as customers and retail mattress and home furnishings stores began closing or substantially limiting their operations. Due to government-mandated closure requirements near the end of March, we shut down our facilities in Canada and Haiti for several weeks. We also reduced our production schedules and furloughed workers at our U.S. facilities to align with the severely reduced demand, while aggressively cutting costs, delaying non-essential capital expenditures, and reducing inventory.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Despite these challenges, we quickly shifted to repurpose a portion of our available operations to produce face masks, bedding covers, and fabrics for healthcare operations and consumer health. This allowed us to support much-needed relief efforts as an essential business and keep as many workers as possible employed. In addition, in the face of travel restrictions and cancelled trade shows, we leveraged our recently introduced digital library, design simulations, and 3D image rendering capabilities to continue showcasing our products and support our customers through virtual design collaboration.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the COVID-19 outbreak, our results for fiscal 2020 were also affected by continued disruption in the domestic mattress industry relating to low-priced mattress imports that moved from China to other countries. Our results for fiscal 2019, which saw a 24.7% decrease in net sales compared to fiscal 2018, were significantly affected by more challenging market conditions faced by the domestic bedding industry due primarily to the high volume of low-priced imported mattresses from China. Near the end of fiscal 2019, import activity began to slow in anticipation of an expected ruling from the U.S. Department of Commerce. This ruling came in May 2019, with the Department of Commerce imposing punitive anti-dumping measures against Chinese made mattresses. At the time, we expected that these duties would ultimately provide relief for the domestic mattress industry and benefit our business, and this expectation appeared to materialize during the first quarter of fiscal 2020. However, this trend was reversed during the second and third quarters as the domestic mattress industry saw continued disruption from low-priced mattress imports that moved from China to other countries.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the first eight weeks of fiscal 2021, we have experienced an increase in demand as government restrictions have been lifted and customers and retail stores have started to resume operations. As of the end of June 2020, we have dramatically increased our production schedules and returned substantially all of our previously furloughed workers to meet this increased demand. Additionally, we have seen a return to pre-COVID-19 favorable demand trends for our CLASS sewn mattress cover business, reflecting a continuing growth trend for online boxed bedding. Across our mattress fabrics division, from fabric to cover, we are working collaboratively with new and existing customers to develop fresh, innovative products, and our efficient global platform continues to support our fabric and cover business with established production capabilities in the U.S., Haiti, and Asia. We expect our building expansion in Haiti to be completed during the second quarter of fiscal 2021, which will provide additional capacity and enhance our ability to produce sewn covers.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while we believe our global platform for fabric and covers in Haiti and Asia has us well positioned to capture market share with imported mattresses if and when business conditions normalize from the effects of the COVID-19 pandemic, we are also encouraged by the recent anti-dumping duty petitions filed with the U.S. International Trade Commission (ITC) and U.S. Department of Commerce against seven countries for engaging in unfair trade practices relating to low-priced mattress imports, as well as the ITC’s preliminary determination allowing these petitions to move forward. If successful, we believe the proposed relief being sought will benefit the domestic mattress industry and, in turn, be favorable for our business. We also continue to invest in our design and marketing capabilities with technologies to improve the customer experience and speed to market, and we are enhancing our service platform to be more responsive to customer demand with shorter lead times. We believe we will benefit from these advanced technologies and processes that support our sales and marketing efforts with both legacy and new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6" w:name="page37"/>
    <w:bookmarkEnd w:id="36"/>
    <w:p>
      <w:pPr>
        <w:jc w:val="both"/>
        <w:spacing w:after="0" w:line="293" w:lineRule="auto"/>
        <w:rPr>
          <w:sz w:val="20"/>
          <w:szCs w:val="20"/>
          <w:color w:val="auto"/>
        </w:rPr>
      </w:pPr>
      <w:r>
        <w:rPr>
          <w:rFonts w:ascii="Arial" w:cs="Arial" w:eastAsia="Arial" w:hAnsi="Arial"/>
          <w:sz w:val="16"/>
          <w:szCs w:val="16"/>
          <w:color w:val="auto"/>
        </w:rPr>
        <w:t>Despite positive sales trends for the beginning of fiscal 2021, we expect the COVID-19 pandemic will continue to have an impact on our business through at least the first half of fiscal 2021. The ongoing economic and health effects remain unknown and depend on factors beyond our knowledge or control, including the duration and severity of the outbreak, actions taken to contain its spread and mitigate the public health and economic effects, and the short-and long-term disruption on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decrease in mattress fabrics profitability was primarily due to the decrease in mattress fabrics sales noted above, as well as certain non-recurring charges totaling $249,000 for employee termination benefits and operational reorganization costs associated with our mattress fabrics segment.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of accounts receivable, inventory, property, plant, and equipment, right of use assets, and our investment in an unconsolidated joint venture.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May 3,</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April 28,</w:t>
            </w:r>
          </w:p>
        </w:tc>
        <w:tc>
          <w:tcPr>
            <w:tcW w:w="1540" w:type="dxa"/>
            <w:vAlign w:val="bottom"/>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 Change</w:t>
            </w: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12,212</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12,098</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26,620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24,649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40,682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44,266</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Right of use asset</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in unconsolidated joint venture</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81,478</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82,521</w:t>
            </w:r>
          </w:p>
        </w:tc>
        <w:tc>
          <w:tcPr>
            <w:tcW w:w="14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21 of the consolidated financial statements for disclosures regarding determination of our segment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May 3, 2020, accounts receivable was comparable with April 28, 2019. Accounts receivable for fiscal 2020 reflect slower cash collections and a decrease in net sales that emerged during the fourth quarter of fiscal 2020 as a result of the COVID-19 global pandemic. We experienced slower cash collections during the fourth quarter of fiscal 2020 primarily because we granted extended credit terms to certain customers in response to the challenging business conditions stemming from the pandemic. Days’ sales outstanding was 48 days for the fourth quarter of fiscal 2020, as compared with 29 days for the fourth quarter of fiscal 2019. Net sales for the fourth quarter of fiscal 2020 were $23.4, a decrease of $14.6 million, or 38.5%, compared with net sales of $38.0 million for the fourth quarter of fiscal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 2020, inventory increased 8.0% compared with April 28, 2019. The increase reflects excess inventory purchases compared with actual demand trends, which were significantly lower than expected due COVID-19.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$40.7 million at May 3, 2020, represents property, plant, and equipment of $27.7 million and $13.0 million located in the U.S. and Canada, respectively. The $44.3 million at April 28, 2019, represents property, plant, and equipment of $32.4 million and $11.9 million located in the U.S. and Canada, respectively.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3, 2020, property, plant, and equipment decreased as compared with April 28, 2019. This trend represents a decrease in capital expenditure requirements and a progression toward a more maintenance level of spending on machinery and equipment, as well as significant cost cutting measures in capital expenditures during the fourth quarter of fiscal 2020, as part of our comprehensive response to COVID-19. During fiscal 2020, our mattress fabrics segment reported capital expenditures of $3.5 million and depreciation expense of $6.7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Right of Use Assets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May 3, 2020, our right of use assets balance reflects the adoption of ASC Topic 842, Leases. See the heading titled “Leases” under the “Recently Adopted Accounting Pronouncements” section in Note 1 to the consolidated financial statements, as well as Note 15 to the consolidated financial statements, for further details. The $362,000 represents right of use assets located in the U.S. There is not a comparable balance as of April 29, 2019, as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was adopted at April 29, 2019, the beginning of our fiscal 2020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unconsolidated joint venture represents our fifty percent ownership of Class International Holdings, Ltd. (see Note 10 to the consolidated financial statements for further details).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Upholstery Fabrics Segment</w:t>
            </w:r>
          </w:p>
        </w:tc>
        <w:tc>
          <w:tcPr>
            <w:tcW w:w="29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3"/>
        </w:trPr>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rPr>
              <w:t>Twelve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9"/>
        </w:trPr>
        <w:tc>
          <w:tcPr>
            <w:tcW w:w="2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May 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April 28,</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w w:val="99"/>
              </w:rPr>
              <w:t>% Change</w:t>
            </w:r>
          </w:p>
        </w:tc>
      </w:tr>
      <w:tr>
        <w:trPr>
          <w:trHeight w:val="223"/>
        </w:trPr>
        <w:tc>
          <w:tcPr>
            <w:tcW w:w="4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Non-U.S. Produced</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113,630</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121,818</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0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U.S. Produced</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13,836</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5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124,754</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135,654</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Upholstery fabrics sales decreased 8.0% in fiscal 2020 compared to the prior year, reflecting material disruption from the COVID-19 pandemic during the fourth quarter of fiscal 2020. The first six weeks of the fourth quarter were consistent with our expectations, with our Asia supply chain returning to full output by the beginning of March following the previous government-mandated shutdown in China associated with the COVID-19 outbreak. However, orders and shipments declined significantly beginning in the second half of March as most of our U.S. customers and U.S. furniture retailers shut down or substantially limited their operations due to the pandemic. Many of our customers delayed shipments, deferred orders in process, and halted new orders as a result of the disruption, resulting in a substantial decrease in sales.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responded to the new operating environment to support the needs of our customers by developing innovative virtual showcase presentations that allowed us to continue representing our products to customers in the face of travel restrictions and event cancellations. We also adjusted our workforce to align with the significantly reduced demand and aggressively reduced discretionary spending.</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COVID-19 outbreak, our results for the fiscal 2020 year were also affected by the soft retail environment for residential furniture and ongoing issues surrounding international trade agreements and associated tariffs during the first half of the year. Additionally, the drop in U.S. produced sales for fiscal 2020 reflects the closure of our Anderson, SC, production facility that was completed during the second quarter of fiscal 2019, as net sales for the first six months of fiscal 2019 included sales from the Anderson facility, whereas there were no such sales in the first six months of fiscal 2020.</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the challenging market conditions, we executed our product-driven strategy throughout the fiscal 2020 year with a continued focus on innovation and creative design that supports our diverse customer base and helps customers differentiate themselves in the marketplace. Our line of LiveSmart® performance fabrics remains popular with both existing and new residential furniture customers, and our new LiveSmart Evolve™ line of sustainability fabrics, which features the use of recycled fibers along with the same stain-resistant performance, continues to be well received.</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experienced continued growth in our hospitality business throughout the year, which was less affected by the COVID-19 disruption during the fourth quarter due to orders already in process. Read Window Products, our window treatment and installation services business, provided a meaningful contribution for the year, including the fourth quarter, as it continued operations to fulfill existing project orders and reallocated a portion of its operations to sew face masks for healthcare workers. However, while our hospitality business has thus far been less affected by the disruption from the COVID-19 pandemic, the ongoing pressure on the travel and leisure industries as a result of the pandemic may negatively affect it, at least in the short-term, as it remains uncertain whether hotels and other hospitality venues will undertake new refurnishing projects in the current environment.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jc w:val="both"/>
        <w:ind w:right="20"/>
        <w:spacing w:after="0" w:line="254" w:lineRule="auto"/>
        <w:rPr>
          <w:sz w:val="20"/>
          <w:szCs w:val="20"/>
          <w:color w:val="auto"/>
        </w:rPr>
      </w:pPr>
      <w:r>
        <w:rPr>
          <w:rFonts w:ascii="Arial" w:cs="Arial" w:eastAsia="Arial" w:hAnsi="Arial"/>
          <w:sz w:val="18"/>
          <w:szCs w:val="18"/>
          <w:color w:val="auto"/>
        </w:rPr>
        <w:t>For the first eight weeks of fiscal 2021, we are encouraged by recent sales trends and reports of consumer spending in the home furnishings sector. As customers and retail stores across the U.S. have resumed operations, we have seen a gradual increase in orders and shipments during this period. However, despite these positive trends, we expect the COVID-19 pandemic will continue to have an impact on our business through at least the first half of fiscal 2021. The ongoing economic and health effects, as well as the duration of such effects, remain unknown and depend on factors beyond our knowledge or control. At this time, we cannot reasonably estimate the ongoing impact of the COVID-19 pandemic on our upholstery fabrics segment, however, if conditions worsen, the impact on our employees, suppliers, consumers, and the global economy could adversely affect our operations and financial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400"/>
              <w:spacing w:after="0"/>
              <w:rPr>
                <w:sz w:val="20"/>
                <w:szCs w:val="20"/>
                <w:color w:val="auto"/>
              </w:rPr>
            </w:pPr>
            <w:r>
              <w:rPr>
                <w:rFonts w:ascii="Arial" w:cs="Arial" w:eastAsia="Arial" w:hAnsi="Arial"/>
                <w:sz w:val="18"/>
                <w:szCs w:val="18"/>
                <w:color w:val="auto"/>
              </w:rPr>
              <w:t>Twelve Months Ended</w:t>
            </w:r>
          </w:p>
        </w:tc>
        <w:tc>
          <w:tcPr>
            <w:tcW w:w="1600" w:type="dxa"/>
            <w:vAlign w:val="bottom"/>
          </w:tcPr>
          <w:p>
            <w:pPr>
              <w:spacing w:after="0"/>
              <w:rPr>
                <w:sz w:val="20"/>
                <w:szCs w:val="20"/>
                <w:color w:val="auto"/>
              </w:rPr>
            </w:pPr>
          </w:p>
        </w:tc>
      </w:tr>
      <w:tr>
        <w:trPr>
          <w:trHeight w:val="209"/>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May 3,</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April 28,</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Gross profit from continuing operations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24,220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25,373</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Gross profit margin from continuing operations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70bp</w:t>
            </w: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14,353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14,551</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9,867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29"/>
        </w:trPr>
        <w:tc>
          <w:tcPr>
            <w:tcW w:w="6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bp</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upholstery fabrics profitability was primarily due to the decrease in sales noted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Upholstery Fabrics Restructuring Plan</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12, 2018, our board of directors announced the closure of our upholstery fabrics manufacturing facility located in Anderson, SC. This closure was completed during the second quarter of fiscal 2019 and was due to a continued decline in demand for the products manufactured at this facility, reflecting a change in consumer style preferences.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restructuring credit and related charges that were associated with the above restructuring plan: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Inventory markdowns</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1,564</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Other operating costs associated with a closed facility</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824</w:t>
            </w: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termination benefits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r>
      <w:tr>
        <w:trPr>
          <w:trHeight w:val="230"/>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Gain on sale of property, plant, and equipment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Restructuring credit and related charges (1) (2)</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1,563</w:t>
            </w:r>
          </w:p>
        </w:tc>
      </w:tr>
    </w:tbl>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$70,000 credit was recorded to restructuring credit in the fiscal 2020 Consolidated Statement of Net Loss.</w:t>
      </w:r>
    </w:p>
    <w:p>
      <w:pPr>
        <w:spacing w:after="0" w:line="23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this total net charge, a charge of $2.3 million, a charge of $40,000 and a credit of $825,000 were recorded in cost of sales, selling, general, and administrative expenses, and restructuring credit, respectively, in the fiscal 2019 Consolidated Statement of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May 3,</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April 28,</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6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 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12,881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11,274</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Inventory</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21,287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22,915</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Right of use asssets</w:t>
            </w:r>
          </w:p>
        </w:tc>
        <w:tc>
          <w:tcPr>
            <w:tcW w:w="26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1,633</w:t>
            </w:r>
          </w:p>
        </w:tc>
        <w:tc>
          <w:tcPr>
            <w:tcW w:w="1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spacing w:after="0"/>
              <w:rPr>
                <w:sz w:val="20"/>
                <w:szCs w:val="20"/>
                <w:color w:val="auto"/>
              </w:rPr>
            </w:pPr>
          </w:p>
        </w:tc>
        <w:tc>
          <w:tcPr>
            <w:tcW w:w="30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37,434</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35,984</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bottom w:val="single" w:sz="8" w:color="CFF0FC"/>
            </w:tcBorders>
            <w:vMerge w:val="restart"/>
          </w:tcPr>
          <w:p>
            <w:pPr>
              <w:jc w:val="right"/>
              <w:ind w:right="61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May 3, 2020, accounts receivable increased 14.3% compared with April 28, 2019. Accounts receivable for fiscal 2020 reflect slower cash collections and a decrease in net sales that emerged during the fourth quarter of fiscal 2020 as a result of the COVID-19 global pandemic. We experienced slower cash collections during the fourth quarter of fiscal 2020 primarily because we granted extended credit terms to certain customers in response to the challenging business conditions stemming from the pandemic. Days’ sales outstanding was 47 days for the fourth quarter of fiscal 2020, as compared with 34 days for the fourth quarter of fiscal 2019. Net sales for the fourth quarter of fiscal 2020 were $24.0 million, a decrease of $5.0 million, or 17.3%, compared with net sales of $29.0 million for the fourth quarter of fiscal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May 3, 2020, inventory decreased 7.1% compared with April 28, 2019. The trend primarily reflects the decrease in net sales noted above during the fourth quarter of fiscal 2020 compared with the fourth quarter of fiscal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$1.6 million at May 3, 2020, represents property, plant, and equipment of $1.2 million and $471,000 located in the U.S. and China, respectively. The $1.8 million at April 28, 2019, represents property, plant, and equipment of $1.2 million and $591,000 located in the U.S. and China,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As of May 3, 2020, our right of use assets balance reflects the adoption of ASC Topic 842, Leases. See the heading titled “Leases” under the “Recently Adopted Accounting Pronouncements” section in Note 1 to the consolidated financial statements, as well as Note 15 to the consolidated financial statements, for further details. The $1.6 million represents right of use assets of $857,000 and $776,000 located in the U.S. and China, respectively. There is not a comparable balance as of April 29, 2019, as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was adopted at April 29, 2019, the beginning of our fiscal 2020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 - Home Accessories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our June 22, 2018, majority investment in eLuxury, our operations for the majority of fiscal 2019 and fiscal 2020 included our home accessories segment, beginning as of the date of such acquisition. The home accessories segment represented our e-commerce and finished products business offering bedding accessories and home goods directly to both consumers and businesses through global e-commerce and business-to-business sales channels.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However, we sold our majority ownership interest in eLuxury on March 31, 2020, to increase liquidity and focus on the company’s core mattress and upholstery fabrics businesses during the unprecedented disruption arising from the COVID-19 pandemic. As a result of the sale, we no longer operate in the home accessories segment and determined that this segment qualified as a discontinued operation. The applicable financial results of our former home accessories segment through the closing of the sale of eLuxury have been reclassified as a discontinued operation for all periods presented in this report. See Note 3 – Discontinued Operations, to the consolidated financial statements for further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of Disposal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sold our entire ownership interest in eLuxury to its noncontrolling interest holder, effective March 31, 2020, in consideration of an accelerated settlement of certain financial obligations due and payable by eLuxury to us and the entry into certain supply and royalty arrangements designed to preserve an additional sales channel for our core products.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sale,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 entered into an amended and restated credit and security agreement with eLuxury and the buyer (the former noncontrolling interest holder) (together, the “Borrowers”), pursuant to which the Borrowers agreed to repay an additional $1.0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$1.0 million due and outstanding under our prior loan to eLuxury, as well as the $613,000 in outstanding trade accounts payable due from eLuxury to us, has been paid in full in accordance with the terms of the sale agreement outlined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Impact on Operating Results</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impact on our assets, liabilities, and operating results from the sale of eLuxury and reclassification of the applicable financial results of our former home accessories segment as a discontinued operation is set forth below. See also Note 3 – Discontinued Operations, to the consolidated financial statements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is a summary of the assets and liabilities that were sold on March 31, 2020, in connection with our sale of our entire ownership interest in eLuxury, and a reconciliation of the assets and liabilities disclosed in the notes to the consolidated financial statements to the assets and liabilities of the disposal group that are presented separately as held for sale – discontinued operation on the Consolidated Balance Sheet as of April 28,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9"/>
                <w:szCs w:val="19"/>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April 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21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285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588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3,344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current assets</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 held for sale - discontinued operation</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4,387</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property, plant, and equipment</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1,694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right of use asset</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918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w w:val="97"/>
              </w:rPr>
              <w:t>total noncurrent assets held for sale - discontinued operation</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2,612</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6,999</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NET ASSETS</w:t>
            </w: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accounts -payable trade</w:t>
            </w:r>
          </w:p>
        </w:tc>
        <w:tc>
          <w:tcPr>
            <w:tcW w:w="25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1,394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 - current</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total current liabilities held for sale - discontinued operation</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1,940</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loan payable - Culp Inc.</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subordinated loan payable - noncontrolling interest</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925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operating lease liability - long-term</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3"/>
              </w:rPr>
              <w:t>total noncurrent liabilities held for sale - discontinued operation</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3,168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5,108</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assets of discontinued operation</w:t>
            </w:r>
          </w:p>
        </w:tc>
        <w:tc>
          <w:tcPr>
            <w:tcW w:w="2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1,891</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20" w:type="dxa"/>
            <w:vAlign w:val="bottom"/>
            <w:vMerge w:val="restart"/>
          </w:tcPr>
          <w:p>
            <w:pPr>
              <w:jc w:val="right"/>
              <w:ind w:right="175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Net Loss from Discontinued Operation</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the major classes of financial statement line items constituting loss before income taxes from discontinued operations that are presented in the Consolidated State of Net (Loss) Income for fiscal years 2020, 2019, and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13,763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15,956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 (2)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(20,202)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5,856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 related to major classes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(15,686)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loss before income taxes</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loss on disposal of 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income taxes from discontinued operation (5)</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(17,577)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(17,509)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Discontinued operations were not presented in fiscal 2018 as we acquired eLuxury on June 22, 2018, which was during fiscal 2019.</w:t>
      </w:r>
    </w:p>
    <w:p>
      <w:pPr>
        <w:spacing w:after="0" w:line="198" w:lineRule="exact"/>
        <w:rPr>
          <w:rFonts w:ascii="Arial" w:cs="Arial" w:eastAsia="Arial" w:hAnsi="Arial"/>
          <w:sz w:val="18"/>
          <w:szCs w:val="18"/>
          <w:color w:val="auto"/>
        </w:rPr>
      </w:pPr>
    </w:p>
    <w:p>
      <w:pPr>
        <w:jc w:val="both"/>
        <w:ind w:left="500" w:right="20" w:hanging="492"/>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fiscal 2020, we recorded asset impairment charges totaling $20.2 million, of which $13.6 million and $6.6 million pertained to the goodwill and tradename, respectively. Of the $20.2 million in asset impairment charge, $13.6 million was recorded in the third quarter and $6.6 million was recorded in the fourth quarter. See Notes 8, 9, and 17 to the consolidated financial statements for further details of our assessments that resulted in the impairment of the goodwill and tradename associated with this discontinued operation.</w:t>
      </w:r>
    </w:p>
    <w:p>
      <w:pPr>
        <w:spacing w:after="0" w:line="146"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separate section in Note 3 to the consolidated financial statements titled “Contingent Consideration” for further details.</w:t>
      </w:r>
    </w:p>
    <w:p>
      <w:pPr>
        <w:spacing w:after="0" w:line="184"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is directly attributable to our discontinued operations as it pertains to loans payable assumed by the buyer, (the noncontrolling interest holder) or required to be paid to Culp based on the terms of the sale agreement.</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separate section in Note 3 to the consolidated financial statements titled “Consolidation and Deconsolidation” for further details.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summary of net (loss) income from continuing operations, loss from discontinued operation, and net (loss) income attributable to Culp Inc. common shareholders and the holder of eLuxury’s noncontrolling interest for fiscal years 2020,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5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net (loss) income from continuing operations attributable to</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5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 attributable</w:t>
            </w:r>
          </w:p>
        </w:tc>
        <w:tc>
          <w:tcPr>
            <w:tcW w:w="1700" w:type="dxa"/>
            <w:vAlign w:val="bottom"/>
            <w:gridSpan w:val="2"/>
            <w:vMerge w:val="restart"/>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(11,158)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Culp Inc. common shareholders</w:t>
            </w:r>
          </w:p>
        </w:tc>
        <w:tc>
          <w:tcPr>
            <w:tcW w:w="1700" w:type="dxa"/>
            <w:vAlign w:val="bottom"/>
            <w:gridSpan w:val="2"/>
            <w:vMerge w:val="continue"/>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Arial" w:cs="Arial" w:eastAsia="Arial" w:hAnsi="Arial"/>
                <w:sz w:val="18"/>
                <w:szCs w:val="18"/>
                <w:color w:val="auto"/>
              </w:rPr>
              <w:t>net loss from discontinued operation</w:t>
            </w:r>
          </w:p>
        </w:tc>
        <w:tc>
          <w:tcPr>
            <w:tcW w:w="1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(17,509)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attributable to</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net loss from discontinued operation attributable to Culp Inc.</w:t>
            </w:r>
          </w:p>
        </w:tc>
        <w:tc>
          <w:tcPr>
            <w:tcW w:w="198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98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(28,667)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noncontrolling interest</w:t>
            </w:r>
          </w:p>
        </w:tc>
        <w:tc>
          <w:tcPr>
            <w:tcW w:w="15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Culp Inc.</w:t>
            </w:r>
          </w:p>
        </w:tc>
        <w:tc>
          <w:tcPr>
            <w:tcW w:w="1980" w:type="dxa"/>
            <w:vAlign w:val="bottom"/>
            <w:gridSpan w:val="3"/>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(23,993)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980" w:type="dxa"/>
            <w:vAlign w:val="bottom"/>
            <w:gridSpan w:val="3"/>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5,676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vMerge w:val="restart"/>
          </w:tcPr>
          <w:p>
            <w:pPr>
              <w:jc w:val="right"/>
              <w:ind w:right="710"/>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2" w:name="page43"/>
    <w:bookmarkEnd w:id="42"/>
    <w:p>
      <w:pPr>
        <w:ind w:right="3060"/>
        <w:spacing w:after="0" w:line="461" w:lineRule="auto"/>
        <w:rPr>
          <w:sz w:val="20"/>
          <w:szCs w:val="20"/>
          <w:color w:val="auto"/>
        </w:rPr>
      </w:pPr>
      <w:r>
        <w:rPr>
          <w:rFonts w:ascii="Arial" w:cs="Arial" w:eastAsia="Arial" w:hAnsi="Arial"/>
          <w:sz w:val="18"/>
          <w:szCs w:val="18"/>
          <w:i w:val="1"/>
          <w:iCs w:val="1"/>
          <w:color w:val="auto"/>
        </w:rPr>
        <w:t xml:space="preserve">Continuing Obligations, Financial Commitments, and Continuing Relationships with the Discontinued Operation </w:t>
      </w:r>
      <w:r>
        <w:rPr>
          <w:rFonts w:ascii="Arial" w:cs="Arial" w:eastAsia="Arial" w:hAnsi="Arial"/>
          <w:sz w:val="18"/>
          <w:szCs w:val="18"/>
          <w:color w:val="auto"/>
        </w:rPr>
        <w:t>Supply and Royalty Agreements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sale of our ownership interest in eLuxury, we entered into supply and royalty agreements with eLuxury to preserve an additional sales channel for our core products – upholstery and mattress fabrics. The supply agreement requires eLuxury to purchase from us all its requirements for mattress and upholstery fabrics products of the type we were supplying to eLuxury at the time of the sale transaction, as well as certain home accessories and soft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we referred to eLuxury prior to the sale transaction and new customer relationships we develop for eLuxury going forward, as well as sales of eLuxury products generated by sales representatives that we develop or introduce to eLuxury.</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help grow eLuxury’s business-business sales platform.</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for the all periods presented in our Consolidated Statement of (Loss) Income. Therefore, we reported both net sales and cost of sales totaling $968,000 during fiscal 2020 and $612,000 during fiscal 2019, which amounts were previously eliminated in consolidation prior to the sale of eLuxury on March 31, 2020.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After the sale of eLuxury on March 31, 2020, and through the remainder of fiscal 2020 ending May 3, 2020, our shipments to eLuxury totaled $7,000.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Shipments for April 2020 were severely affected by the COVID-19 global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Guarantee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we have an agreement that guarantees 70% of any unpaid lease payments associated with eLuxury’s facility located in Evansville, Indiana. The lease agreement expires in September 2024 and requires monthly payments of $18,865. However, in connection with the sale of our ownership interest in eLuxury, the buyer (the noncontrolling interest holder) must use commercially reasonable efforts to cause the lessor to release us from this financial guarantee of eLuxury’s lease agreement. Additionally, eLuxury, the buyer, and the sole owner of the buyer have agreed to indemnify us from any liabilities and obligations that we would be required to pay with regards to our guarantee of this lease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details on our discontinued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spacing w:after="0"/>
              <w:rPr>
                <w:sz w:val="20"/>
                <w:szCs w:val="20"/>
                <w:color w:val="auto"/>
              </w:rPr>
            </w:pPr>
            <w:r>
              <w:rPr>
                <w:rFonts w:ascii="Arial" w:cs="Arial" w:eastAsia="Arial" w:hAnsi="Arial"/>
                <w:sz w:val="18"/>
                <w:szCs w:val="18"/>
                <w:color w:val="auto"/>
              </w:rPr>
              <w:t>Other Income Statement Categories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93"/>
        </w:trPr>
        <w:tc>
          <w:tcPr>
            <w:tcW w:w="25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360"/>
              <w:spacing w:after="0"/>
              <w:rPr>
                <w:sz w:val="20"/>
                <w:szCs w:val="20"/>
                <w:color w:val="auto"/>
              </w:rPr>
            </w:pPr>
            <w:r>
              <w:rPr>
                <w:rFonts w:ascii="Arial" w:cs="Arial" w:eastAsia="Arial" w:hAnsi="Arial"/>
                <w:sz w:val="18"/>
                <w:szCs w:val="18"/>
                <w:color w:val="auto"/>
              </w:rPr>
              <w:t>Twelve Months Ended</w:t>
            </w:r>
          </w:p>
        </w:tc>
        <w:tc>
          <w:tcPr>
            <w:tcW w:w="1540" w:type="dxa"/>
            <w:vAlign w:val="bottom"/>
          </w:tcPr>
          <w:p>
            <w:pPr>
              <w:spacing w:after="0"/>
              <w:rPr>
                <w:sz w:val="24"/>
                <w:szCs w:val="24"/>
                <w:color w:val="auto"/>
              </w:rPr>
            </w:pPr>
          </w:p>
        </w:tc>
      </w:tr>
      <w:tr>
        <w:trPr>
          <w:trHeight w:val="209"/>
        </w:trPr>
        <w:tc>
          <w:tcPr>
            <w:tcW w:w="2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May 3,</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April 28,</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 Change</w:t>
            </w:r>
          </w:p>
        </w:tc>
      </w:tr>
      <w:tr>
        <w:trPr>
          <w:trHeight w:val="223"/>
        </w:trPr>
        <w:tc>
          <w:tcPr>
            <w:tcW w:w="64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34,424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33,243</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4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1,383</w:t>
            </w:r>
          </w:p>
        </w:tc>
        <w:tc>
          <w:tcPr>
            <w:tcW w:w="14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SG&amp;A expense increased during fiscal 2020, as compared to the prior year, due primarily to change in estimate adjustments that were recorded during fiscal 2019 that lowered share-based compensation expense in fiscal 2019, an increase in professional fees during fiscal 2020 that was attributable to the adoption of ASC Topic 842 </w:t>
      </w:r>
      <w:r>
        <w:rPr>
          <w:rFonts w:ascii="Arial" w:cs="Arial" w:eastAsia="Arial" w:hAnsi="Arial"/>
          <w:sz w:val="16"/>
          <w:szCs w:val="16"/>
          <w:i w:val="1"/>
          <w:iCs w:val="1"/>
          <w:color w:val="auto"/>
        </w:rPr>
        <w:t>Leases</w:t>
      </w:r>
      <w:r>
        <w:rPr>
          <w:rFonts w:ascii="Arial" w:cs="Arial" w:eastAsia="Arial" w:hAnsi="Arial"/>
          <w:sz w:val="16"/>
          <w:szCs w:val="16"/>
          <w:color w:val="auto"/>
        </w:rPr>
        <w:t>, our recent acquisitions and disposal of businesses, and our comprehensive response to the COVID-19 global pandemic.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Asset Impairments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recorded non-cash asset impairment charges totaling $13.7 million associated with goodwill and certain intangible assets, of which $11.5 million related to the mattress fabrics segment and $2.2 million related to the upholstery fabrics segment. These asset impairment charges were the result of our annual assessments of impairment regarding our goodwill and certain intangible assets that were performed as of May 3, 2020, 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See Notes 8 and 9 to the consolidated financial statements for further details regarding our assessments of impairment, conclusions reached, and the performance of our quantitative impairment tests.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our interest expense is attributable to interest paid on amounts borrowed during the fourth quarter of fiscal 2020 in connection with the disruption from the COVID-19 global pandemic. As a result of the uncertainty relating to the duration of the pandemic and its overall effect on our business, we proactively borrowed $29.8 million, the maximum amount available, under our domestic line of credit and also borrowed an additional $1.0 million under our line of credit associated with our China operations. In addition, we applied for and received a $7.6 million in loan under the SBA’s Paycheck Protection Program. As previously disclosed, during the first quarter of fiscal 2021, we repaid in full the PPP Loan and all borrowings that were outstanding under our lines of credit at May 3, 2020, and currently we have no outstanding borrowings under our line of credit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reflects our current investments of excess cash held in U.S. money market funds, short-term bond funds, mutual funds associated with our Rabbi Trust that funds our deferred compensation plan, and investment grade U.S. corporate, foreign, and government bonds.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other expense during fiscal 2020, as compared with fiscal 2019, is due mostly to the $500,000 charitable contribution made during the fourth quarter of fiscal 2019 for an endowed scholarship to the University of North Carolina at Chapel Hill in honor of our co-founder and former chairman of the board. There was no comparable contribution made during fiscal 2020, resulting in a decrease in other expense as compared to the prior year. The charitable contribution will be paid over a period of three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Income Tax Rate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$3.4 million, or (43.7%) of loss before income tax expense from continuing operations, in fiscal 2020, compared with income tax expense of $6.5 million, or 51.4% of income before income tax expense from continuing operations, in fiscal 2019. The following schedule summarizes the principal differences between income tax expense at the federal income tax rate and the effective income tax rate reflected in the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CFF0FC"/>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i w:val="1"/>
                <w:iCs w:val="1"/>
                <w:color w:val="auto"/>
              </w:rPr>
              <w:t>2019</w:t>
            </w: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rate</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global intangible low taxed income tax (GILTI)</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16.9</w:t>
            </w: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w:t>
            </w: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income tax effects of impairment of nondeductible goodwill</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uncertain income tax positions</w:t>
            </w:r>
          </w:p>
        </w:tc>
        <w:tc>
          <w:tcPr>
            <w:tcW w:w="1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income tax effects of Chinese foreign exchange gains and losses</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write-off of U.S. foreign income tax credits</w:t>
            </w:r>
          </w:p>
        </w:tc>
        <w:tc>
          <w:tcPr>
            <w:tcW w:w="19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35.1</w:t>
            </w: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of the 2017 Tax Cuts and Jobs Act</w:t>
            </w:r>
          </w:p>
        </w:tc>
        <w:tc>
          <w:tcPr>
            <w:tcW w:w="19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r>
      <w:tr>
        <w:trPr>
          <w:trHeight w:val="223"/>
        </w:trPr>
        <w:tc>
          <w:tcPr>
            <w:tcW w:w="75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7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income tax rates for both fiscal 2020 and 2019 reflected the mix of our pre-tax earnings from continuing operations that adversely affected our effective income tax rates for the year, as we had higher income tax rates associated with the pre-tax income earned by our foreign operations in China and Canada, as compared to a lower income tax rate on our U.S. pre-tax loss in fiscal 2020 and our U.S. pre-tax income in fiscal 2019. Additionally, the current mix of taxable income that favors our foreign operations, led to a significant increase in the effective income tax rates that are associated with our Global Intangible Low Taxed Income (GILTI) Tax, which represents a U.S. income tax on foreign earnings.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2017 Tax Cuts and Jobs Act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“Enactment Date”), the Tax Cuts and Jobs Act (the “TCJA”) was signed into law. The TCJA contained significant changes to corporate taxation, including (i) the reduction of the corporate income tax rate to 21%, (ii) the acceleration of expensing certain business assets, (iii) a one-time mandatory repatriation tax (the “Transition Tax”) related to the transition of U.S. international tax from a worldwide tax system to a territorial tax system, (iv) limitations on the use of foreign tax credits to reduce the U.S. income tax liability, (v) the repeal of the domestic production activities deduction, (vi) additional limitations on the deductibility of interest expense and executive compensation, and (vii) the creation of the Global Intangible Low Taxed Income (“GILTI”) tax.</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income tax rate reduction was effective as of January 1, 2018. Since we have a fiscal year rather than a calendar year, we were subject to IRS rules relating to transitional income tax rates for fiscal 2018. As a result, our fiscal 2018 U.S. federal income tax rate was a blended income tax rate of 30.4% compared with a fully reduced U.S. federal income tax rate of 21.0% during fiscal 2019 and 2020.</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re-measurement of our U.S. deferred income tax balances to the new U.S. federal corporate income tax rate and the determination of the income tax effects of the Transition Tax on our accumulated earnings and profits associated with our foreign subsidiaries were components of the TCJA that significantly affected our financial statements during fiscal 2019 and 2018.</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determine the effects of the new U.S. federal corporate income tax rate on our U.S. deferred income tax balances during fiscal 2019 and 2018, ASC Topic 740 “Income Taxes” (ASC Topic 740), requires the re-measurement of our U.S. deferred income tax balances as of the Enactment Date of the TCJA, based on income tax rates at which our U.S. deferred income tax balances are expected to reverse in the future. As a result, we recorded an income tax charge of $2.2 million for the re-measurement of our U.S. net deferred income taxes during fiscal 2018. During the third quarter of fiscal 2019, we completed our assessment of the remeasurement of our U.S. deferred income tax balances and recorded an income tax benefit of $268,000.</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Transition Tax was based on our total post-1986 foreign earnings and profits (“E&amp;P”) that were previously deferred from U.S. income tax and applicable income tax rates associated with E&amp;P held in cash and other specified assets (the “aggregate foreign cash position”). Also, E&amp;P was not permanently reinvested prior to the TCJA. As a result, we recorded an income tax benefit of $4.3 million for the income tax effects of the Transition Tax during fiscal 2018. This $4.3 million income tax benefit related to an income tax benefit of $18.0 million for the release of deferred income tax liabilities related to E&amp;P, an income tax benefit of $11.7 million related to the reduction in our U.S. Federal income tax rate pursuant to the TCJA on the effective settlement of an IRS exam related to E&amp;P, partially offset by an income tax charge for the write-off and the establishment of a valuation allowance against our unused foreign tax credits totaling $25.4 million. During the third quarter of fiscal 2019, we completed our assessment of the income tax effects of the Transition Tax and recorded an income tax benefit of $282,000. Additionally, we elected to pay the Transition Tax over a period of eight years in accordance with the TCJA.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GILTI</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above components of the TJCA, GILTI was effective during fiscal 2020 and fiscal 2019. Our policy to account for GILTI is to expense this tax in the period incurred. As a result, we recorded income tax charges of $1.9 million and $2.1 million during fiscal 2020 and 2019, respectively.</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14, 2019, the U.S. Treasury Department and Internal Revenue Service issued proposed regulations regarding the GILTI provisions of the U.S. income tax code. The proposed regulations contain a provision for an exclusion from treatment as GILTI if taxable income amounts are subject to a high rate of foreign income tax, as defined in the proposed regulations (the “GILTI High-Tax exception”). If an entity were to qualify for this GILTI High-Tax exception, the high-taxed income earned that would otherwise be subject to GILTI and U.S. income tax may be excluded from U.S. income tax. However, since these regulations are in proposed form, an entity is not allowed to record an income tax benefit under these provisions until these proposed regulations have been finalized and effective. There is no guarantee that the proposed regulations will be enacted, or that there won’t be changes to the final regulations that would reduce or eliminate the relief we would otherwise benefit from under the proposed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 likely than 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14 of the consolidated financial statements for disclosures regarding our assessments of our recorded valuation allowance as of May 3, 2020 and April 28,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At May 3, 2020, we assessed the liquidity requirements of our U.S. parent company and determined that our undistributed earnings from our foreign subsidiaries would not be reinvested indefinitely and would be eventually distributed to our U.S. parent company. ASC Topic 740 requires that a deferred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14 of the consolidated financial statements for disclosures regarding our assessments of our recorded deferred income tax liability balances associated with our undistributed earnings from our foreign subsidiaries as of May 3, 2020 and April 28,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in Income Taxes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May 3, 2020, we had a $1.3 million total gross unrecognized income tax benefit that relates to double taxation under applicable income tax treaties with foreign tax jurisdictions. At this time, significant change associated with this income tax benefit is not expected within the next fiscal year.</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States federal income tax returns filed by us remain subject to examination for income tax years 2017 and subsequent. Canadian federal income tax returns filed by us remain subject to examination for income tax years 2016 and subsequent. Canadian provincial (Quebec) income tax returns filed by us remain subject to examination for income tax years 2017 and subsequent. Income tax returns associated with our operations located in China are subject to examination for income tax year 2015 and subsequent.</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30" w:lineRule="exact"/>
        <w:rPr>
          <w:sz w:val="20"/>
          <w:szCs w:val="20"/>
          <w:color w:val="auto"/>
        </w:rPr>
      </w:pPr>
    </w:p>
    <w:p>
      <w:pPr>
        <w:ind w:right="760"/>
        <w:spacing w:after="0" w:line="453" w:lineRule="auto"/>
        <w:rPr>
          <w:sz w:val="20"/>
          <w:szCs w:val="20"/>
          <w:color w:val="auto"/>
        </w:rPr>
      </w:pPr>
      <w:r>
        <w:rPr>
          <w:rFonts w:ascii="Arial" w:cs="Arial" w:eastAsia="Arial" w:hAnsi="Arial"/>
          <w:sz w:val="18"/>
          <w:szCs w:val="18"/>
          <w:color w:val="auto"/>
        </w:rPr>
        <w:t xml:space="preserve">Refer to Note 14 of the consolidated financial statements for disclosures and additional information regarding our uncertain income tax positions. </w:t>
      </w:r>
      <w:r>
        <w:rPr>
          <w:rFonts w:ascii="Arial" w:cs="Arial" w:eastAsia="Arial" w:hAnsi="Arial"/>
          <w:sz w:val="18"/>
          <w:szCs w:val="18"/>
          <w:i w:val="1"/>
          <w:iCs w:val="1"/>
          <w:color w:val="auto"/>
        </w:rPr>
        <w:t>Income Taxes Paid</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income tax payments totaled $5.0 million during fiscal 2020, compared with $6.7 million during fiscal 2019, which are mostly associated with our subsidiaries located in Canada and China. Currently, we expect our fiscal 2021 income tax payments associated with operations in Canada and China to be comparable to fiscal 2020 and 2019.</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TCJA, we elected to pay the Transition Tax described above over a period of eight years and made our first installment payment in August 2018. As a result of this fact, coupled with U.S Federal net operating loss carryforwards totaling $4,4 million as of May 3, 2020, and the immediate expensing of U.S. capital expenditures next fiscal year, we are currently expecting to have minimal U.S. cash income taxes payments during fiscal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comparison of our results of operations for the fiscal years ended April 28, 2019 and April 29, 2018, see “Part II, Item 7. Management’s Discussion and Analysis of Financial Condition and Results of Operations” of our annual report on Form 10-K for the fiscal year ended April 28, 2019, filed with the SEC on July 12, 2019. The elimination of our home accessories segment and reclassification of this segment as a discontinued operation for all prior periods of comparison does not have any material impact on the comparison of our results of operations for the fiscal years ended April 20, 2019, and April 29, 2018, because reporting for our home accessories segment did not commence until we acquired a majority ownership interest in eLuxury on June 22, 2018, the first quarter of our 2019 fiscal year, such that there was no prior period of comparison with respect to the 2018 fiscal year. Additionally, this reclassification did not have any material impact on our continuing operations and the trends described in “Part II, Item 7. Management’s Discussion and Analysis of Financial Condition and Results of Operations” of such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sources of liquidity include cash and cash equivalents, cash flow from operations, and amounts available under our revolving credit lines. These sources have been adequate for day-to-day operations, capital expenditures, debt payments, common stock repurchases, and dividend payments. We believe our cash and cash equivalents of $69.8 million at May 3, 2020 and cash flow from operations will be sufficient to fund our business needs and our contractual obligations (see commitments table below).</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increase in cash and cash equivalents from the end of fiscal 2019 is attributable to $38.4 million in total proceeds received during the fourth quarter of fiscal 2020 from borrowings under our lines of credit and receipt of a loan under the U.S. Small Business Administration (“SBA”) Paycheck Protection Program of the Coronavirus Aid, Relief and Economic Security Act of 2020 (such loan, the “PPP loan”). As a result of the COVID-19 global pandemic and the uncertainty relating to its duration and overall effect on our business, we proactively borrowed $29.8 million, the maximum amount available, under our domestic line of credit, an also borrowed an additional $1.0 million from our line of credit associated with our China operations, as a precautionary measure to increase balance sheet flexibility during the COVID-19 crisis. In addition, we applied for and received $7.6 million in cash proceeds from the</w:t>
      </w:r>
    </w:p>
    <w:p>
      <w:pPr>
        <w:spacing w:after="0" w:line="4" w:lineRule="exact"/>
        <w:rPr>
          <w:sz w:val="20"/>
          <w:szCs w:val="20"/>
          <w:color w:val="auto"/>
        </w:rPr>
      </w:pPr>
    </w:p>
    <w:p>
      <w:pPr>
        <w:ind w:firstLine="8"/>
        <w:spacing w:after="0" w:line="290" w:lineRule="auto"/>
        <w:tabs>
          <w:tab w:leader="none" w:pos="3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Loan (which, as noted below, we subsequently repaid in full on May 13, 2020 following new guidance issued by the U.S. Treasury Department and SBA raising questions regarding the eligibility of publicly traded companies to receive loans under the Paycheck Protection Program).</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Excluding the cash proceeds from our lines of credit and the PPP Loan, our cash and cash equivalents, short-term investments (available for sale), and short-term and long-term investments (held-to-maturity) as of the end of fiscal 2020 would have decreased $6.3 million from the end of fiscal 2019. The decrease was mostly due to (i) cash payments of $6.8 million returned to shareholders in the form of regular quarterly dividend payments and common stock repurchases; (ii) $4.6 million of capital expenditures that were mostly associated with our mattress fabrics segment; and (iii) $1.5 million for additional purchase price payments on our recent acquisitions, partially offset by (iv) $5.0 million in net cash provided by operating activities; and (v) $1.5 million in proceeds from a long-term note receivable associated with a discontinued operation.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provided by operating activities of $5.0 million in fiscal 2020 decreased $8.9 million compared with $13.9 million in fiscal 2019. The decrease in our net cash provided by our operating activities is mostly due to lower earnings and slower cash collections on accounts receivable stemming from the COVID-19 global pandemic.</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net cash provided by operating activities in fiscal 2020 and fiscal 2019 reflects cash flows from operating activities for both our continuing operations and our discontinued operation. Our discontinued operation had net cash used in operating activities totaling $(2.3) million and $(1.5) million for fiscal 2020 and 2019, respectively. Our discontinued operation had net cash used in investing activities totaling $(134,000) and $(54,000) for fiscal 2020 and 2019, respectively. Our discontinued operation had net cash provided by financing activities, all of which were loan proceeds and capital contributions from Culp, Inc. and the owner of the noncontrolling interest of eLuxury totaling $2.4 million and $1.5 million during fiscal 2020 and 2019, respectively. We believe our liquidity will improve in the absence of our home accessories segment due to the significant losses that were incurred and the funding of working capital requirements through loans and capital contributions.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May 3, 2020, our outstanding borrowings totaled $38.4 million, which consisted of $29.8 million outstanding under our domestic bank credit facility, $1.0 million outstanding under our China credit facility, and the $7.6 million PPP Loan. During the first quarter of fiscal 2021, we repaid in full the PPP Loan and all of the borrowings that were outstanding under our lines of credit at May 3, 2020, and currently we have no outstanding borrowings under our line of credit agreements.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and cash equivalents and short-term investments may be adversely affected by factors beyond our control, such as weakening industry demand and delays in receipt of payments on accounts receivable.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Geographic Area</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hold cash and cash equivalents, short-term investments (available for sale), and short-term and long-term investments (held-to-maturity) in the U.S. and our foreign jurisdictions to support operational requirements, to mitigate our risk related to foreign exchange rate fluctuations, and for U.S. and foreign income tax planning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A summary of our cash and cash equivalents, short-term investments (available for sale), and short-term and long-term investments (held-to-maturity) by geographic area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May 3,</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i w:val="1"/>
                <w:iCs w:val="1"/>
                <w:color w:val="auto"/>
              </w:rPr>
              <w:t>April 28,</w:t>
            </w:r>
          </w:p>
        </w:tc>
      </w:tr>
      <w:tr>
        <w:trPr>
          <w:trHeight w:val="230"/>
        </w:trPr>
        <w:tc>
          <w:tcPr>
            <w:tcW w:w="75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i w:val="1"/>
                <w:iCs w:val="1"/>
                <w:color w:val="auto"/>
              </w:rPr>
              <w:t>2020</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65,327</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33,078</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10,531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9,670</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2,196</w:t>
            </w: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Cayman Islands</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r>
      <w:tr>
        <w:trPr>
          <w:trHeight w:val="223"/>
        </w:trPr>
        <w:tc>
          <w:tcPr>
            <w:tcW w:w="7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77,060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45,008</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the increase in our cash investments, specifically in the U.S., as of May 3, 2020, compared with April 28, 2019, is attributable to proceeds received during the fourth quarter of fiscal 2020 from borrowings taken under our domestic line of credit and receipt of the PPP Loan totaling $29.8 million and $7.6 million, respectively. These amounts were borrowed in response to the disruption from the COVID-19 global pandemic and the uncertainty relating to its duration and overall effect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Program</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2020, we announced that our board of directors approved a regular quarterly cash dividend payment of $0.105 per share. This payment will be made on or about July 17, 2020, to shareholders of record as of July 10,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dividend payments totaled $5.1 million, all of which represented our regular quarterly cash dividend payments ranging from $0.10 per share to $0.105 per share.</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2019, dividend payments totaled $4.7 million, all of which represented our regular quarterly cash dividend payments ranging from $0.09 to $0.10 per share.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2018, dividend payments totaled $6.8 million, of which $2.6 million represented a special cash dividend payment of $0.21 per share, and $4.2 million represented our regular quarterly cash dividend payments ranging from $0.08 to $0.09 per share.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Our board of directors has sole authority to determine if and when we will declare future dividends and on what terms. </w:t>
      </w:r>
      <w:r>
        <w:rPr>
          <w:rFonts w:ascii="Arial" w:cs="Arial" w:eastAsia="Arial" w:hAnsi="Arial"/>
          <w:sz w:val="18"/>
          <w:szCs w:val="18"/>
          <w:color w:val="000000"/>
        </w:rPr>
        <w:t>Future dividend payments are</w:t>
      </w:r>
      <w:r>
        <w:rPr>
          <w:rFonts w:ascii="Arial" w:cs="Arial" w:eastAsia="Arial" w:hAnsi="Arial"/>
          <w:sz w:val="18"/>
          <w:szCs w:val="18"/>
          <w:color w:val="212529"/>
        </w:rPr>
        <w:t xml:space="preserve"> </w:t>
      </w:r>
      <w:r>
        <w:rPr>
          <w:rFonts w:ascii="Arial" w:cs="Arial" w:eastAsia="Arial" w:hAnsi="Arial"/>
          <w:sz w:val="18"/>
          <w:szCs w:val="18"/>
          <w:color w:val="000000"/>
        </w:rPr>
        <w:t>subject to final determination by our board of directors and will depend on our earnings, capital requirements, financial condition, excess availability under our lines of credit, market conditions, and other factors we consider relevant.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Under the common stock repurchase program, shares may be purchased from time to time in open market transactions, block trades, through plans established under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2020, we purchased 142,496 shares of our common stock at a cost of $1.7 million, leaving approximately $3.3 million available under the share repurchase program approved by the board of directors in September 2019. The board of directors subsequently approved an increase in the company’s share repurchase authorization back up to a total of $5.0 million in March 2020. However, as part of our comprehensive response to the COVID-19 pandemic, we announced on April 3, 2020, that our board of directors temporarily suspended the share repurchase program given the ongoing economic disruption and uncertainty.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purchased 160,823 shares of our common stock at a cost of $3.3 million. During fiscal 2018, there were no repurchases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May 3, 2020, we had $5.0 million available for additional repurchases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at May 3, 2020, were $25.1 million, an increase of $1.7 million, or 7%, compared with $23.4 million at April 29, 2019. This trend reflects slower cash collections on accounts receivable and a decrease in net sales that emerged during the fourth quarter of fiscal 2020 as a result of the COVID-19 global pandemic. We experienced slower cash collections during the fourth quarter of fiscal 2020 because we granted extended credit terms to certain customers in response to the challenging business conditions stemming from the pandemic. Days’ sales in accounts receivable were 47 days and 30 days during the fourth quarters of fiscal 2020 and 2019, respectively. Net sales for the fourth quarter of fiscal 2020 were $47.4 million, a decrease of $19.6 million, or 29%, compared with $67.0 million for the fourth quarter of fiscal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color w:val="auto"/>
        </w:rPr>
        <w:t>Inventories as of May 3, 2020, were $47.9 million, which is comparable with $47.6 million as of April 28, 2019. Our inventories were consistent despite the significant decrease in net sales during the fourth quarter of fiscal 2020 compared with the fourth quarter of fiscal 2019. This is due mostly to excess inventory purchases compared with actual demand trends, which were significantly lower than expected due to the COVID-19 pandemic.</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payable - trade as of May 3, 2020, were $23.0 million, which is comparable with $22.7 million as of April 28, 2019. This trend is consistent with our static inventory balances noted above. Inventory turns were 3.6 during the fourth quarter of fiscal 2020 compared with 4.6 during the fourth quarter of fiscal 2019.</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working capital (accounts receivable and inventories, less deferred revenue and accounts payable-trade and capital expenditures) was $49.4 million at May 3, 2020, compared with $47.7 million at April 28, 2019. Operating working capital turnover was 5.1 in fiscal 2020 compared with 5.7 in fiscal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the U.S. to take advantage of the TCJA, which allows a U.S. corporation a 100% dividend received income tax deduction on earnings and profits repatriated to the U.S. from 10% owned foreign corporations.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agreements require, among amount other things, that we maintain compliance with certain financial covenants. As of May 3, 2020, we were in compliance with these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of the consolidated financial statements for further details of our credit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payment obligations and commitments for each of the next five fiscal years and thereafter (in thousands) as of May 3,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2,199</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Accounts payable - capital expenditures</w:t>
            </w: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978</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Line of credit - China Operations (1)</w:t>
            </w: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1,015</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Line of credit - U.S. Operations (2)</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29,750</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29,750</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Paycheck Protection Plan Loan (3)</w:t>
            </w: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7,606</w:t>
            </w: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7,606</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12,767</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978</w:t>
            </w: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30,291</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44,721</w:t>
            </w:r>
          </w:p>
        </w:tc>
      </w:tr>
      <w:tr>
        <w:trPr>
          <w:trHeight w:val="20"/>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right="2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agreement expires on December 4, 2020. The borrowings outstanding under this credit agreement as of May 3, 2020, were repaid in full in June of 2020.</w:t>
      </w:r>
    </w:p>
    <w:p>
      <w:pPr>
        <w:spacing w:after="0" w:line="12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agreement expires on August 15, 2022. The borrowings outstanding under this credit agreement as of May 3, 2020, were repaid in full in June of 2020.</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loan was repaid in full on May 13, 2020.</w:t>
      </w:r>
    </w:p>
    <w:p>
      <w:pPr>
        <w:spacing w:after="0" w:line="184" w:lineRule="exact"/>
        <w:rPr>
          <w:rFonts w:ascii="Arial" w:cs="Arial" w:eastAsia="Arial" w:hAnsi="Arial"/>
          <w:sz w:val="18"/>
          <w:szCs w:val="18"/>
          <w:color w:val="auto"/>
        </w:rPr>
      </w:pPr>
    </w:p>
    <w:p>
      <w:pPr>
        <w:jc w:val="both"/>
        <w:ind w:left="500" w:hanging="492"/>
        <w:spacing w:after="0" w:line="30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May 3, 2020, we had unrecognized income tax benefits of $1.3 million that was classified as income taxes-payable long-term in the fiscal 2020 Consolidated Balance Sheet.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Capital Expenditures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on a cash basis were $4.6 million for fiscal 2020, compared with $4.7 million (of which $1.4 million was vendor financed) for fiscal 2019. Capital expenditures for fiscal 2020 and 2019 mostly related to our mattress fabrics segment.</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$7.8 million for fiscal 2020 compared with $8.1 million for fiscal 2019. Depreciation expense for fiscal 2020 and 2019 mostly related to our mattress fabrics segment.</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currently projecting capital expenditures on a consolidated basis to be approximately $5.0 million for fiscal 2021. Additionally, we are currently projecting depreciation expense on a consolidated basis to be approximately $7.0 million for fiscal 2021. The estimated capital expenditures and depreciation expense for fiscal 2021 primarily relate to our mattress fabrics segment. These are management’s current expectations only, and changes in our business and the unknown duration and financial impact of the COVID-19 global pandemic could cause changes in our capital expenditure plans and expectations for related depreciation expense. Funding for capital expenditures is expected to be primarily from cash provided by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 Capital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of the consolidated financial statements for further details of our accounts payable – capital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98" w:lineRule="exact"/>
        <w:rPr>
          <w:sz w:val="20"/>
          <w:szCs w:val="20"/>
          <w:color w:val="auto"/>
        </w:rPr>
      </w:pPr>
    </w:p>
    <w:p>
      <w:pPr>
        <w:ind w:right="1260"/>
        <w:spacing w:after="0" w:line="453" w:lineRule="auto"/>
        <w:rPr>
          <w:sz w:val="20"/>
          <w:szCs w:val="20"/>
          <w:color w:val="auto"/>
        </w:rPr>
      </w:pPr>
      <w:r>
        <w:rPr>
          <w:rFonts w:ascii="Arial" w:cs="Arial" w:eastAsia="Arial" w:hAnsi="Arial"/>
          <w:sz w:val="18"/>
          <w:szCs w:val="18"/>
          <w:color w:val="auto"/>
        </w:rPr>
        <w:t xml:space="preserve">Refer to Note 15 of the consolidated financial statements for further details of our lease and purchase commitments – capital expenditures. </w:t>
      </w:r>
      <w:r>
        <w:rPr>
          <w:rFonts w:ascii="Arial" w:cs="Arial" w:eastAsia="Arial" w:hAnsi="Arial"/>
          <w:sz w:val="18"/>
          <w:szCs w:val="18"/>
          <w:b w:val="1"/>
          <w:bCs w:val="1"/>
          <w:color w:val="auto"/>
        </w:rPr>
        <w:t>Handling Costs</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 warehousing costs in SG&amp;A expenses. These costs were $4.0 million, $4.2 million, and $4.6 million in fiscal 2020, fiscal 2019, and fiscal 2018, respectively. Warehousing costs include the operating expenses of our various finished goods distribution centers, such as personnel costs, utilities, building rent and material handling equipment, and lease expense. Had these costs been included in cost of sales, gross profit would have been $36.5 million, or 14.2% of net sales, in fiscal 2020, $41.6 million, or 14.8% of net sales, in fiscal 2019, and $60.0 million, or 18.5% of net sales, in fiscal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increases on to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generally accepted accounting principles require us to make estimates and assumptions that affect our reported amounts in the consolidated financial statements and accompanying notes. Some of these estimates require difficult, subjective and/or complex judgments about matters that are inherently uncertain, and as a result actual results could differ significantly from those estimates. Due to the estimation processes involved, management considers the following summarized accounting policies and their application to be critical to understanding the company’s business operations,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w:t>
      </w:r>
      <w:r>
        <w:rPr>
          <w:rFonts w:ascii="Arial" w:cs="Arial" w:eastAsia="Arial" w:hAnsi="Arial"/>
          <w:sz w:val="18"/>
          <w:szCs w:val="18"/>
          <w:i w:val="1"/>
          <w:iCs w:val="1"/>
          <w:color w:val="auto"/>
        </w:rPr>
        <w:t xml:space="preserve"> Allowance for Doubtful Accounts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 2020, accounts receivable totaled $25.1 million, of which $12.2 million and $12.9 million pertained to our mattress fabrics segment and upholstery fabrics segment, respectively. Additionally, as of May 3, 2020, the aggregate accounts receivable balance of our ten largest customers was $11.8 million, or 47% of trade accounts receivable. No customers within any of our business segments accounted for more than 10% of our consolidated accounts receivable balance as of May 3, 2020.</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continuously perform credit evaluations of our customers, considering numerous factors including customers’ financial position, past payment history, cash flows, and management ability; historical loss experience; and economic conditions and prospects. Once evaluated, each customer is assigned a credit grade, which may be adjusted as warranted. Significant management judgment and estimates must be used in connection with establishing the reserve for allowance for doubtful accounts. While management believes that adequate allowances for doubtful accounts have been provided in the consolidated financial statements, it is possible that we could experience additional unexpected credit losses.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reserve balance for doubtful accounts was $472,000 and $393,000 at May 3, 2020, and April 28, 2019,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Inventory Valuation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a “make-to-order” and “make-to-stock” business. Although management closely monitors demand in each product to decide which patterns and styles to hold in inventory, the increasing availability of low-cost imports and shifts in consumer preferences expose the company to markdowns of inventory.</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continually examines inventory to determine if there are indicators that the carrying value exceeds its net realizable value. Experience has shown that the most significant indicator of the need for inventory markdowns is the age of the inventory and the planned discontinuance of certain fabric patterns. As a result, the company provides inventory valuation markdowns based upon set percentages for inventory aging categories, generally using six, nine, twelve, and fifteen-month categories. We also provide inventory valuation write-downs based on the planned discontinuance of certain products based on current market values at that time as compared to their current carrying values. While management believes that adequate markdowns for excess and obsolete inventory have been made in the consolidated financial statements, significant unanticipated changes in demand or changes in consumer tastes and preferences could result in additional excess and obsolete inventory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our business was classified into four reporting units during fiscal 2020: mattress fabrics, upholstery fabrics, Read Window Products, LLC, and home accessories. Effective March 31, 2020, we sold our entire ownership interest in eLuxury to the holder of its noncontrolling interest, and our home accessories reporting unit was eliminated at such time. As a result of this sale, we met the criteria outlined in ASC Topic 205-20 for our goodwill to be classified as held for sale and the results of operations and assets and liabilities for our home accessories segment were excluded from our continuing operations and presented as a discontinued operation in our consolidated financial statements (see Note 3 to the consolidated financial statements for further details).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ASC Topic 350 requires us to assess goodwill for impairment annually or 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overall decline in financial performance, such as negative and declining cash flows or a decline in actual or planned revenue or earnings compared with actual and projected results or relevant prior periods, and (5) a decrease in the price per share of our common stock. We first assess qualitative factors to determine whether it is more-likely-than-not that the fair value of a reporting unit is less than its carrying amount, including goodwill. If we conclude that it is more-likely-than-not that the fair value of a reporting unit is less than its carrying amount, we conduct a quantitative goodwill impairment test. The impairment test involves comparing the fair value of the applicable reporting unit with its carrying value. We estimate the fair values of our reporting units using a combination of the income, discounted cash flows, and the market approach, which utilizes comparable companies’ data. If the carrying amount of a reporting unit exceeds the reporting unit’s fair value, an impairment loss is recognized in an amount equal to the excess, limited to the total amount of goodwill allocated to that reporting unit.</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8 and 9 to the consolidated financial statements for further details of our assessments of impairment, conclusions reached, and the performance of our quantitative tests.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Overall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income taxes are recognized for temporary differences between the financial statement carrying amounts and the tax basis of our assets, liabilities, and our U.S. loss carryforwards and foreign income tax credits at income tax rates expected to be in effect when such amounts are realized or settled. The effect on deferred income taxes of a change in income tax rates is recognized in income tax expense (benefit) in the period that includes the enactment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Valuation Allowance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our deferred income taxes to determine if a valuation allowance is required. ASC Topic 740 requires that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taking into account the effects of local tax law.</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14 of the consolidated financial statements for disclosures regarding our assessments of our recorded valuation allowance as of May 3, 2020 and April 28,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Deferred Income Taxes – Undistributed Earnings from Foreign Subsidiaries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ASC Topic 740 requires that a deferred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fiscal 2019 and beyond, the TCJA allows a U.S. corporation a 100% dividend received deduction for accumulated earnings and profits from a 10% owned foreign corporation. Therefore, a deferred tax liability will only be required for withholding taxes that are incurred by foreign subsidiaries at the time their accumulated earnings and profits are distributed.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14 of the consolidated financial statements for disclosures regarding our assessments of our recorded deferred income tax liability balances associated with our undistributed earnings from our foreign subsidiaries as of May 3, 2020 and April 28,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Uncertainty In Income Taxes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ASC Topic 740, we must recognize the income tax effect from an uncertain income tax position only if it is more likely than not that the income tax position will be sustained on examination by the taxing authorities, based on the technical merits of the position.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14 of the consolidated financial statements for disclosures and additional information regarding our uncertain income tax positions.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ASC Topic 718, “Compensation-Stock Compensation,” requires that all stock-based compensation be recognized as compensation expense in the financial statements and that such cost be measured at the grant date for awards issued to employees and our board of directors. Equity awards issued to non-employees are measured at the earlier date of when the performance criteria are met or at the end of each reporting period.</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expense for our time-based restricted stock awards are amortized on a straight-line basis over the remaining vesting periods. Our common stock awards issued to our board of directors vest immediately, and therefore, compensation cost was measured at the closing price of our common stock on the date of grant and recognized in full at that time. Compensation expense for performance- based restricted stock units is recorded based on an assessment each reporting period of the probability that certain performance goals will be met during the contingent vesting period. For performance goals that are not probable of occurrence, no compensation expense will be recognized. For performance goals that were previously deemed probable and subsequently were not or are not expected to be met, previously recognized compensation cost will be reversed.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$614,000, $130,000 million, and $2.2 million of compensation expense within selling, general, and administrative expense for our equity-based awards in fiscal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plans are described more fully in Note 16 of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adopted accounting pronouncements for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issued accounting pronouncements for fiscal 2021 and beyond.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ITEM 7A. QUANTITATIVE AND QUALITATIVE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from changes in interest rates on our revolving credit lines.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revolving credit agreement requires interest to be charged at a rate (applicable interest rate of 1.75% at May 3, 2020) as a variable spread over LIBOR based on Culp's ratio of debt to EBITDA as defined in the U.S. revolving credit agreement. As of May 3, 2020, there were outstanding borrowings of $29.8 million pursuant to our U.S. revolving credit agreement. Our revolving credit line associated with our China subsidiaries bears interest at a rate (applicable interest rate of 2.41% at May 3, 2020) determined by the Chinese government. As of May 3, 2020, there were outstanding borrowings of $1.0 million pursuant to our credit agreement associated with our operations located in China.</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fiscal 2021, we repaid in full all borrowings that were outstanding at May 3, 2020, under both our U.S. revolving credit agreement and our credit agreement associated with our operations located in China, such that we currently have no outstanding borrowings under either agreement.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although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at May 3, 2020, would not have had a significant impact on our results of operations or financial position.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ITEM 8.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SUPPLEMENTARY DATA</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Culp, Inc. (a North Carolina corporation) and subsidiaries (the “Company”) as of May 3, 2020 and April 28, 2019, the related consolidated statements of net (loss) income, comprehensive (loss) income, changes in shareholders’ equity, and cash flows for each of the three years in the period ended May 3, 2020, and the related notes (collectively referred to as the “financial statements”). In our opinion, the financial statements present fairly, in all material respects, the financial position of the Company as of May 3, 2020 and April 28, 2019, and the results of its operations and its cash flows for each of the three years in the period ended May 3, 2020, in conformity with accounting principles generally accepted in the United States of America.</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May 3, 2020,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July 17, 2020 expressed an unqualified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 obligations in fiscal 2020 due to the adoption of Accounting Standards Codification subtopic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 and preferred and common stock shares)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gridSpan w:val="2"/>
          </w:tcPr>
          <w:p>
            <w:pPr>
              <w:spacing w:after="0"/>
              <w:rPr>
                <w:sz w:val="20"/>
                <w:szCs w:val="20"/>
                <w:color w:val="auto"/>
              </w:rPr>
            </w:pPr>
            <w:r>
              <w:rPr>
                <w:rFonts w:ascii="Arial" w:cs="Arial" w:eastAsia="Arial" w:hAnsi="Arial"/>
                <w:sz w:val="16"/>
                <w:szCs w:val="16"/>
                <w:i w:val="1"/>
                <w:iCs w:val="1"/>
                <w:color w:val="auto"/>
              </w:rPr>
              <w:t>May 3, 2020 and April 28, 2019</w:t>
            </w:r>
          </w:p>
        </w:tc>
        <w:tc>
          <w:tcPr>
            <w:tcW w:w="360" w:type="dxa"/>
            <w:vAlign w:val="bottom"/>
          </w:tcPr>
          <w:p>
            <w:pPr>
              <w:spacing w:after="0"/>
              <w:rPr>
                <w:sz w:val="18"/>
                <w:szCs w:val="18"/>
                <w:color w:val="auto"/>
              </w:rPr>
            </w:pPr>
          </w:p>
        </w:tc>
        <w:tc>
          <w:tcPr>
            <w:tcW w:w="1320" w:type="dxa"/>
            <w:vAlign w:val="bottom"/>
          </w:tcPr>
          <w:p>
            <w:pPr>
              <w:jc w:val="right"/>
              <w:ind w:right="66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663"/>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72"/>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69,790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40,008</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short-term investments - available for sale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923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short-term investments - held to maturity</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4,271</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5,001</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accounts receivable, net</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25,093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23,373</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47,907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47,564</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current income taxes receivable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1,585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current assets held for sale - discontinued operation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3,707</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5"/>
                <w:szCs w:val="15"/>
                <w:color w:val="auto"/>
              </w:rPr>
              <w:t>other current assets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2,116</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2,816</w:t>
            </w:r>
          </w:p>
        </w:tc>
        <w:tc>
          <w:tcPr>
            <w:tcW w:w="0" w:type="dxa"/>
            <w:vAlign w:val="bottom"/>
          </w:tcPr>
          <w:p>
            <w:pPr>
              <w:spacing w:after="0"/>
              <w:rPr>
                <w:sz w:val="1"/>
                <w:szCs w:val="1"/>
                <w:color w:val="auto"/>
              </w:rPr>
            </w:pPr>
          </w:p>
        </w:tc>
      </w:tr>
      <w:tr>
        <w:trPr>
          <w:trHeight w:val="169"/>
        </w:trPr>
        <w:tc>
          <w:tcPr>
            <w:tcW w:w="7720" w:type="dxa"/>
            <w:vAlign w:val="bottom"/>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current assets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151,685</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123,245</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43,147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46,479</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goodwill</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13,569</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intangible assets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3,380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3,899</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long-term investments - rabbi trust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7,834</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7,081</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long-term investments - held-to-maturity</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2,076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right of use asset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3,903</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noncurrent income taxes receivable</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733</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investment in unconsolidated joint venture</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1,602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1,508</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long-term note receivable affiliated with discontinued operation</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830</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793</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457</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noncurrent assets held for sale - discontinued operation</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22,112</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other assets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664</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rPr>
              <w:t>643</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gridSpan w:val="2"/>
          </w:tcPr>
          <w:p>
            <w:pPr>
              <w:ind w:left="740"/>
              <w:spacing w:after="0" w:line="169" w:lineRule="exact"/>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b w:val="1"/>
                <w:bCs w:val="1"/>
                <w:color w:val="auto"/>
              </w:rPr>
              <w:t>215,084</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rPr>
              <w:t>220,556</w:t>
            </w: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LIABILITIES AND SHAREHOLDERS' EQUITY</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current liabilities: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line of credit - China operations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1,015</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Paycheck Protection Program loan</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7,606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accounts payable - trade</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23,002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22,734</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accounts payable - capital expenditures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107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operating lease liability - current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1,805</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deferred revenue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502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accrued expenses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5,687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8,632</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accrued restructuring costs</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current liabilities held for sale - discontinued operation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2,213</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5"/>
                <w:szCs w:val="15"/>
                <w:color w:val="auto"/>
              </w:rPr>
              <w:t>income taxes payable - current</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395</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1,022</w:t>
            </w:r>
          </w:p>
        </w:tc>
        <w:tc>
          <w:tcPr>
            <w:tcW w:w="0" w:type="dxa"/>
            <w:vAlign w:val="bottom"/>
          </w:tcPr>
          <w:p>
            <w:pPr>
              <w:spacing w:after="0"/>
              <w:rPr>
                <w:sz w:val="1"/>
                <w:szCs w:val="1"/>
                <w:color w:val="auto"/>
              </w:rPr>
            </w:pPr>
          </w:p>
        </w:tc>
      </w:tr>
      <w:tr>
        <w:trPr>
          <w:trHeight w:val="169"/>
        </w:trPr>
        <w:tc>
          <w:tcPr>
            <w:tcW w:w="7720" w:type="dxa"/>
            <w:vAlign w:val="bottom"/>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current liabilities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40,119</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35,192</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line of credit - U.S. operations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29,750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accrued expense - long-term</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167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operating lease liability - long-term</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2,016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contingent consideration affiliated with discontinued operation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5,856</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income taxes payable - long-term</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3,796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3,249</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1,818</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3,176</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deferred compensation</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7,720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6,998</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noncurrent liabilities held for sale - discontinued operation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1,505</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total liabilities</w:t>
            </w:r>
          </w:p>
        </w:tc>
        <w:tc>
          <w:tcPr>
            <w:tcW w:w="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63"/>
              <w:spacing w:after="0" w:line="169" w:lineRule="exact"/>
              <w:rPr>
                <w:sz w:val="20"/>
                <w:szCs w:val="20"/>
                <w:color w:val="auto"/>
              </w:rPr>
            </w:pPr>
            <w:r>
              <w:rPr>
                <w:rFonts w:ascii="Arial" w:cs="Arial" w:eastAsia="Arial" w:hAnsi="Arial"/>
                <w:sz w:val="15"/>
                <w:szCs w:val="15"/>
                <w:b w:val="1"/>
                <w:bCs w:val="1"/>
                <w:color w:val="auto"/>
              </w:rPr>
              <w:t>85,386</w:t>
            </w:r>
          </w:p>
        </w:tc>
        <w:tc>
          <w:tcPr>
            <w:tcW w:w="1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rPr>
              <w:t>56,309</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commitments and contingencies (notes 13 and 15)</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shareholders' equity:</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preferred stock, $.05 par value, authorized 10,000,000 shares</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line="162" w:lineRule="exact"/>
              <w:rPr>
                <w:sz w:val="20"/>
                <w:szCs w:val="20"/>
                <w:color w:val="auto"/>
              </w:rPr>
            </w:pPr>
            <w:r>
              <w:rPr>
                <w:rFonts w:ascii="Arial" w:cs="Arial" w:eastAsia="Arial" w:hAnsi="Arial"/>
                <w:sz w:val="15"/>
                <w:szCs w:val="15"/>
                <w:color w:val="auto"/>
              </w:rPr>
              <w:t>common stock, $.05 par value, authorized 40,000,000</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620"/>
              <w:spacing w:after="0" w:line="162" w:lineRule="exact"/>
              <w:rPr>
                <w:sz w:val="20"/>
                <w:szCs w:val="20"/>
                <w:color w:val="auto"/>
              </w:rPr>
            </w:pPr>
            <w:r>
              <w:rPr>
                <w:rFonts w:ascii="Arial" w:cs="Arial" w:eastAsia="Arial" w:hAnsi="Arial"/>
                <w:sz w:val="15"/>
                <w:szCs w:val="15"/>
                <w:color w:val="auto"/>
              </w:rPr>
              <w:t>shares, issued and outstanding 12,284,946 at May 3, 2020</w:t>
            </w:r>
          </w:p>
        </w:tc>
        <w:tc>
          <w:tcPr>
            <w:tcW w:w="360" w:type="dxa"/>
            <w:vAlign w:val="bottom"/>
          </w:tcPr>
          <w:p>
            <w:pPr>
              <w:spacing w:after="0"/>
              <w:rPr>
                <w:sz w:val="14"/>
                <w:szCs w:val="14"/>
                <w:color w:val="auto"/>
              </w:rPr>
            </w:pPr>
          </w:p>
        </w:tc>
        <w:tc>
          <w:tcPr>
            <w:tcW w:w="13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615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gridSpan w:val="2"/>
          </w:tcPr>
          <w:p>
            <w:pPr>
              <w:ind w:left="620"/>
              <w:spacing w:after="0"/>
              <w:rPr>
                <w:sz w:val="20"/>
                <w:szCs w:val="20"/>
                <w:color w:val="auto"/>
              </w:rPr>
            </w:pPr>
            <w:r>
              <w:rPr>
                <w:rFonts w:ascii="Arial" w:cs="Arial" w:eastAsia="Arial" w:hAnsi="Arial"/>
                <w:sz w:val="15"/>
                <w:szCs w:val="15"/>
                <w:color w:val="auto"/>
              </w:rPr>
              <w:t>and 12,391,160 at April 28, 2019</w:t>
            </w: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capital contributed in excess of par value</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42,582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43,694</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accumulated earnings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86,511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115,579</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accumulated other comprehensive (loss) income</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(10)</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total shareholders' equity attributable to Culp Inc.</w:t>
            </w:r>
          </w:p>
        </w:tc>
        <w:tc>
          <w:tcPr>
            <w:tcW w:w="360" w:type="dxa"/>
            <w:vAlign w:val="bottom"/>
          </w:tcPr>
          <w:p>
            <w:pPr>
              <w:spacing w:after="0"/>
              <w:rPr>
                <w:sz w:val="14"/>
                <w:szCs w:val="14"/>
                <w:color w:val="auto"/>
              </w:rPr>
            </w:pPr>
          </w:p>
        </w:tc>
        <w:tc>
          <w:tcPr>
            <w:tcW w:w="1320" w:type="dxa"/>
            <w:vAlign w:val="bottom"/>
          </w:tcPr>
          <w:p>
            <w:pPr>
              <w:jc w:val="right"/>
              <w:ind w:right="63"/>
              <w:spacing w:after="0" w:line="169" w:lineRule="exact"/>
              <w:rPr>
                <w:sz w:val="20"/>
                <w:szCs w:val="20"/>
                <w:color w:val="auto"/>
              </w:rPr>
            </w:pPr>
            <w:r>
              <w:rPr>
                <w:rFonts w:ascii="Arial" w:cs="Arial" w:eastAsia="Arial" w:hAnsi="Arial"/>
                <w:sz w:val="15"/>
                <w:szCs w:val="15"/>
                <w:b w:val="1"/>
                <w:bCs w:val="1"/>
                <w:color w:val="auto"/>
              </w:rPr>
              <w:t>129,698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9" w:lineRule="exact"/>
              <w:rPr>
                <w:sz w:val="20"/>
                <w:szCs w:val="20"/>
                <w:color w:val="auto"/>
              </w:rPr>
            </w:pPr>
            <w:r>
              <w:rPr>
                <w:rFonts w:ascii="Arial" w:cs="Arial" w:eastAsia="Arial" w:hAnsi="Arial"/>
                <w:sz w:val="15"/>
                <w:szCs w:val="15"/>
                <w:color w:val="auto"/>
              </w:rPr>
              <w:t>159,933</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740"/>
              <w:spacing w:after="0"/>
              <w:rPr>
                <w:sz w:val="20"/>
                <w:szCs w:val="20"/>
                <w:color w:val="auto"/>
              </w:rPr>
            </w:pPr>
            <w:r>
              <w:rPr>
                <w:rFonts w:ascii="Arial" w:cs="Arial" w:eastAsia="Arial" w:hAnsi="Arial"/>
                <w:sz w:val="15"/>
                <w:szCs w:val="15"/>
                <w:color w:val="auto"/>
              </w:rPr>
              <w:t>non-controlling interest - discontinued operation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4,314</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gridSpan w:val="2"/>
          </w:tcPr>
          <w:p>
            <w:pPr>
              <w:ind w:left="740"/>
              <w:spacing w:after="0" w:line="169" w:lineRule="exact"/>
              <w:rPr>
                <w:sz w:val="20"/>
                <w:szCs w:val="20"/>
                <w:color w:val="auto"/>
              </w:rPr>
            </w:pPr>
            <w:r>
              <w:rPr>
                <w:rFonts w:ascii="Arial" w:cs="Arial" w:eastAsia="Arial" w:hAnsi="Arial"/>
                <w:sz w:val="15"/>
                <w:szCs w:val="15"/>
                <w:color w:val="auto"/>
              </w:rPr>
              <w:t>total equity</w:t>
            </w: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
              <w:spacing w:after="0" w:line="169" w:lineRule="exact"/>
              <w:rPr>
                <w:sz w:val="20"/>
                <w:szCs w:val="20"/>
                <w:color w:val="auto"/>
              </w:rPr>
            </w:pPr>
            <w:r>
              <w:rPr>
                <w:rFonts w:ascii="Arial" w:cs="Arial" w:eastAsia="Arial" w:hAnsi="Arial"/>
                <w:sz w:val="15"/>
                <w:szCs w:val="15"/>
                <w:b w:val="1"/>
                <w:bCs w:val="1"/>
                <w:color w:val="auto"/>
              </w:rPr>
              <w:t>129,698</w:t>
            </w:r>
          </w:p>
        </w:tc>
        <w:tc>
          <w:tcPr>
            <w:tcW w:w="16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rPr>
              <w:t>164,247</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liabilities and equity</w:t>
            </w: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215,084</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220,556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CONSOLIDATED STATEMENTS OF NET (LOSS) INCOME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20" w:type="dxa"/>
            <w:vAlign w:val="bottom"/>
          </w:tcPr>
          <w:p>
            <w:pPr>
              <w:spacing w:after="0"/>
              <w:rPr>
                <w:sz w:val="20"/>
                <w:szCs w:val="20"/>
                <w:color w:val="auto"/>
              </w:rPr>
            </w:pPr>
            <w:r>
              <w:rPr>
                <w:rFonts w:ascii="Arial" w:cs="Arial" w:eastAsia="Arial" w:hAnsi="Arial"/>
                <w:sz w:val="18"/>
                <w:szCs w:val="18"/>
                <w:i w:val="1"/>
                <w:iCs w:val="1"/>
                <w:color w:val="auto"/>
              </w:rPr>
              <w:t>For the years ended May 3, 2020, April 28, 2019, and April 29, 2018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except per share data)</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256,166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281,325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323,725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(215,668)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(259,092)</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40,498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45,769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64,633</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(34,424)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 credit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13,351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before income taxes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(7,679)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26,883</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from investment in unconsolidated joint venture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(17,509)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(28,667)</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5,458</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 per share-basic</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(0.90)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income from continuing operations per share-diluted</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per share-basic</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 per share-diluted</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per share-basic</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(2.32)</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net (loss) income per share-diluted</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516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b w:val="1"/>
          <w:bCs w:val="1"/>
          <w:i w:val="1"/>
          <w:iCs w:val="1"/>
          <w:color w:val="auto"/>
        </w:rPr>
        <w:t>For the years ended May 3, 2020, April 28, 2019, and April 29,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Borders>
              <w:bottom w:val="single" w:sz="8" w:color="CFF0FC"/>
            </w:tcBorders>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(28,667)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foreign currency cash flow hedge, net of tax</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holding loss on foreign currency cash flow hedge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reclassification adjustment for realized loss on foreign currency cash</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flow hedge</w:t>
            </w:r>
          </w:p>
        </w:tc>
        <w:tc>
          <w:tcPr>
            <w:tcW w:w="5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unrealized gain (loss) on foreign currency cash flow hedge</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gain on investments, net of tax</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holding losses on investments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reclassification adjustment for realized loss included in net income</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unrealized (loss) gain on investments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(loss) income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(28,717)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20,796</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Plus: comprehensive loss attributable to non-controlling interest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associated with discontinued operation</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w w:val="99"/>
              </w:rPr>
              <w:t>comprehensive (loss) income attributable to Culp Inc. common shareholders</w:t>
            </w:r>
          </w:p>
        </w:tc>
        <w:tc>
          <w:tcPr>
            <w:tcW w:w="5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(24,043)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20,796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i w:val="1"/>
                <w:iCs w:val="1"/>
                <w:color w:val="auto"/>
              </w:rPr>
              <w:t>Shareholders' equity attributable to Culp Inc.</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thousands, except common stock 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Contributed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268"/>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For the years ended May 3, 2020, April 28, 2019</w:t>
            </w:r>
          </w:p>
        </w:tc>
        <w:tc>
          <w:tcPr>
            <w:tcW w:w="192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in Excess</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Discontinued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and April 29, 2018</w:t>
            </w:r>
          </w:p>
        </w:tc>
        <w:tc>
          <w:tcPr>
            <w:tcW w:w="98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of Par Value</w:t>
            </w: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Operation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4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30, 2017</w:t>
            </w:r>
          </w:p>
        </w:tc>
        <w:tc>
          <w:tcPr>
            <w:tcW w:w="1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12,356,631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618</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47,415</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100,601</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148,630</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148,630</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20,877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20,877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20,877</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2,212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2,212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unrealized loss on foreign currency cash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flow hedge instrument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unrealized loss on investments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118,845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fully vested common stock award</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4,800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vesting of time-based restricted stock</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units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15,600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surrendered for the cost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stock option exercises and withholding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taxes payable</w:t>
            </w:r>
          </w:p>
        </w:tc>
        <w:tc>
          <w:tcPr>
            <w:tcW w:w="880" w:type="dxa"/>
            <w:vAlign w:val="bottom"/>
          </w:tcPr>
          <w:p>
            <w:pPr>
              <w:jc w:val="right"/>
              <w:spacing w:after="0"/>
              <w:rPr>
                <w:sz w:val="20"/>
                <w:szCs w:val="20"/>
                <w:color w:val="auto"/>
              </w:rPr>
            </w:pPr>
            <w:r>
              <w:rPr>
                <w:rFonts w:ascii="Arial" w:cs="Arial" w:eastAsia="Arial" w:hAnsi="Arial"/>
                <w:sz w:val="14"/>
                <w:szCs w:val="14"/>
                <w:color w:val="auto"/>
              </w:rPr>
              <w:t>(46,800)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(6,843)</w:t>
            </w: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Balance, April 29, 2018</w:t>
            </w:r>
          </w:p>
        </w:tc>
        <w:tc>
          <w:tcPr>
            <w:tcW w:w="88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12,450,276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623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48,203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114,635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163,376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163,376</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5,676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5,676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5,458</w:t>
            </w:r>
          </w:p>
        </w:tc>
        <w:tc>
          <w:tcPr>
            <w:tcW w:w="0" w:type="dxa"/>
            <w:vAlign w:val="bottom"/>
          </w:tcPr>
          <w:p>
            <w:pPr>
              <w:spacing w:after="0"/>
              <w:rPr>
                <w:sz w:val="1"/>
                <w:szCs w:val="1"/>
                <w:color w:val="auto"/>
              </w:rPr>
            </w:pPr>
          </w:p>
        </w:tc>
      </w:tr>
      <w:tr>
        <w:trPr>
          <w:trHeight w:val="143"/>
        </w:trPr>
        <w:tc>
          <w:tcPr>
            <w:tcW w:w="3560" w:type="dxa"/>
            <w:vAlign w:val="bottom"/>
            <w:gridSpan w:val="2"/>
          </w:tcPr>
          <w:p>
            <w:pPr>
              <w:ind w:left="320"/>
              <w:spacing w:after="0" w:line="143" w:lineRule="exact"/>
              <w:rPr>
                <w:sz w:val="20"/>
                <w:szCs w:val="20"/>
                <w:color w:val="auto"/>
              </w:rPr>
            </w:pPr>
            <w:r>
              <w:rPr>
                <w:rFonts w:ascii="Arial" w:cs="Arial" w:eastAsia="Arial" w:hAnsi="Arial"/>
                <w:sz w:val="14"/>
                <w:szCs w:val="14"/>
                <w:color w:val="auto"/>
              </w:rPr>
              <w:t>acquisition of subsidiary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non-controlling interest -</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400"/>
              <w:spacing w:after="0"/>
              <w:rPr>
                <w:sz w:val="20"/>
                <w:szCs w:val="20"/>
                <w:color w:val="auto"/>
              </w:rPr>
            </w:pPr>
            <w:r>
              <w:rPr>
                <w:rFonts w:ascii="Arial" w:cs="Arial" w:eastAsia="Arial" w:hAnsi="Arial"/>
                <w:sz w:val="14"/>
                <w:szCs w:val="14"/>
                <w:color w:val="auto"/>
              </w:rPr>
              <w:t>discontinued operation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4,532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4,532</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unrealized gain on foreign currency cash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flow hedge instrument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unrealized gain on investments</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136,996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fully vested common stock award</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6,548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vesting of time-based restricted stock</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units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surrendered for withholding</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taxes payable</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(43,037)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common stock repurchased</w:t>
            </w:r>
          </w:p>
        </w:tc>
        <w:tc>
          <w:tcPr>
            <w:tcW w:w="880" w:type="dxa"/>
            <w:vAlign w:val="bottom"/>
          </w:tcPr>
          <w:p>
            <w:pPr>
              <w:jc w:val="right"/>
              <w:spacing w:after="0"/>
              <w:rPr>
                <w:sz w:val="20"/>
                <w:szCs w:val="20"/>
                <w:color w:val="auto"/>
              </w:rPr>
            </w:pPr>
            <w:r>
              <w:rPr>
                <w:rFonts w:ascii="Arial" w:cs="Arial" w:eastAsia="Arial" w:hAnsi="Arial"/>
                <w:sz w:val="14"/>
                <w:szCs w:val="14"/>
                <w:color w:val="auto"/>
              </w:rPr>
              <w:t>(160,823)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155"/>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Balance, April 28, 2019</w:t>
            </w:r>
          </w:p>
        </w:tc>
        <w:tc>
          <w:tcPr>
            <w:tcW w:w="88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12,391,160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620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43,694</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115,579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159,933</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4,314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164,247</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(23,993)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(23,993)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(4,674)</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(28,667)</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capital contribution from non-controlling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interest - discontinued operation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unrealized loss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15,638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fully vested common stock award</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23,664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surrendered for withholding</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taxes payable</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common stock repurchased</w:t>
            </w:r>
          </w:p>
        </w:tc>
        <w:tc>
          <w:tcPr>
            <w:tcW w:w="880" w:type="dxa"/>
            <w:vAlign w:val="bottom"/>
          </w:tcPr>
          <w:p>
            <w:pPr>
              <w:jc w:val="right"/>
              <w:spacing w:after="0"/>
              <w:rPr>
                <w:sz w:val="20"/>
                <w:szCs w:val="20"/>
                <w:color w:val="auto"/>
              </w:rPr>
            </w:pPr>
            <w:r>
              <w:rPr>
                <w:rFonts w:ascii="Arial" w:cs="Arial" w:eastAsia="Arial" w:hAnsi="Arial"/>
                <w:sz w:val="14"/>
                <w:szCs w:val="14"/>
                <w:color w:val="auto"/>
              </w:rPr>
              <w:t>(142,496)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55"/>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Balance, May 3, 2020</w:t>
            </w:r>
          </w:p>
        </w:tc>
        <w:tc>
          <w:tcPr>
            <w:tcW w:w="8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12,284,946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615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42,582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86,511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129,698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129,698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May 3, 2020, April 28, 2019, and April 29,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(dollars in thousands)</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2018</w:t>
            </w:r>
          </w:p>
        </w:tc>
      </w:tr>
      <w:tr>
        <w:trPr>
          <w:trHeight w:val="158"/>
        </w:trPr>
        <w:tc>
          <w:tcPr>
            <w:tcW w:w="6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net (loss) income</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(28,667)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5,458</w:t>
            </w:r>
          </w:p>
        </w:tc>
        <w:tc>
          <w:tcPr>
            <w:tcW w:w="1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20,877</w:t>
            </w:r>
          </w:p>
        </w:tc>
      </w:tr>
      <w:tr>
        <w:trPr>
          <w:trHeight w:val="143"/>
        </w:trPr>
        <w:tc>
          <w:tcPr>
            <w:tcW w:w="65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(loss) income to net cash provided by</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7"/>
        </w:trPr>
        <w:tc>
          <w:tcPr>
            <w:tcW w:w="6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7,827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7,672</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647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780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351</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33,914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reversal of contingent consideration associated with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(6,081)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loss on disposal 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614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2,212</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(1,694)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2,027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(2,482)</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gain on sale of property, plant, and equipment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loss from investment in unconsolidated joint venture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266</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realized loss on sale of short-term investments (available for sale)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foreign currency exchange loss (gain)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w:t>
            </w:r>
          </w:p>
        </w:tc>
      </w:tr>
      <w:tr>
        <w:trPr>
          <w:trHeight w:val="143"/>
        </w:trPr>
        <w:tc>
          <w:tcPr>
            <w:tcW w:w="6520" w:type="dxa"/>
            <w:vAlign w:val="bottom"/>
            <w:shd w:val="clear" w:color="auto" w:fill="CFF0FC"/>
          </w:tcPr>
          <w:p>
            <w:pPr>
              <w:ind w:left="740"/>
              <w:spacing w:after="0" w:line="143" w:lineRule="exact"/>
              <w:rPr>
                <w:sz w:val="20"/>
                <w:szCs w:val="20"/>
                <w:color w:val="auto"/>
              </w:rPr>
            </w:pPr>
            <w:r>
              <w:rPr>
                <w:rFonts w:ascii="Arial" w:cs="Arial" w:eastAsia="Arial" w:hAnsi="Arial"/>
                <w:sz w:val="14"/>
                <w:szCs w:val="14"/>
                <w:color w:val="auto"/>
              </w:rPr>
              <w:t>changes in assets, liabilities and, net of effects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7"/>
        </w:trPr>
        <w:tc>
          <w:tcPr>
            <w:tcW w:w="6520" w:type="dxa"/>
            <w:vAlign w:val="bottom"/>
            <w:shd w:val="clear" w:color="auto" w:fill="CFF0FC"/>
          </w:tcPr>
          <w:p>
            <w:pPr>
              <w:ind w:left="860"/>
              <w:spacing w:after="0"/>
              <w:rPr>
                <w:sz w:val="20"/>
                <w:szCs w:val="20"/>
                <w:color w:val="auto"/>
              </w:rPr>
            </w:pPr>
            <w:r>
              <w:rPr>
                <w:rFonts w:ascii="Arial" w:cs="Arial" w:eastAsia="Arial" w:hAnsi="Arial"/>
                <w:sz w:val="14"/>
                <w:szCs w:val="14"/>
                <w:color w:val="auto"/>
              </w:rPr>
              <w:t>acquisition and disposal of business: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(1,994)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2,339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(837)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3,841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342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226</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accounts payable-trade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499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(4,028)</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(1,017)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accrued restructuring costs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Borders>
              <w:bottom w:val="single" w:sz="8" w:color="CFF0FC"/>
            </w:tcBorders>
          </w:tcPr>
          <w:p>
            <w:pPr>
              <w:ind w:left="1000"/>
              <w:spacing w:after="0"/>
              <w:rPr>
                <w:sz w:val="20"/>
                <w:szCs w:val="20"/>
                <w:color w:val="auto"/>
              </w:rPr>
            </w:pPr>
            <w:r>
              <w:rPr>
                <w:rFonts w:ascii="Arial" w:cs="Arial" w:eastAsia="Arial" w:hAnsi="Arial"/>
                <w:sz w:val="14"/>
                <w:szCs w:val="14"/>
                <w:color w:val="auto"/>
              </w:rPr>
              <w:t>income taxes</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4,373</w:t>
            </w:r>
          </w:p>
        </w:tc>
      </w:tr>
      <w:tr>
        <w:trPr>
          <w:trHeight w:val="156"/>
        </w:trPr>
        <w:tc>
          <w:tcPr>
            <w:tcW w:w="6520" w:type="dxa"/>
            <w:vAlign w:val="bottom"/>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4,970</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13,873</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27,473</w:t>
            </w: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cash paid for acquisition of assets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(12,096)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(4,541)</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(4,585)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(3,261)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(8,005)</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equipment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672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long-term note receivable associated with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1,523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2,458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short-term investments (held to maturity)</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6,100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25,680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(7,555)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and long-term investments (held-to-maturity)</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(7,465)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(788)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(1,902)</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life insurance policy</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life insurance policy</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(5,712)</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15,161</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(15,113)</w:t>
            </w:r>
          </w:p>
        </w:tc>
      </w:tr>
      <w:tr>
        <w:trPr>
          <w:trHeight w:val="156"/>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lines of credit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30,765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19,000</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(19,000)</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Paycheck Protection Program loan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vendor-financed capital expenditures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subordinated loan payable associated with the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5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noncontrolling interest of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250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cash paid for acquisition of business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(1,532)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(5,075)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(6,843)</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(1,680)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(3,323)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surrendered for withholding taxes payable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(1,530)</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capital contribution associated with the noncontrolling interest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5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of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360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payments for debt issuance costs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common stock issued</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111</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30,643</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(10,161)</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(12,012)</w:t>
            </w:r>
          </w:p>
        </w:tc>
      </w:tr>
      <w:tr>
        <w:trPr>
          <w:trHeight w:val="156"/>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(119)</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85</w:t>
            </w: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29,782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18,780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433</w:t>
            </w: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40,008</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21,228</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20,795</w:t>
            </w: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69,790</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40,008</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21,228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right="4680" w:firstLine="8"/>
        <w:spacing w:after="0" w:line="464" w:lineRule="auto"/>
        <w:tabs>
          <w:tab w:leader="none" w:pos="49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SUMMARY OF SIGNIFICANT ACCOUNTING POLICIES Description of Business</w:t>
      </w:r>
    </w:p>
    <w:p>
      <w:pPr>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continuing operations are classified into two business segments: mattress fabrics and upholstery fabrics. The mattress fabrics segment manufactures, sources, and sells fabrics and mattress covers primarily to bedding manufacturers. We have wholly-owned mattress fabric operations located in Stokesdale, NC, High Point, NC, Quebec, Canada, and a fifty percent owned cut and sew mattress cover operation located in Haiti.</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upholstery fabrics segment develops, manufactures, sources, and sells fabrics primarily to residential and commercial furniture manufacturers. We have wholly-owned upholstery fabric operations located in Shanghai, China, Burlington, NC, and a recently acquired business located in Knoxville, TN (see Note 2 of the consolidated financial statements for further details regarding this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June 22, 2018, we acquired an 80% ownership interest in eLuxury, LLC (“eLuxury”), a company that offers bedding accessories and home goods directly to consumers and businesses through its e-commerce platform. eLuxury’s financial information was included in our home accessories segment.</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March 31, 2020, we sold our entire ownership interest in eLuxury to its noncontrolling interest holder as part of our comprehensive response to the challenging conditions arising from the COVID-19 global pandemic. As a result of this sale, our home accessories segment was eliminated at such time, and therefore its results of operations and assets and liabilities were excluded from our continuing operations and presented as a discontinued operation in our consolidated financial statements. See Note 3 of the consolidated financial statements for further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significant intercompany balances and transactions have been eliminated in consolidation. The accounts of our subsidiaries located in Shanghai, China and Poznan, Poland are consolidated as of April 30, a calendar month end, which are required by the Chinese and Polish governments, respectively. No events occurred related to the difference between our fiscal year end on the Sunday closest to April 30 and our China and Polish subsidiaries year end of April 30 that materially affected the company’s financial position, results of operations, or cash flows for fiscal years 2020,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Culp, Inc., entered into a joint venture agreement, pursuant to which Culp International owns fifty percent of CLASS International Holdings, Ltd (CLIH).</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Culp’s investment in CLIH will be accounted for under the equity method of accounting in accordance with </w:t>
      </w:r>
      <w:r>
        <w:rPr>
          <w:rFonts w:ascii="Arial" w:cs="Arial" w:eastAsia="Arial" w:hAnsi="Arial"/>
          <w:sz w:val="16"/>
          <w:szCs w:val="16"/>
          <w:i w:val="1"/>
          <w:iCs w:val="1"/>
          <w:color w:val="auto"/>
        </w:rPr>
        <w:t>ASC Topic 823 – Investments – 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Joint Ventures. </w:t>
      </w:r>
      <w:r>
        <w:rPr>
          <w:rFonts w:ascii="Arial" w:cs="Arial" w:eastAsia="Arial" w:hAnsi="Arial"/>
          <w:sz w:val="16"/>
          <w:szCs w:val="16"/>
          <w:color w:val="auto"/>
        </w:rPr>
        <w:t>The equity method of accounting is required for an investee entity (i.e. CLIH) that is not consolidated but over which the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entity (i.e. Culp Inc.) exercises significant influence. Whether or not a reporting entity exercises significant influence with respect to an investee depends on an evaluation of several factors including, representation on the investee’s board of directors, voting rights, and ownership level. Under the equity method of accounting, CLIH’s accounts are not included within our Consolidated Balance Sheets and Statements of Net (Loss) Income. Our share of earnings and losses from CLIH will be reflected in the caption “Income (loss) from investment in unconsolidated joint venture” in the Consolidated Statements of Net (Loss) Income. Our carrying value in CLIH is reflected in the caption “Investment in unconsolidated joint venture” in our Consolidated Balance Sheets.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our carrying value in CLIH is reduced to zero, no further losses will be recorded in our consolidated financial statements. However, if CLIH subsequently reports income, we will not record our share of such income until it equals the amount of its share of losses previously recognized.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fiscal 2019 acquisition of our 80% ownership interest in eLuxury, we previously included all the accounts of eLuxury in our consolidated financial statements and eliminated all significant intercompany balances and transactions. Net income (loss) attributable to the noncontrolling interest in eLuxury was excluded from net income (loss) attributable to Culp Inc. common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Substantive Profit-Sharing Provisions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fiscal 2019 acquisition of our 80% ownership in interest in eLuxury, we entered into an Equity Purchase Agreement (Equity Agreement) that contained substantive profit-sharing provisions which explicitly stated the ownership interests as of the acquisition date of June 22, 2018, and the allocation of net income or loss between us, as the controlling interest holder, and the noncontrolling interest holder. The Equity Agreement stated as of the acquisition date, we acquired an 80% ownership interest in eLuxury, with the seller retaining a 20% noncontrolling interest. Additionally, eLuxury’s net income or loss, future capital contributions and equity distributions were allocated at a percentage of 70% to or from us and 30% to or from the noncontrolling interest holder. Also, the Equity Agreement included certain loss limitations pursuant to which net losses allocated pursuant to the Equity Agreement would not exceed the maximum amount of net loss that could be allocated without causing any owners to have a capital account deficit as defined in the agreement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our controlling interest and the noncontrolling interest was recorded based on the terms of the substantive profit-sharing provisions of the Equity Agreement. As a result, eLuxury’s total net asset balance of $1.9 million as of March 31, 2020, (the disposal date) represented the carrying value of our controlling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Deconsolidation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ASC Topic 810-10-40, a parent company must deconsolidate a subsidiary as of the date the parent ceases to have a controlling interest in that subsidiary and recognize a gain or loss in net income at that time. As a result, we deconsolidated eLuxury from our consolidated financial statements on March 31, 2020, the effective date of the sale agreement, and recognized a loss on disposal of discontinued operation totaling $1.9 million, which is included in net loss from discontinued operation in the fiscal 2020 Consolidated Statement of Net Loss. The $1.9 million loss on disposal of discontinued operation represented the entire carrying amount of eLuxury’s assets less liabilities as of the disposal date of March 31, 2020. Based on the terms of the sale agreement, we did not receive any consideration for eLuxury’s net assets that were associated with the sale of our entire ownership interest in eLuxury or retain a noncontrolling interest in eLuxury. Additionally, based on the terms of the substantive profit-sharing provisions stated in the Equity Agreement, the noncontrolling interest did not have a carrying amount for their interest in eLuxury. See Note 3 “Overview” for description of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year is the 52 or 53-week period ending on the Sunday closest to April 30. Fiscal 2020 included 53 weeks and fiscal 2019 and 2018 each included 52 weeks.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demand deposit and money market accounts. We consider all highly liquid instruments with original maturities of three months or less to be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A summary of our cash and cash equivalents by geographic area follows: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72"/>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May 3,</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i w:val="1"/>
                <w:iCs w:val="1"/>
                <w:color w:val="auto"/>
              </w:rPr>
              <w:t>April 28,</w:t>
            </w:r>
          </w:p>
        </w:tc>
      </w:tr>
      <w:tr>
        <w:trPr>
          <w:trHeight w:val="230"/>
        </w:trPr>
        <w:tc>
          <w:tcPr>
            <w:tcW w:w="75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i w:val="1"/>
                <w:iCs w:val="1"/>
                <w:color w:val="auto"/>
              </w:rPr>
              <w:t>2020</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58,057</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28,078</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10,531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9,670</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2,196</w:t>
            </w: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Cayman Islands</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r>
      <w:tr>
        <w:trPr>
          <w:trHeight w:val="223"/>
        </w:trPr>
        <w:tc>
          <w:tcPr>
            <w:tcW w:w="7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69,790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40,008</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year, we have cash balances regarding our U.S. operations of more than the federally insured amounts on deposit with a financial institution. We have not experienced any losses in such accounts. Management believes we are not exposed to any significant credit risk related to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 (Available for Sale)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 2020, our short-term investments consisted of bond funds that were classified as available-for-sale and had an accumulated unrealized loss totaling $9,000. As of May 3, 2020, our short-term investments were recorded at its fair value of $923,000 and the fair value of our short-term investments approximated its cost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short-term investments by geographic area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ind w:right="330"/>
              <w:spacing w:after="0"/>
              <w:rPr>
                <w:sz w:val="20"/>
                <w:szCs w:val="20"/>
                <w:color w:val="auto"/>
              </w:rPr>
            </w:pPr>
            <w:r>
              <w:rPr>
                <w:rFonts w:ascii="Arial" w:cs="Arial" w:eastAsia="Arial" w:hAnsi="Arial"/>
                <w:sz w:val="18"/>
                <w:szCs w:val="18"/>
                <w:i w:val="1"/>
                <w:iCs w:val="1"/>
                <w:color w:val="auto"/>
                <w:w w:val="92"/>
              </w:rPr>
              <w:t>May 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i w:val="1"/>
                <w:iCs w:val="1"/>
                <w:color w:val="auto"/>
                <w:w w:val="96"/>
              </w:rPr>
              <w:t>April 28,</w:t>
            </w:r>
          </w:p>
        </w:tc>
      </w:tr>
      <w:tr>
        <w:trPr>
          <w:trHeight w:val="230"/>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 (Rabbi Trust)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 for sale.</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long-term investments are classified as available for sale and were recorded at their fair value of $7.8 million and $7.1 million at May 3, 2020, and April 28, 2019, respectively. Our long-term investments had an accumulated unrealized gain totaling $19,000 and $40,000 at May 3, 2020, and April 28, 2019, respectively. The fair value of our long-term investments associated with our Rabbi Trust approximates its cost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(Held-To-Maturity)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investments classified as held-to-maturity consisted of investment grade U.S. corporate bonds, foreign bonds, and government bonds with original maturities that range from 2 to 10 years, all of which have remaining maturities of less than 2 years as of May 3, 2020.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recorded amortized cost.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3, 2020, the amortized cost of our held-to-maturity investments was $6.3 million and the fair value was $6.4 million. At April 28, 2019, the amortized cost and fair value of our held-to-maturity investments were $5.0 million.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bond investments were classified as level 2 as they were traded over the counter within a broker network and not on an active market. The fair value of our U.S. corporate bonds was determined based on a published source that provided an average bid price. The average bid price was based on various broker prices that were determined based on market conditions, interest rates, and the rating of the respective U.S. corporate bond.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Substantially all our accounts receivable was due from manufacturers in the bedding and furniture industries. We grant credit to customers and generally do not require collateral. We record an allowance for doubtful accounts that reflects estimates of probable credit losses. Management continuously performs credit evaluations of our customers, considering numerous inputs including financial position, past payment history, cash flows, management ability, historical loss experience and economic conditions and prospects. We do not have any off-balance sheet credit exposure related to our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account for inventories at the lower of first-in, first-out (FIFO) cost or net realizable value. Management continually examines inventory to determine if there are indicators that the carrying value exceeds its net realizable value. Experience has shown that the most significant indicators of the need for inventory markdowns are the age of the inventory and the planned discontinuance of certain patterns. As a result, we provide inventory valuation write-downs based upon established percentages based on the age of the inventory that are continually evaluated as events and market conditions require. Our inventory aging categories are six, nine, twelve, and fifteen months. We also provide inventory valuation write-downs based on the planned discontinuance of certain products based on the current market values at that time as compared to their current carrying values.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properties or equipment are retired or otherwise disposed of, the related cost and accumulated depreciation are removed from the accounts. Amounts received on disposal less the book value of assets sold are charged or credited to income from operations.</w:t>
      </w:r>
    </w:p>
    <w:p>
      <w:pPr>
        <w:spacing w:after="0" w:line="16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Advertising costs are expensed as incurred. We presented advertising costs totaling $1.7 million and $2.2 in discontinued operations during fiscal 2020 and 2019, respectively. No advertising costs were presented in discontinued operations during fiscal 2018. There were no advertising costs presented in continuing operations during each fiscal year 2020, 2019, or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Costs</w:t>
      </w:r>
    </w:p>
    <w:p>
      <w:pPr>
        <w:spacing w:after="0" w:line="18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Total interest costs incurred were $190,000, $65,000, and $194,000 during fiscal 2020, 2019, and 2018, respectively. Of the total interest costs incurred of $190,000 during fiscal 2020, $106,000 and $84,000 were presented in continuing operations and discontinued operations, respectively. Of the total interest costs incurred of $65,000 during fiscal 2019, $35,000 and $30,000 were presented in continuing operations and discontinued operations, respectively. The total interest cost incurred of $194,000 during fiscal 2018 was associated with our continuing operations.</w:t>
      </w:r>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2020 or 2019. Interest costs of $100,000 were capitalized for the construction of qualifying fixed assets during fiscal 2018 and were all associated with continuing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Adjustments</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United States dollar is the functional currency for the company’s Canadian and Chinese subsidiaries. All monetary foreign currency asset and liability accounts are remeasured into U.S. dollars at year-end exchange rates. Non-monetary asset and liabilities such as property, plant, and equipment are recorded at historical exchange rates. Foreign currency revenues and expenses are remeasured at average exchange rates in effect during the year, except for certain expenses related to balance sheet amounts remeasured at historical exchange rates. Exchange gains and losses from remeasurement of foreign currency denominated monetary assets and liabilities are recorded in the other expense line item in the Consolidated Statements of Net (Loss) Income in the period in which they occur.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foreign currency exchange (losses) gains by geographic area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2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Canada</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Euro foreign exchange contract</w:t>
            </w:r>
          </w:p>
        </w:tc>
        <w:tc>
          <w:tcPr>
            <w:tcW w:w="2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20" w:type="dxa"/>
            <w:vAlign w:val="bottom"/>
            <w:vMerge w:val="restart"/>
          </w:tcPr>
          <w:p>
            <w:pPr>
              <w:jc w:val="right"/>
              <w:ind w:right="71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See Note 18 to the consolidated financial statements for additional details regarding our Euro foreign exchange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our business was classified into our four reporting units during fiscal 2020: mattress fabrics, upholstery fabrics, Read Window Products, LLC, and home accessories. Effective March 31, 2020, we sold our entire ownership interest in eLuxury to its noncontrolling interest holder and our home accessories reporting unit was eliminated at such time. As a result of this sale, we met the criteria outlined in ASC Topic 205-20 for our goodwill to be classified as held for sale and results of operations and assets and liabilities for our home accessories segment were excluded from our continuing operations and presented as a discontinued operation in our consolidated financial statements (see Note 3 to the consolidated financial statements for further details).</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Topic 350 requires us to assess goodwill for impairment annually (the last day of our fiscal year) or 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overall decline in financial performance such as negative and declining cash flows, or a decline in actual or planned revenue or earnings compared with actual and projected results or relevant prior periods, and (5) a decrease in the price per share of our common stock. We first assess qualitative factors to determine whether it is more likely than not that the fair value of a reporting unit is less than its carrying amount, including goodwill. If we conclude that it is more likely than not that the fair value of a reporting unit is less than its carrying amount, we conduct a quantitative goodwill impairment test. The quantitative impairment test involves comparing the fair value of the applicable reporting unit with its carrying value. We estimate the fair values of our reporting units using a combination of the income, discounted cash flows, and the market approach, which utilizes comparable companies’ data. If the carrying amount of a reporting unit exceeds the reporting unit’s fair value, an impairment loss is recognized in an amount equal to that excess, limited to the total amount of goodwill allocated to that reporting unit.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third quarter and annual impairment assessments during the fourth quarter, we recorded asset impairment charges associated with our goodwill and tradenames totaling $33.9 million during fiscal 2020. Of the total $33.9 million, $20.2 million, and $13.7 million were reported in discontinued operations and continuing operations, respectively. Also, of the total $33.9 million asset impairment charges, $27.2 million and $6.7 pertained to goodwill and tradenames, respectively. Due to the asset impairment charges of $27.2 million associated with our goodwill, no goodwill was reported on our Consolidated Balance Sheet as of May 3,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asset impairment charges were recorded during fiscal 2019 and 2018.</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Notes 8 and 9 of the consolidated financial statements for further details of our assessments of impairment, conclusions reached, and the performance of our quantitative test.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income taxes are recognized for temporary differences between the financial statement carrying amounts and the tax basis of our assets, liabilities, and our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For fiscal 2019 and beyond, the 2017 Tax Cuts and Jobs Act allows a U.S. corporation a 100% dividend received deduction for earnings and profits received from a 10% owned foreign corporation. Therefore, a deferred tax liability will only be required for withholding taxes that are incurred by our foreign subsidiaries at the time earnings and profits are distributed.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in Income Taxes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tax effect from an uncertain tax position only if it is more likely than not that the tax position will be sustained on examination by the taxing authorities, based on the technical merits of the position. The tax impact recognized in the financial statements from such a position is measured based on the largest benefit that has a greater than 50% likelihood of being realized upon ultimate resolution. Penalties and interest related to uncertain tax positions are recorded as income tax expense. Significant judgment is required in the identification of uncertain tax positions and in the estimation of penalties and interest on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30, 2018 (the beginning of fiscal 2019), we adopted ASU 2014-09 “Revenue from Contracts with Customers” (ASC Topic 606 or the “new standard”). ASC Topic 606 requires us to disclose significant judgments and changes in judgments in applying the new standard that significantly affect the determination of the amount and timing of revenue from contracts with customers.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application of the new standard did not materially affect our accounting policies followed in fiscal year 2018 with regards to revenue recognition, determination of transaction prices, and revenue measurement. However, as required by ASC Topic 606, we recorded a reclassification adjustment from a contra account applied to accounts receivable to accrued expenses for estimated sales returns and allowances totaling $1.2 million.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below for disclosure of our significant judgements and accounting policies or determining the amount and timing of revenue from contracts with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purchase orders, we also have supply contracts with certain customers that define standard terms and conditions. Our contracts generally include promises to sell either upholstery fabric, mattress fabric, or bedding accessories and home goods products, to provide fabrication, and installation services of our own products associated with customized window treatments.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associated with sales of our products are recognized at the point-in-time when control of the promised goods has been transferred to the customer. The point-in-time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of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transaction price is typically allocated to performance obligations based upon stand-alone selling prices. We did not disclose the value of unsatisfied performance obligations as substantially all of any unsatisfied performance obligations as of May 3, 2020, will be satisfied within one year or less.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Measurement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is measured as the amount of consideration we expect to receive in exchange for the transfer of the promised products and services. The amount of consideration we expect to receive changes due to variable consideration are associated with allowances for sales returns, early payment discounts, and volume rebates that we offer to customers. The amount of variable consideration which is included in the transaction price is only included in net sales to the extent that it is probable that a significant reversal in the amount of cumulative revenue recognized will not occur in a future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jc w:val="both"/>
        <w:spacing w:after="0" w:line="287" w:lineRule="auto"/>
        <w:rPr>
          <w:sz w:val="20"/>
          <w:szCs w:val="20"/>
          <w:color w:val="auto"/>
        </w:rPr>
      </w:pPr>
      <w:r>
        <w:rPr>
          <w:rFonts w:ascii="Arial" w:cs="Arial" w:eastAsia="Arial" w:hAnsi="Arial"/>
          <w:sz w:val="16"/>
          <w:szCs w:val="16"/>
          <w:color w:val="auto"/>
        </w:rPr>
        <w:t>Our mattress fabrics and upholstery fabrics business segments only allow product returns to the extent that the products or services did not meet the contractually agreed upon specifications at the time of sale. Customers must receive authorization prior to returning products. Our former home accessories business segment allowed returns for any reason provided the product is returned within the stated time frame, generally 30 days, unless the product was customized in which case of a defect must be present in order to return the product. Estimates of allowances for sales returns are based on historical data, current potential product return issues, and known sales returns for which customers have been granted return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are based on the portion of the rebate earned relative to the total amount of rebates the customer is expected to earn over the rebate period as determined using historical data and projections.</w:t>
      </w:r>
    </w:p>
    <w:p>
      <w:pPr>
        <w:spacing w:after="0" w:line="1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$4.0 million, $4.2 million, and $4.6 million fiscal 2020, 2019, and 2018, respectively, and are included in selling, general and administrative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Taxes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other taxes collected from customers and remitted to governmental authorities are presented on a net basis and, as such, are excluded from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29, 2019 (the beginning of fiscal 2020), we adopted ASU No. 2016-02, Leases (Topic 842), which requires lessees to recognize leases on the balance sheet and disclose certain key information about their leasing arrangements. The new standard establishes a right of use (“ROU”) model that requires a lessee to recognize a ROU asset and lease liability for certain lease contracts. Topic 842 provides several practical expedients that could be applied after adopting the new standard. We elected the short-term lease exemption, and therefore, we will not recognize ROU assets or lease liabilities for leases shorter than twelve months. We did not elect the practical expedient to combine lease and non-lease components for any class of assets and will account for lease components separately from non-lease components.</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recognize a ROU asset and lease liability on the commencement date of a lease arrangement based on the present value of lease payments over the lease term.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leases have remaining lease terms of 1 to 6 years, with renewal options for additional periods ranging up to 10 years. A lease term may include renewal options if it is reasonably certain that the option to renew a lease period will be exercised. A renewal option is considered reasonably certain to be exercised if there is a significant economic incentive, as defined in Topic 842, to exercise the renewal option on the date a lease arrangement is commenced. Currently, renewal options are not included in the lease terms for any of our leases, as there is not a significant economic incentive for us to exercise any of our renewal options.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contracts, an estimated incremental borrowing rate (“IBR”) is utilized, based on information available at the inception of the lease. The IBR represents an estimate of the interest rate we would incur at the lease commencement to borrow an amount equal to the lease payments on a collateralized basis over the term of the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equity incentive plans are described more fully in Note 16 to the notes to the consolidated financial statements. ASC Topic 718, “Compensation – Stock Compensation”, requires that all stock-based compensation be recognized as compensation expense in the financial statements and that such cost be measured at the grant date for awards issued to employees and the company’s board of directors. Equity awards issued to non-employees are measured at the earlier date of when the performance criteria are met or at the end of each reporting period. Compensation expense for time vested restricted stock awards are amortized on a straight-line basis over the remaining vesting periods. Compensation expense for performance based restricted stock units are recorded based on an assessment each reporting period of the probability if certain performance goals are to be met during the contingent vesting period. If performance goals are not probable of occurrence, no compensation expense was recognized. Previously recognized compensation cost on performance goals that were previously deemed probable and subsequently were not met or not expected to be met is reversed.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 The fair value measurements of our financial instruments are described more fully in Note 17 of the consolidated financial statements.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cash and cash equivalents, short-term investments, accounts receivable, other current assets, lines of credit (which were repaid in full during the first quarter of fiscal 2021), accounts payable and accrued expenses approximates fair value because of the short maturity of these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w:t>
      </w:r>
      <w:r>
        <w:rPr>
          <w:rFonts w:ascii="Arial" w:cs="Arial" w:eastAsia="Arial" w:hAnsi="Arial"/>
          <w:sz w:val="17"/>
          <w:szCs w:val="17"/>
          <w:color w:val="auto"/>
        </w:rPr>
        <w:t>—</w:t>
      </w:r>
      <w:r>
        <w:rPr>
          <w:rFonts w:ascii="Arial" w:cs="Arial" w:eastAsia="Arial" w:hAnsi="Arial"/>
          <w:sz w:val="17"/>
          <w:szCs w:val="17"/>
          <w:i w:val="1"/>
          <w:iCs w:val="1"/>
          <w:color w:val="auto"/>
        </w:rPr>
        <w:t>Goodwill and Other (Topic 350)</w:t>
      </w:r>
      <w:r>
        <w:rPr>
          <w:rFonts w:ascii="Arial" w:cs="Arial" w:eastAsia="Arial" w:hAnsi="Arial"/>
          <w:sz w:val="17"/>
          <w:szCs w:val="17"/>
          <w:color w:val="auto"/>
        </w:rPr>
        <w:t>—</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(“ASU 2017-04”). ASU 2017-04 simplifies the accounting for goodwill impairments by eliminating the requirement to compare the implied fair value of goodwill with its carrying amount as part of step two of the goodwill impairment test referenced in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 a result, an entity should perform its annual, or interim, goodwill impairment test by comparing the fair value of a reporting unit with its carrying amount. An impairment charge should be recognized for the amount by which the carrying amount exceeds the reporting unit’s fair value. However, the impairment loss recognized should not exceed the total amount of goodwill allocated to that reporting unit. ASU 2017-04 is effective for annual reporting periods beginning after December 15, 2019, including any interim impairment tests within those annual periods, with early application permitted for interim or annual goodwill impairment tests performed on testing dates after January 1, 2017. On April 29, 2019, we elected to early adopt ASU 2017-04, and the adoption will affect our consolidated financial statements if we conclude that it is more-likely-than-not that the fair value of a reporting unit is less than its carrying amount, we are required to perform a quantitative goodwill impairment test.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requires lessees to recognize leases on the balance sheet and disclose certain key information about their leasing arrangements. The new standard establishes a right of use (“ROU”) model that requires a lessee to recognize a ROU asset and lease liability for certain lease contracts. Topic 842 is effective for fiscal years, and interim periods within those fiscal years, beginning after December 15, 2018. As a result, we adopted Topic 842 on April 29, 2019, electing to use the modified retrospective transition method, which requires us to recognize a cumulative effect adjustment to the opening balance of retained earnings in the period of adoption. Consequently, financial information and disclosures will not be provided for periods prior to April 29, 2019.</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842 allows the election of several practical expedients as part of adopting this new standard. We elected the “package of practical expedients” which permits us not to reassess, under Topic 842, our previous conclusions regarding lease identification and classification. We did not elect the use of hindsight with respect to determining the lease term. Also, Topic 842 provides practical expedients after adopting the new standard. We elected the short-term lease exemption, and therefore, we will not recognize ROU assets or lease liabilities for leases shorter than twelve months. We did not elect the practical expedient to combine lease and non-lease components for any class of assets and will account for lease components separately from non-lease components.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adoption of Topic 842 had a material effect on our Consolidated Balance Sheets and increased the required disclosures in our notes to the consolidated financial statements (see note 15 for further details). The most significant effect related to the recognition of ROU assets totaling $7.2 million that were mostly offset by the recognition of lease liabilities totaling $7.1 million in our Consolidated Balance Sheets. The adoption of Topic 842 did not have a material impact on our Consolidated Statements of Net (Loss) Income or our Consolidated Statement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entities to use a forward looking approach based on expected losses to estimate credit losses on certain types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are required to apply this guidance in our fiscal 2021 interim and annual financial statements commencing May 4, 2020. Currently, we do not expect this guidance to impact our results of operations, financial position, or statement of cash flow.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new accounting pronouncements that are expected to have a significant impact on our consolidated financial statements.</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Read Window Products, LLC (Read)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April 1, 2018, we entered into an Asset Purchase Agreement (Asset Agreement) to acquire certain assets and assume certain liabilities of Read, a source of custom window treatments for the hospitality and commercial industries. Based in Knoxville, Tennessee, Read is a turn-key provider of window treatments that offers sourcing of upholstery fabrics and other products, measuring, and installation services of their own products. Read’s custom product line includes motorization, shades, upholstered drapery, upholstered headboards, and shower curtains. In addition, Read supplies soft goods such as decorative top sheets, coverlets, duvet covers, bed skirts, bolsters and pillows, for leading hospitality brands worldwide. The addition of window treatments and other soft goods to our product line allows us to be a more complete source of fabrics for the hospitality market.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for the net assets acquired was $5.7 million, of which $4.5 million was paid at closing on April 1, 2018, $375,000 was paid in May 2018, and $763,000 was paid in July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final allocation of the acquisition cost to the assets acquired and liabilities assumed based on their fair values.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Fair Value</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2,247</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2,107</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1,128</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897</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379</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9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5,680</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customer relationships at fair market value based on a multi-period excess earnings valuation model. These customer relationships are being amortized on a straight-line basis over their nine-year useful life. We recorded the tradename at fair market value based on the relief from royalty method. This tradename was determined to have an indefinite useful life and, therefore, is not being amortized. Equipment will be depreciated on a straight-line basis over useful lives ranging from three to ten years.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related to this acquisition was attributable to Read’s reputation with the products and services they provide and the collective experience of management with regards to its operations, customers, and industry. Goodwill is deductible for income tax purposes over the statutory period of fifteen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In accordance ASC Topic 350, we performed our annual assessment to determine if any impairment of our goodwill associated with this reporting unit existed as of May 3, 2020. As a result of our annual assessment, we recorded an impairment charge of $2.1 million for the entire goodwill balance. See Notes 9 and 17 located in the notes to the consolidated financial statements for further details regarding our annual assessment that resulted in the impairment of the entire goodwill balance associated with this reporting unit.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Consideration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Agreement contains a contingent consideration arrangement that required us to pay a former shareholder of Read an earn-out payment based on adjusted EBITDA, as defined in the Asset Agreement, for calendar year 2018 in excess of fifty percent of a pre-established adjusted EBITDA. Based on actual financial results in relation to the pre-established adjusted EBITDA target, a contingent payment was not required under the terms of the Asset Agreement, and therefore, no contingent liability has been recorded.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totaling $339,000 were included in selling, general, and administrative expenses in our fiscal 2018 Consolidated Statement of Net Income.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revenue and net income for the month of April 2018 were included in our fiscal 2018 Consolidated Statement of Net Income and totaled $880,000 and $5,000,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consolidated results of operations for the fiscal years ending May 3, 2020, April 28, 2019, and April 29, 2018, have been prepared as if this acquisition had occurred on May 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May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April 28,</w:t>
            </w:r>
          </w:p>
        </w:tc>
        <w:tc>
          <w:tcPr>
            <w:tcW w:w="22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April 29,</w:t>
            </w: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 except per share data)</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256,166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281,325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334,953</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26,799</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20,455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(28,667)</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20,455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income from continuing operations per share-basic</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 per share-diluted</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 per share-basic</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per share-diluted</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income per share - basic</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 diluted</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2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HOME ACCESSORIES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June 22, 2018, we entered into an Equity Purchase Agreement (Equity Agreement) in which we acquired an 80% ownership interest in eLuxury, LLC (eLuxury) a company that offers bedding accessories and home goods directly to consumers. eLuxury’s primary products include a line of mattress pads manufactured at eLuxury’s facility located in Evansville, Indiana. eLuxury also offers handmade platform beds, cotton bed sheets, as well as other bedding items sourced from other suppliers. Its products are available on eLuxury’s own branded website, </w:t>
      </w:r>
      <w:r>
        <w:rPr>
          <w:rFonts w:ascii="Arial" w:cs="Arial" w:eastAsia="Arial" w:hAnsi="Arial"/>
          <w:sz w:val="18"/>
          <w:szCs w:val="18"/>
          <w:u w:val="single" w:color="auto"/>
          <w:color w:val="auto"/>
        </w:rPr>
        <w:t>eLuxury.com</w:t>
      </w:r>
      <w:r>
        <w:rPr>
          <w:rFonts w:ascii="Arial" w:cs="Arial" w:eastAsia="Arial" w:hAnsi="Arial"/>
          <w:sz w:val="18"/>
          <w:szCs w:val="18"/>
          <w:color w:val="auto"/>
        </w:rPr>
        <w:t>, Amazon, and other leading online retailers for specialty home goods.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provided a new sales channel for eLuxury’s bedding accessories and an opportunity for us to participate in the e-commerce direct-to-consumer space.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consideration given for the 80% ownership interest in eLuxury totaled $18.1 million, of which $12.5 million represented the estimated purchase price and $5.6 million represented the estimated fair value of contingent consideration associated with an earn-out obligation. Of the $12.5 million estimated purchase price, $11.6 million was paid at closing on June 22, 2018, $185,000 was paid in August 2018, and $749,000 was paid in September 2019.</w:t>
      </w:r>
    </w:p>
    <w:p>
      <w:pPr>
        <w:sectPr>
          <w:pgSz w:w="11900" w:h="16838" w:orient="portrait"/>
          <w:cols w:equalWidth="0" w:num="1">
            <w:col w:w="11240"/>
          </w:cols>
          <w:pgMar w:left="320" w:top="30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final allocation of the acquisition cost to the assets acquired and liabilities assumed based on their fair values.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Fair Value</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13,653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6,549</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2,179</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1,804</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and other current assets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 in eLuxury</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r>
      <w:tr>
        <w:trPr>
          <w:trHeight w:val="223"/>
        </w:trPr>
        <w:tc>
          <w:tcPr>
            <w:tcW w:w="9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18,130</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acquisition date, we recorded the tradename at fair market value based on the relief from royalty method. This tradename was determined to have an indefinite useful life and, therefore, was not being amortized. Equipment was depreciated on a straight-line basis over useful lives ranging from five to ten years.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related to this acquisition was attributable to eLuxury’s reputation with the products they offered and management’s experience in e-commerce, online brand building, and direct-to-consumer shopping and fulfillment expertise. Goodwill was deductible for income tax purposes over the statutory period of fifteen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totaling $270,000 were included in selling, general, and administrative expenses in our fiscal 2019 Consolidated Statement of Net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2020, we sold our entire ownership interest in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is expected to increase our liquidity and allows us to focus on our core businesses of upholstery and mattress fabrics and is part of our comprehensive response to the challenging business conditions arising from the COVID-19 global pandemic.</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 entered into an amended and restated credit and security agreement with eLuxury and the buyer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$1 million we previously loaned to eLuxury and the outstanding trade accounts payable balance of $613,000 due from eLuxury to us has been paid in full in accordance with the terms of the sale agreement outlined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Discontinued Operation Financial Statement Presentation and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43"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Due to the sale of our entire ownership interest in eLuxury, our home accessories segment was eliminated as a result of our strategic decision to focus on our core products that we believe will increase our liquidity and assist with our comprehensive response to the COVID-19 global pandemic. Consequently, we determined that the results from operations and assets and liabilities associated with our home accessories segment were to be excluded from our continuing operations and presented as a discontinued operation in our consolidated financial statements in accordance with ASC Topic 205-20-45. As a result, we classified the results from operations of our home accessories segment separately in captions titled “Discontinued Operations” on our Consolidated Statements of Net (Loss) Income for the current and prior year periods. Additionally, assets and liabilities associated with our home accessories segment as of April 28, 2019 were reclassified from certain amounts reported in prior periods to present separately in captions titled “current assets held for sale – discontinued operation”, “noncurrent assets held for sale – discontinued operation”, “current liabilities held for sale – discontinued operation”, and “noncurrent liabilities held for sale – discontinued operation” to conform to current year financial statement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is a summary of the assets and liabilities that were sold on March 31, 2020, and a reconciliation of the assets and liabilities disclosed in the notes to the consolidated financial statements to the assets and liabilities of the disposal group that are presented separately as held for sale – discontinued operation on the Consolidated Balance Sheet as of April 28,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color w:val="auto"/>
              </w:rPr>
              <w:t>April 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30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020" w:type="dxa"/>
            <w:vAlign w:val="bottom"/>
            <w:gridSpan w:val="3"/>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285</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588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3,344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current assets</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170</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 held for sale - discontinued operation</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4,387</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property, plant, and equipment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1,694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right of use asset</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918</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w w:val="97"/>
              </w:rPr>
              <w:t>total noncurrent assets held for sale - discontinued operation</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2,612</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6,999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NET ASSETS</w:t>
            </w: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accounts -payable trade</w:t>
            </w:r>
          </w:p>
        </w:tc>
        <w:tc>
          <w:tcPr>
            <w:tcW w:w="3020" w:type="dxa"/>
            <w:vAlign w:val="bottom"/>
            <w:gridSpan w:val="3"/>
          </w:tcPr>
          <w:p>
            <w:pPr>
              <w:jc w:val="right"/>
              <w:ind w:right="119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 - current</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total current liabilities held for sale - discontinued operation</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1,940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loan payable - Culp Inc.</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subordinated loan payable - noncontrolling interest</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925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operating lease liability - long-term</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743</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3"/>
              </w:rPr>
              <w:t>total noncurrent liabilities held for sale - discontinued operation</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3,168</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5,108</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assets of discontinued operation</w:t>
            </w:r>
          </w:p>
        </w:tc>
        <w:tc>
          <w:tcPr>
            <w:tcW w:w="1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1,891</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40" w:type="dxa"/>
            <w:vAlign w:val="bottom"/>
            <w:vMerge w:val="restart"/>
          </w:tcPr>
          <w:p>
            <w:pPr>
              <w:jc w:val="right"/>
              <w:ind w:right="107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Net Loss from Discontinued Operation</w:t>
      </w:r>
    </w:p>
    <w:p>
      <w:pPr>
        <w:spacing w:after="0" w:line="2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is a reconciliation of the major classes of financial statement line items constituting loss before income taxes from discontinued operation that are disclosed in the notes to the financial statements to loss from discontinued operation that are presented in the Consolidated Statements of Net (Loss) Income for fiscal years 2020, 2019, and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13,763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15,956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 (2)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(20,202)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5,856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 related to major classes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(15,686)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loss before income taxes</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loss on disposal of 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income taxes from discontinued operation (5)</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(17,577)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(17,509)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Discontinued operations were not presented in fiscal 2018 as we acquired eLuxury on June 22, 2018, which was during our fiscal 2019.</w:t>
      </w:r>
    </w:p>
    <w:p>
      <w:pPr>
        <w:spacing w:after="0" w:line="196" w:lineRule="exact"/>
        <w:rPr>
          <w:rFonts w:ascii="Arial" w:cs="Arial" w:eastAsia="Arial" w:hAnsi="Arial"/>
          <w:sz w:val="17"/>
          <w:szCs w:val="17"/>
          <w:color w:val="auto"/>
        </w:rPr>
      </w:pPr>
    </w:p>
    <w:p>
      <w:pPr>
        <w:jc w:val="both"/>
        <w:ind w:left="500" w:right="20" w:hanging="492"/>
        <w:spacing w:after="0" w:line="279"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fiscal 2020, we recorded asset impairment charges totaling $20.2 million, of which $13.6 million and $6.6 million pertained to the goodwill and tradename, respectively. Of the total asset impairment charge totaling $20.2 million, $13.6 million, and $6.6 million were recorded in the 3</w:t>
      </w:r>
      <w:r>
        <w:rPr>
          <w:rFonts w:ascii="Arial" w:cs="Arial" w:eastAsia="Arial" w:hAnsi="Arial"/>
          <w:sz w:val="14"/>
          <w:szCs w:val="14"/>
          <w:color w:val="auto"/>
        </w:rPr>
        <w:t>rd</w:t>
      </w:r>
      <w:r>
        <w:rPr>
          <w:rFonts w:ascii="Arial" w:cs="Arial" w:eastAsia="Arial" w:hAnsi="Arial"/>
          <w:sz w:val="17"/>
          <w:szCs w:val="17"/>
          <w:color w:val="auto"/>
        </w:rPr>
        <w:t xml:space="preserve"> and 4</w:t>
      </w:r>
      <w:r>
        <w:rPr>
          <w:rFonts w:ascii="Arial" w:cs="Arial" w:eastAsia="Arial" w:hAnsi="Arial"/>
          <w:sz w:val="14"/>
          <w:szCs w:val="14"/>
          <w:color w:val="auto"/>
        </w:rPr>
        <w:t>th</w:t>
      </w:r>
      <w:r>
        <w:rPr>
          <w:rFonts w:ascii="Arial" w:cs="Arial" w:eastAsia="Arial" w:hAnsi="Arial"/>
          <w:sz w:val="17"/>
          <w:szCs w:val="17"/>
          <w:color w:val="auto"/>
        </w:rPr>
        <w:t xml:space="preserve"> quarters, respectively. See notes 8, 9, and 17 located in the notes to the consolidated financial statements for further details of our assessments that resulted in the impairment of the goodwill and tradename associated with this discontinued operation.</w:t>
      </w:r>
    </w:p>
    <w:p>
      <w:pPr>
        <w:spacing w:after="0" w:line="130" w:lineRule="exact"/>
        <w:rPr>
          <w:rFonts w:ascii="Arial" w:cs="Arial" w:eastAsia="Arial" w:hAnsi="Arial"/>
          <w:sz w:val="17"/>
          <w:szCs w:val="17"/>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separate section below titled “Contingent Consideration” for further details.</w:t>
      </w:r>
    </w:p>
    <w:p>
      <w:pPr>
        <w:spacing w:after="0" w:line="184"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expense is directly attributable to our discontinued operations as it pertains to loans payable assumed by the buyer, (the noncontrolling interest) or required to be paid to Culp Inc. based on the terms of the sale agreement.</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separate section below titled “Consolidation and Deconsolidation”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net (loss) income from continuing operations, loss from discontinued operation, and net (loss) income attributable Culp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shareholders and the noncontrolling interest for fiscal years 2020, 2019, and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5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net (loss) income from continuing operations attributable to</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5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 attributable</w:t>
            </w:r>
          </w:p>
        </w:tc>
        <w:tc>
          <w:tcPr>
            <w:tcW w:w="1700" w:type="dxa"/>
            <w:vAlign w:val="bottom"/>
            <w:gridSpan w:val="2"/>
            <w:vMerge w:val="restart"/>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(11,158)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Culp Inc. common shareholders</w:t>
            </w:r>
          </w:p>
        </w:tc>
        <w:tc>
          <w:tcPr>
            <w:tcW w:w="1700" w:type="dxa"/>
            <w:vAlign w:val="bottom"/>
            <w:gridSpan w:val="2"/>
            <w:vMerge w:val="continue"/>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1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Arial" w:cs="Arial" w:eastAsia="Arial" w:hAnsi="Arial"/>
                <w:sz w:val="18"/>
                <w:szCs w:val="18"/>
                <w:color w:val="auto"/>
              </w:rPr>
              <w:t>net loss from discontinued operation</w:t>
            </w:r>
          </w:p>
        </w:tc>
        <w:tc>
          <w:tcPr>
            <w:tcW w:w="1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(17,509)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attributable to</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net loss from discontinued operation attributable to Culp Inc.</w:t>
            </w:r>
          </w:p>
        </w:tc>
        <w:tc>
          <w:tcPr>
            <w:tcW w:w="198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98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(28,667)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noncontrolling interest</w:t>
            </w:r>
          </w:p>
        </w:tc>
        <w:tc>
          <w:tcPr>
            <w:tcW w:w="15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Culp Inc.</w:t>
            </w:r>
          </w:p>
        </w:tc>
        <w:tc>
          <w:tcPr>
            <w:tcW w:w="1980" w:type="dxa"/>
            <w:vAlign w:val="bottom"/>
            <w:gridSpan w:val="3"/>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(23,993)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980" w:type="dxa"/>
            <w:vAlign w:val="bottom"/>
            <w:gridSpan w:val="3"/>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5,676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vMerge w:val="restart"/>
          </w:tcPr>
          <w:p>
            <w:pPr>
              <w:jc w:val="right"/>
              <w:ind w:right="710"/>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Cash Flow Disclosures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discontinued operation had net cash used in operating activities totaling $(2.3) million and $(1.5) million for fiscal 2020 and 2019, respectively. Our discontinued operation had net cash used in investing activities totaling $(134,000) and $(54,000) for fiscal 2020 and 2019, respectively. Our discontinued operation had net cash provided by financing activities all of which were loan proceeds and capital contributions from Culp Inc. and the noncontrolling interest of eLuxury totaling $2.4 million and $1.5 million during fiscal 2020 and 2019, respectively. We believe our liquidity will be positively affected in the absence of our home accessories segment due to the significant losses that were incurred and the funding of working capital requirements though loans and capital contributions.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incurred a $1.9 million loss on disposal of discontinued operation that was reported within loss before income taxes from discontinued operation on the fiscal 2020 Consolidated Statement of Net Loss. However, we reported a loss on disposal of discontinued operation of $1.6 million on the fiscal 2020 Consolidated Statement of Cash Flows, as the buyer (former noncontrolling interest holder) retained the cash held with eLuxury totaling $285,000.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Agreement contained a contingent consideration arrangement that required us to pay the seller, who was also the owner of the noncontrolling interest, an earn-out payment based on a multiple of adjusted EBITDA, as defined in the Equity Agreement, for the twelve-month period ending August 31, 2021, less $12.0 million. We recorded a contingent liability at the acquisition date for this earn-out obligation at its fair value totaling $5.6 million based on the Black Scholes pricing model.</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were required to assess the fair value of this earn-out obligation each quarterly reporting period. Based on management’s assessment as of the end of our third quarter (February 2, 2020), as we determined it was necessary to adjust forecasted EBITDA as it relates to this earn-out obligation. This determination was based on the future outlook of our former home accessories segment and its slower than expected business improvement,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our earn-out obligation at the end of our third quarter of fiscal 2020. In connection with the sale agreement of our entire ownership interest in eLuxury, this contingent consideration arrangement was nullified on March 31, 2020. Since the earn-out obligation was solely based on the financial performance of our home accessories segment and the contingent consideration arrangement was nullified as a result of the disposal, the reversal of this earn-out obligation is directly attributable to our discontinued operation.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Deconsolidation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acquisition of our 80% ownership interest, we included all the accounts of eLuxury in our consolidated financial statements and eliminated all significant intercompany balances and transactions. Net income (loss) attributable to the noncontrolling interest in eLuxury was excluded from net income (loss) attributable to Culp Inc. common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Substantive Profit-Sharing Provisions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Equity Agreement contained substantive profit-sharing provisions which explicitly stated the ownership interests as of the acquisition date and the allocation of net income or loss between us, as the controlling interest holder, and the noncontrolling interest holder. The Equity Agreement stated as of the acquisition date, we acquired an 80% ownership interest in eLuxury, with the seller retaining a 20% noncontrolling interest. Additionally, eLuxury’s net income or loss, future capital contributions and equity distributions were allocated at a percentage of 70% to or from us and 30% to or from the noncontrolling interest holder. Also, the Equity Agreement included certain loss limitations pursuant to which net losses allocated pursuant to the Equity Agreement would not exceed the maximum amount of net loss that could be allocated without causing any owners to have a capital account deficit as defined in the Equity Agreement.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our controlling interest and the noncontrolling interest was recorded based on the terms of the substantive profit-sharing provisions of the Equity Agreement. As a result, eLuxury’s total net asset balance of $1.9 million as of March 31, 2020, (the disposal date) represented the carrying value of our interest (the controlling interest holder) in eLuxury.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Deconsolidation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ASC Topic 810-10-40, a parent company must deconsolidate a subsidiary as of the date the parent ceases to have a controlling interest in that subsidiary and recognize a gain or loss in net income at that time. As a result, we deconsolidated eLuxury from our consolidated financial statements on March 31, 2020 and recognized a loss on disposal of discontinued operation totaling $1.9 million. The $1.9 million loss on disposal of discontinued operation represented the entire carrying amount of eLuxury’s assets less liabilities as of the disposal date of March 31, 2020. Based on the terms of the sale agreement, we did not receive any consideration for eLuxury’s net assets associated with the sale of our entire ownership interest in eLuxury or retain a noncontrolling interest in eLuxury. Additionally, based on the terms of the substantive profit-sharing provisions stated in the Equity Agreement, the noncontrolling interest did not have a carrying amount for their interest in eLuxury.</w:t>
      </w:r>
    </w:p>
    <w:p>
      <w:pPr>
        <w:spacing w:after="0" w:line="133" w:lineRule="exact"/>
        <w:rPr>
          <w:sz w:val="20"/>
          <w:szCs w:val="20"/>
          <w:color w:val="auto"/>
        </w:rPr>
      </w:pPr>
    </w:p>
    <w:p>
      <w:pPr>
        <w:ind w:right="2540"/>
        <w:spacing w:after="0" w:line="464" w:lineRule="auto"/>
        <w:rPr>
          <w:sz w:val="20"/>
          <w:szCs w:val="20"/>
          <w:color w:val="auto"/>
        </w:rPr>
      </w:pPr>
      <w:r>
        <w:rPr>
          <w:rFonts w:ascii="Arial" w:cs="Arial" w:eastAsia="Arial" w:hAnsi="Arial"/>
          <w:sz w:val="18"/>
          <w:szCs w:val="18"/>
          <w:b w:val="1"/>
          <w:bCs w:val="1"/>
          <w:color w:val="auto"/>
        </w:rPr>
        <w:t xml:space="preserve">Continuing Obligations, Financial Commitments, and Continuing Relationships with the Discontinued Operation </w:t>
      </w:r>
      <w:r>
        <w:rPr>
          <w:rFonts w:ascii="Arial" w:cs="Arial" w:eastAsia="Arial" w:hAnsi="Arial"/>
          <w:sz w:val="18"/>
          <w:szCs w:val="18"/>
          <w:color w:val="auto"/>
        </w:rPr>
        <w:t>Supply and Royalty Agreements</w:t>
      </w:r>
    </w:p>
    <w:p>
      <w:pPr>
        <w:jc w:val="both"/>
        <w:spacing w:after="0" w:line="291" w:lineRule="auto"/>
        <w:rPr>
          <w:sz w:val="20"/>
          <w:szCs w:val="20"/>
          <w:color w:val="auto"/>
        </w:rPr>
      </w:pPr>
      <w:r>
        <w:rPr>
          <w:rFonts w:ascii="Arial" w:cs="Arial" w:eastAsia="Arial" w:hAnsi="Arial"/>
          <w:sz w:val="16"/>
          <w:szCs w:val="16"/>
          <w:color w:val="auto"/>
        </w:rPr>
        <w:t>In connection with the sale of our entire ownership interest in eLuxury,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fabrics products of the type we were supplying to eLuxury at the time of the sale transaction, as well as certain home accessories and soft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for which we referred to eLuxury prior to the sale transaction and new customer relationships we develop for eLuxury going forward, as well of eLuxury products generated by sales representatives that we develop or introduce to eLuxury.</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no guarantees or provisions under either the supply or royalty agreements that require eLuxury to purchase a minimum amount of our products or sell a certain amount of eLuxury products to customer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their business-business sales platform.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for the all periods presented in our Consolidated Statement of (Loss) Income. Therefore, we reported both net sales and cost of sales totaling $968,000 during fiscal 2020 and $612,000 during fiscal 2019 that were previously eliminated in consolidation prior to the disposal date of March 31, 2020.</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disposal date of March 31, 2020 and through our fiscal year end date of May 3, 2020, shipments to eLuxury totaled $7,000. Shipments for the fiscal month April 2020 were severely affected by the COVID-19 global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Financial Guarantee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Additionally, eLuxury, and its sole owner following the sale have indemnified us from any liabilities and obligations that we would be required to pay regarding this lease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May 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730"/>
              <w:spacing w:after="0"/>
              <w:rPr>
                <w:sz w:val="20"/>
                <w:szCs w:val="20"/>
                <w:color w:val="auto"/>
              </w:rPr>
            </w:pPr>
            <w:r>
              <w:rPr>
                <w:rFonts w:ascii="Arial" w:cs="Arial" w:eastAsia="Arial" w:hAnsi="Arial"/>
                <w:sz w:val="18"/>
                <w:szCs w:val="18"/>
                <w:i w:val="1"/>
                <w:iCs w:val="1"/>
                <w:color w:val="auto"/>
              </w:rPr>
              <w:t>April 28,</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2020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i w:val="1"/>
                <w:iCs w:val="1"/>
                <w:color w:val="auto"/>
              </w:rPr>
              <w:t>2019</w:t>
            </w:r>
          </w:p>
        </w:tc>
        <w:tc>
          <w:tcPr>
            <w:tcW w:w="280" w:type="dxa"/>
            <w:vAlign w:val="bottom"/>
          </w:tcPr>
          <w:p>
            <w:pPr>
              <w:spacing w:after="0"/>
              <w:rPr>
                <w:sz w:val="20"/>
                <w:szCs w:val="20"/>
                <w:color w:val="auto"/>
              </w:rPr>
            </w:pPr>
          </w:p>
        </w:tc>
      </w:tr>
      <w:tr>
        <w:trPr>
          <w:trHeight w:val="223"/>
        </w:trPr>
        <w:tc>
          <w:tcPr>
            <w:tcW w:w="7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customers</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25,649</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24,370</w:t>
            </w: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9"/>
                <w:szCs w:val="19"/>
                <w:color w:val="auto"/>
              </w:rPr>
            </w:pPr>
          </w:p>
        </w:tc>
      </w:tr>
      <w:tr>
        <w:trPr>
          <w:trHeight w:val="229"/>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allowance for cash discounts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FF0FC"/>
          </w:tcPr>
          <w:p>
            <w:pPr>
              <w:spacing w:after="0"/>
              <w:rPr>
                <w:sz w:val="19"/>
                <w:szCs w:val="19"/>
                <w:color w:val="auto"/>
              </w:rPr>
            </w:pPr>
          </w:p>
        </w:tc>
      </w:tr>
      <w:tr>
        <w:trPr>
          <w:trHeight w:val="229"/>
        </w:trPr>
        <w:tc>
          <w:tcPr>
            <w:tcW w:w="7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reserve for returns and allowances and discounts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tcPr>
          <w:p>
            <w:pPr>
              <w:spacing w:after="0"/>
              <w:rPr>
                <w:sz w:val="19"/>
                <w:szCs w:val="19"/>
                <w:color w:val="auto"/>
              </w:rPr>
            </w:pPr>
          </w:p>
        </w:tc>
      </w:tr>
      <w:tr>
        <w:trPr>
          <w:trHeight w:val="223"/>
        </w:trPr>
        <w:tc>
          <w:tcPr>
            <w:tcW w:w="7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25,093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23,751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w:t>
            </w: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April 28, 2019, accounts receivable totaled $23.8 million, of which $23.4 million and $378,000 were classified as accounts receivable and within current assets held for sale – discontinued operation, respectively, in the accompanying Consolidated Balance Sheet.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 summary of the activity in the allowance for doubtful accounts follows: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2"/>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write-offs, net of recoveries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returns and allowances and discounts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adoption of ASC Topic 606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returns and allowances and discounts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credits issued and discounts taken</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3,082</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Performance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Effective April 1, 2018, we acquired Read (see Note 2 located in the notes to the consolidated financial statement for further details), a turn-key provider of window treatments that offers sourcing of upholstery fabrics and other products, measuring, and installation services of their own products for the hospitality and commercial industries. In addition, Read supplies soft goods such as decorative top sheets, coverlets, duvet covers, bed skirts, bolsters, and pillows. Read is included in the upholstery fabrics segment.</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performance obligations include the sale of mattress fabrics, upholstery fabrics, as well as the performance of customized fabrication and installation services of our own products associated with window treatments.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disclosed in Note 3 located in the notes to the consolidated financial statements, we sold our entire ownership interest in eLuxury on March 31, 2020, and consequently our home accessories segment was eliminated at such time. Additionally, the results of operations associated with our home accessories segment were excluded from our continuing operations and are presented as a discontinued operation in our consolidated financial statements.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Prior to its disposal, our former home accessories segment reported net sales totaling $13.8 million and $16.0 million during fiscal 2020 and 2019, respectively. Revenue associated with the sales of home accessories products were recognized at the point-in-time when control was transferred to the customer.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located in the notes to the consolidated financial statements for disclosure of our accounting policies regarding our significant judgements associated with revenue recognition, determining our transaction prices, and revenue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&amp; Liabilities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For a limited time, extended terms were granted to certain customers in response to the challenging business conditions resulting from the COVID-19 global pandemic. Our customary terms, as well as the limited extended terms, are common within the industries in which we operate and are not considered financing arrangements. There were no contract assets recognized as of May 3, 2020 and April 28,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deferred revenue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i w:val="1"/>
                <w:iCs w:val="1"/>
                <w:color w:val="auto"/>
              </w:rPr>
              <w:t>Fiscal 2020</w:t>
            </w:r>
          </w:p>
        </w:tc>
        <w:tc>
          <w:tcPr>
            <w:tcW w:w="22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i w:val="1"/>
                <w:iCs w:val="1"/>
                <w:color w:val="auto"/>
              </w:rPr>
              <w:t>Fiscal 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809</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Revenue recognized on contract liabilities during the period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Payments received for services not yet rendered during the period</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2,315</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continuing operations by segment, timing of revenue recognition, and product sales versus services rendered for fiscal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Mattress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Upholstery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Fabrics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Fabrics</w:t>
            </w:r>
          </w:p>
        </w:tc>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114,154</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245,566</w:t>
            </w: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10,600</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124,754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256,166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continuing operations by segment, timing of revenue recognition, and product sales versus services rendered for fiscal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70"/>
              <w:spacing w:after="0"/>
              <w:rPr>
                <w:sz w:val="20"/>
                <w:szCs w:val="20"/>
                <w:color w:val="auto"/>
              </w:rPr>
            </w:pPr>
            <w:r>
              <w:rPr>
                <w:rFonts w:ascii="Arial" w:cs="Arial" w:eastAsia="Arial" w:hAnsi="Arial"/>
                <w:sz w:val="18"/>
                <w:szCs w:val="18"/>
                <w:color w:val="auto"/>
              </w:rPr>
              <w:t>Mattress</w:t>
            </w:r>
          </w:p>
        </w:tc>
        <w:tc>
          <w:tcPr>
            <w:tcW w:w="140" w:type="dxa"/>
            <w:vAlign w:val="bottom"/>
          </w:tcPr>
          <w:p>
            <w:pPr>
              <w:spacing w:after="0"/>
              <w:rPr>
                <w:sz w:val="18"/>
                <w:szCs w:val="18"/>
                <w:color w:val="auto"/>
              </w:rPr>
            </w:pPr>
          </w:p>
        </w:tc>
        <w:tc>
          <w:tcPr>
            <w:tcW w:w="120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Upholstery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Fabrics</w:t>
            </w: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8"/>
              </w:rPr>
              <w:t>Fabrics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FF0FC"/>
          </w:tcPr>
          <w:p>
            <w:pPr>
              <w:jc w:val="right"/>
              <w:ind w:right="69"/>
              <w:spacing w:after="0"/>
              <w:rPr>
                <w:sz w:val="20"/>
                <w:szCs w:val="20"/>
                <w:color w:val="auto"/>
              </w:rPr>
            </w:pPr>
            <w:r>
              <w:rPr>
                <w:rFonts w:ascii="Arial" w:cs="Arial" w:eastAsia="Arial" w:hAnsi="Arial"/>
                <w:sz w:val="18"/>
                <w:szCs w:val="18"/>
                <w:color w:val="auto"/>
              </w:rPr>
              <w:t>125,294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270,965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8"/>
                <w:szCs w:val="18"/>
                <w:color w:val="auto"/>
              </w:rPr>
              <w:t>10,360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4"/>
            <w:shd w:val="clear" w:color="auto" w:fill="CFF0FC"/>
          </w:tcPr>
          <w:p>
            <w:pPr>
              <w:jc w:val="right"/>
              <w:ind w:right="69"/>
              <w:spacing w:after="0"/>
              <w:rPr>
                <w:sz w:val="20"/>
                <w:szCs w:val="20"/>
                <w:color w:val="auto"/>
              </w:rPr>
            </w:pPr>
            <w:r>
              <w:rPr>
                <w:rFonts w:ascii="Arial" w:cs="Arial" w:eastAsia="Arial" w:hAnsi="Arial"/>
                <w:sz w:val="18"/>
                <w:szCs w:val="18"/>
                <w:color w:val="auto"/>
              </w:rPr>
              <w:t>135,654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281,325</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62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INVENTORIES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20" w:type="dxa"/>
            <w:vAlign w:val="bottom"/>
            <w:gridSpan w:val="2"/>
          </w:tcPr>
          <w:p>
            <w:pPr>
              <w:spacing w:after="0"/>
              <w:rPr>
                <w:sz w:val="20"/>
                <w:szCs w:val="20"/>
                <w:color w:val="auto"/>
              </w:rPr>
            </w:pPr>
            <w:r>
              <w:rPr>
                <w:rFonts w:ascii="Arial" w:cs="Arial" w:eastAsia="Arial" w:hAnsi="Arial"/>
                <w:sz w:val="18"/>
                <w:szCs w:val="18"/>
                <w:color w:val="auto"/>
              </w:rPr>
              <w:t>A summary of inventories follows: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w w:val="96"/>
              </w:rPr>
              <w:t>May 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470"/>
              <w:spacing w:after="0"/>
              <w:rPr>
                <w:sz w:val="20"/>
                <w:szCs w:val="20"/>
                <w:color w:val="auto"/>
              </w:rPr>
            </w:pPr>
            <w:r>
              <w:rPr>
                <w:rFonts w:ascii="Arial" w:cs="Arial" w:eastAsia="Arial" w:hAnsi="Arial"/>
                <w:sz w:val="18"/>
                <w:szCs w:val="18"/>
                <w:i w:val="1"/>
                <w:iCs w:val="1"/>
                <w:color w:val="auto"/>
              </w:rPr>
              <w:t>April 28,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2020</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i w:val="1"/>
                <w:iCs w:val="1"/>
                <w:color w:val="auto"/>
                <w:w w:val="99"/>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38,126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42,954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47,907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50,860</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April 28, 2019, inventory totaled $50.9 million, of which $47.6 million and $3.3 million were classified as inventory and within current assets held for sale – discontinued operation, respectively, in the accompanying Consolidated Balance Sheet.</w:t>
      </w:r>
    </w:p>
    <w:p>
      <w:pPr>
        <w:sectPr>
          <w:pgSz w:w="11900" w:h="16838" w:orient="portrait"/>
          <w:cols w:equalWidth="0" w:num="1">
            <w:col w:w="11240"/>
          </w:cols>
          <w:pgMar w:left="320" w:top="30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6" w:name="page77"/>
    <w:bookmarkEnd w:id="76"/>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0"/>
              </w:rPr>
              <w:t>depreciable lives</w:t>
            </w:r>
          </w:p>
        </w:tc>
        <w:tc>
          <w:tcPr>
            <w:tcW w:w="24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i w:val="1"/>
                <w:iCs w:val="1"/>
                <w:color w:val="auto"/>
              </w:rPr>
              <w:t>May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i w:val="1"/>
                <w:iCs w:val="1"/>
                <w:color w:val="auto"/>
              </w:rPr>
              <w:t>April 28,</w:t>
            </w:r>
          </w:p>
        </w:tc>
        <w:tc>
          <w:tcPr>
            <w:tcW w:w="200" w:type="dxa"/>
            <w:vAlign w:val="bottom"/>
          </w:tcPr>
          <w:p>
            <w:pPr>
              <w:spacing w:after="0"/>
              <w:rPr>
                <w:sz w:val="18"/>
                <w:szCs w:val="18"/>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3"/>
              </w:rPr>
              <w:t>(in years)</w:t>
            </w:r>
          </w:p>
        </w:tc>
        <w:tc>
          <w:tcPr>
            <w:tcW w:w="2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200" w:type="dxa"/>
            <w:vAlign w:val="bottom"/>
          </w:tcPr>
          <w:p>
            <w:pPr>
              <w:spacing w:after="0"/>
              <w:rPr>
                <w:sz w:val="20"/>
                <w:szCs w:val="20"/>
                <w:color w:val="auto"/>
              </w:rPr>
            </w:pP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r>
      <w:tr>
        <w:trPr>
          <w:trHeight w:val="229"/>
        </w:trPr>
        <w:tc>
          <w:tcPr>
            <w:tcW w:w="65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30,712</w:t>
            </w:r>
          </w:p>
        </w:tc>
        <w:tc>
          <w:tcPr>
            <w:tcW w:w="200" w:type="dxa"/>
            <w:vAlign w:val="bottom"/>
          </w:tcPr>
          <w:p>
            <w:pPr>
              <w:spacing w:after="0"/>
              <w:rPr>
                <w:sz w:val="19"/>
                <w:szCs w:val="19"/>
                <w:color w:val="auto"/>
              </w:rPr>
            </w:pPr>
          </w:p>
        </w:tc>
      </w:tr>
      <w:tr>
        <w:trPr>
          <w:trHeight w:val="22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19"/>
                <w:szCs w:val="19"/>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60,703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72,641</w:t>
            </w:r>
          </w:p>
        </w:tc>
        <w:tc>
          <w:tcPr>
            <w:tcW w:w="200" w:type="dxa"/>
            <w:vAlign w:val="bottom"/>
          </w:tcPr>
          <w:p>
            <w:pPr>
              <w:spacing w:after="0"/>
              <w:rPr>
                <w:sz w:val="19"/>
                <w:szCs w:val="19"/>
                <w:color w:val="auto"/>
              </w:rPr>
            </w:pPr>
          </w:p>
        </w:tc>
      </w:tr>
      <w:tr>
        <w:trPr>
          <w:trHeight w:val="22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8,819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9,834</w:t>
            </w:r>
          </w:p>
        </w:tc>
        <w:tc>
          <w:tcPr>
            <w:tcW w:w="200" w:type="dxa"/>
            <w:vAlign w:val="bottom"/>
          </w:tcPr>
          <w:p>
            <w:pPr>
              <w:spacing w:after="0"/>
              <w:rPr>
                <w:sz w:val="19"/>
                <w:szCs w:val="19"/>
                <w:color w:val="auto"/>
              </w:rPr>
            </w:pPr>
          </w:p>
        </w:tc>
      </w:tr>
      <w:tr>
        <w:trPr>
          <w:trHeight w:val="230"/>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capital projects in progress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1,958</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1,263</w:t>
            </w:r>
          </w:p>
        </w:tc>
        <w:tc>
          <w:tcPr>
            <w:tcW w:w="200" w:type="dxa"/>
            <w:vAlign w:val="bottom"/>
          </w:tcPr>
          <w:p>
            <w:pPr>
              <w:spacing w:after="0"/>
              <w:rPr>
                <w:sz w:val="19"/>
                <w:szCs w:val="19"/>
                <w:color w:val="auto"/>
              </w:rPr>
            </w:pPr>
          </w:p>
        </w:tc>
      </w:tr>
      <w:tr>
        <w:trPr>
          <w:trHeight w:val="223"/>
        </w:trPr>
        <w:tc>
          <w:tcPr>
            <w:tcW w:w="6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105,724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117,468</w:t>
            </w:r>
          </w:p>
        </w:tc>
        <w:tc>
          <w:tcPr>
            <w:tcW w:w="200" w:type="dxa"/>
            <w:vAlign w:val="bottom"/>
          </w:tcPr>
          <w:p>
            <w:pPr>
              <w:spacing w:after="0"/>
              <w:rPr>
                <w:sz w:val="19"/>
                <w:szCs w:val="19"/>
                <w:color w:val="auto"/>
              </w:rPr>
            </w:pPr>
          </w:p>
        </w:tc>
      </w:tr>
      <w:tr>
        <w:trPr>
          <w:trHeight w:val="229"/>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accumulated depreciation</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(69,079)</w:t>
            </w:r>
          </w:p>
        </w:tc>
        <w:tc>
          <w:tcPr>
            <w:tcW w:w="200" w:type="dxa"/>
            <w:vAlign w:val="bottom"/>
          </w:tcPr>
          <w:p>
            <w:pPr>
              <w:spacing w:after="0"/>
              <w:rPr>
                <w:sz w:val="19"/>
                <w:szCs w:val="19"/>
                <w:color w:val="auto"/>
              </w:rPr>
            </w:pPr>
          </w:p>
        </w:tc>
      </w:tr>
      <w:tr>
        <w:trPr>
          <w:trHeight w:val="223"/>
        </w:trPr>
        <w:tc>
          <w:tcPr>
            <w:tcW w:w="6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43,147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48,389</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(1)</w:t>
            </w: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Shorter of life of lease or useful life.</w:t>
      </w:r>
    </w:p>
    <w:p>
      <w:pPr>
        <w:spacing w:after="0" w:line="239" w:lineRule="exact"/>
        <w:rPr>
          <w:sz w:val="20"/>
          <w:szCs w:val="20"/>
          <w:color w:val="auto"/>
        </w:rPr>
      </w:pPr>
    </w:p>
    <w:p>
      <w:pPr>
        <w:ind w:left="500" w:hanging="492"/>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April 28, 2019, property, plant and equipment totaled $48.4 million, of which $46.5 million and $1.9 million were classified as property, plant, and equipment and within noncurrent assets held for sale – discontinued operation, respectively, in the accompanying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05"/>
        </w:trPr>
        <w:tc>
          <w:tcPr>
            <w:tcW w:w="7560" w:type="dxa"/>
            <w:vAlign w:val="bottom"/>
            <w:gridSpan w:val="3"/>
          </w:tcPr>
          <w:p>
            <w:pPr>
              <w:spacing w:after="0"/>
              <w:rPr>
                <w:sz w:val="20"/>
                <w:szCs w:val="20"/>
                <w:color w:val="auto"/>
              </w:rPr>
            </w:pPr>
            <w:r>
              <w:rPr>
                <w:rFonts w:ascii="Arial" w:cs="Arial" w:eastAsia="Arial" w:hAnsi="Arial"/>
                <w:sz w:val="18"/>
                <w:szCs w:val="18"/>
                <w:color w:val="auto"/>
              </w:rPr>
              <w:t>A summary of intangible assets follows: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8"/>
        </w:trPr>
        <w:tc>
          <w:tcPr>
            <w:tcW w:w="3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May 3,</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24"/>
                <w:szCs w:val="24"/>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23"/>
        </w:trPr>
        <w:tc>
          <w:tcPr>
            <w:tcW w:w="74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Tradenames</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7,232</w:t>
            </w:r>
          </w:p>
        </w:tc>
        <w:tc>
          <w:tcPr>
            <w:tcW w:w="200" w:type="dxa"/>
            <w:vAlign w:val="bottom"/>
          </w:tcPr>
          <w:p>
            <w:pPr>
              <w:spacing w:after="0"/>
              <w:rPr>
                <w:sz w:val="19"/>
                <w:szCs w:val="19"/>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color w:val="auto"/>
              </w:rPr>
              <w:t>Customer relationships, net</w:t>
            </w:r>
          </w:p>
        </w:tc>
        <w:tc>
          <w:tcPr>
            <w:tcW w:w="10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2,238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2,538</w:t>
            </w:r>
          </w:p>
        </w:tc>
        <w:tc>
          <w:tcPr>
            <w:tcW w:w="200" w:type="dxa"/>
            <w:vAlign w:val="bottom"/>
          </w:tcPr>
          <w:p>
            <w:pPr>
              <w:spacing w:after="0"/>
              <w:rPr>
                <w:sz w:val="19"/>
                <w:szCs w:val="19"/>
                <w:color w:val="auto"/>
              </w:rPr>
            </w:pPr>
          </w:p>
        </w:tc>
      </w:tr>
      <w:tr>
        <w:trPr>
          <w:trHeight w:val="229"/>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Non-compete agreement, net</w:t>
            </w:r>
          </w:p>
        </w:tc>
        <w:tc>
          <w:tcPr>
            <w:tcW w:w="10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3,380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10,448</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(1)</w:t>
            </w:r>
          </w:p>
        </w:tc>
      </w:tr>
      <w:tr>
        <w:trPr>
          <w:trHeight w:val="20"/>
        </w:trPr>
        <w:tc>
          <w:tcPr>
            <w:tcW w:w="3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April 28, 2019, intangible assets totaled $10.5 million, of which $3.9 million and $6.6 million were classified as intangible assets and within noncurrent assets held for sale – discontinued operation, respectively, in the accompanying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Tradename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6520" w:type="dxa"/>
            <w:vAlign w:val="bottom"/>
            <w:gridSpan w:val="2"/>
          </w:tcPr>
          <w:p>
            <w:pPr>
              <w:spacing w:after="0"/>
              <w:rPr>
                <w:sz w:val="20"/>
                <w:szCs w:val="20"/>
                <w:color w:val="auto"/>
              </w:rPr>
            </w:pPr>
            <w:r>
              <w:rPr>
                <w:rFonts w:ascii="Arial" w:cs="Arial" w:eastAsia="Arial" w:hAnsi="Arial"/>
                <w:sz w:val="18"/>
                <w:szCs w:val="18"/>
                <w:color w:val="auto"/>
              </w:rPr>
              <w:t>A summary of the change in the carrying amount of our tradenames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2"/>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6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2019</w:t>
            </w:r>
          </w:p>
        </w:tc>
        <w:tc>
          <w:tcPr>
            <w:tcW w:w="3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2018</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7,232</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c>
          <w:tcPr>
            <w:tcW w:w="3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acquisition of assets (note 3)</w:t>
            </w:r>
          </w:p>
        </w:tc>
        <w:tc>
          <w:tcPr>
            <w:tcW w:w="2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6,549</w:t>
            </w:r>
          </w:p>
        </w:tc>
        <w:tc>
          <w:tcPr>
            <w:tcW w:w="3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impairment - continuing operations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loss on impairment - discontinued operations (note 3)</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9"/>
                <w:szCs w:val="19"/>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tradenames were recorded at their fair market values at the effective date of their acquisitions (see Notes 2 and 3 of the consolidated financial statements for further details) and were based on the relief from royalty method. As of the respective acquisition dates, our tradenames were determined to have an indefinite useful life and therefore, were not being amortized.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Operations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28, 2019, the tradename associated with our continuing operations totaled $683,000 and was associated with Read, a separate reporting unit within the upholstery fabrics segment.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both"/>
        <w:spacing w:after="0" w:line="270"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we are required to assess our tradenames for impairment annually or between annual tests if we believe indicators of impairment exist. Accordingly, we performed our annual assessment of Read’s tradename as of May 3, 2020. First, we performed a qualitative assessment in which we concluded that it was more-likely-than-not that the fair value of Read’s tradename was less than its carrying amount.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more-likely-than-not that the fair value of Read’s tradename was less than its carrying amount, we performed a quantitative impairment test. Our quantitative impairment test involved determining the fair value of Read’s tradename utilizing the relief from royalty method and comparing the respective fair value of Read’s tradename with its carrying amount. Consequently, based on our quantitative impairment test, we recorded an asset impairment charge totaling $143,000 in the fiscal 2020 Consolidated Statement of Net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 – Home Accessories Segment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28, 2019, the tradename associated with our discontinued operation totaled $6.6 million. During the fiscal 2020, we recorded asset impairment charges totaling $6.6 million, of which $2.4 million and $4.2 million, were recorded in the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quarters, respectively.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more-likely-than-not that the fair value of the tradename associated with our former home accessories segment was less than its carrying amount, we performed a quantitative impairment test. Our quantitative impairment test involved determining the fair value of the tradename associated with our former home accessories segment utilizing a relief from royalty method and comparing the respective fair value with its carrying amount. Consequently, based on our quantitative impairment test, we recorded an asset impairment charge totaling $2.4 million that is presented within the discontinued operation section of our fiscal 2020 Consolidated Statement of Net Loss.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fiscal 2020, management made a strategic decision to sell our entire ownership percentage in eLuxury to focus on our core products of mattress and upholstery fabrics, which we believe will increase our liquidity and assist with our comprehensive response to the COVID-19 global pandemic. As a result, we recorded an additional asset impairment charge of $4.2 million based on the expected selling price of our entire ownership in eLuxury in comparison to its carrying amount. As disclosed in Note 3 located in the notes to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The $4.2 million asset impairment charge recorded during the fourth quarter is presented within the discontinued operation section of our fiscal 2020 Consolidated Statement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Customer Relationships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6520" w:type="dxa"/>
            <w:vAlign w:val="bottom"/>
          </w:tcPr>
          <w:p>
            <w:pPr>
              <w:spacing w:after="0"/>
              <w:rPr>
                <w:sz w:val="20"/>
                <w:szCs w:val="20"/>
                <w:color w:val="auto"/>
              </w:rPr>
            </w:pPr>
            <w:r>
              <w:rPr>
                <w:rFonts w:ascii="Arial" w:cs="Arial" w:eastAsia="Arial" w:hAnsi="Arial"/>
                <w:sz w:val="18"/>
                <w:szCs w:val="18"/>
                <w:color w:val="auto"/>
                <w:w w:val="94"/>
              </w:rPr>
              <w:t>A summary of the change in the carrying amount of our customer relationships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2,839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acquisition of assets (note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2,247</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loss on impairment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2,839</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our asset purchase agreement with Read (see note 2 of the consolidated financial statements) on April 1, 2018, we purchased certain customer relationships. We recorded these customer relationships at fair market value totaling $2.2 million based on a multi-period excess earnings valuation model. These customer relationships will be amortized on a straight-line basis over their nine-year useful life.</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at May 3, 2020, we had customer relationships from a prior acquisition associated with our mattress fabrics segment with a carrying amount totaling $510,000. These customer relationships are being amortized on a straight-line basis over their seventeen-year useful life.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carrying amount of our customer relationships was $3.1 million at May 3, 2020 and April 28, 2019. Accumulated amortization for these customer relationships was $877,000 and $577,000 at May 3, 2020 and April 28, 2019,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fiscal years and thereafter follows: FY 2021 - $301,000; FY 2022 - $301,000; FY 2023 - $301,000; FY 2024 - $301,000; FY 2025 - $301,000; and Thereafter - $733,000.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weighted average amortization period for our customer relationships is 7.6 years as of May 3,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Non-Compete Agreement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2"/>
        </w:trPr>
        <w:tc>
          <w:tcPr>
            <w:tcW w:w="6520" w:type="dxa"/>
            <w:vAlign w:val="bottom"/>
          </w:tcPr>
          <w:p>
            <w:pPr>
              <w:spacing w:after="0"/>
              <w:rPr>
                <w:sz w:val="20"/>
                <w:szCs w:val="20"/>
                <w:color w:val="auto"/>
              </w:rPr>
            </w:pPr>
            <w:r>
              <w:rPr>
                <w:rFonts w:ascii="Arial" w:cs="Arial" w:eastAsia="Arial" w:hAnsi="Arial"/>
                <w:sz w:val="18"/>
                <w:szCs w:val="18"/>
                <w:color w:val="auto"/>
                <w:w w:val="92"/>
              </w:rPr>
              <w:t>A summary of the change in the carrying amount of our non-compete agreement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828</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on impairment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non-compete agreement from a prior acquisition associated with our mattress fabrics segment that is being amortized on a straight-line basis over its fifteen-year useful life.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gross carrying amount of this non-compete agreement was $2.0 million at May 3, 2020 and April 28, 2019. Accumulated amortization for this non-compete agreement was $1.4 million and $1.4 million at May 3, 2020 and April 28, 2019,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years and thereafter follows: FY 2021 - $75,000; FY 2022 - $75,000; FY 2023 - $75,000; FY 2024 - $75,000; FY 2025 - $75,000, and Thereafter - $227,000.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the non-compete agreement is 8.0 years as of May 3, 2020.</w:t>
      </w:r>
    </w:p>
    <w:p>
      <w:pPr>
        <w:spacing w:after="0" w:line="181"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the carrying amount of goodwill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i w:val="1"/>
                <w:iCs w:val="1"/>
                <w:color w:val="auto"/>
              </w:rPr>
              <w:t>2019</w:t>
            </w:r>
          </w:p>
        </w:tc>
        <w:tc>
          <w:tcPr>
            <w:tcW w:w="3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2018</w:t>
            </w:r>
          </w:p>
        </w:tc>
      </w:tr>
      <w:tr>
        <w:trPr>
          <w:trHeight w:val="223"/>
        </w:trPr>
        <w:tc>
          <w:tcPr>
            <w:tcW w:w="6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27,222</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13,569</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11,462</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acquisition of assets (notes 2 and 3)</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13,653</w:t>
            </w:r>
          </w:p>
        </w:tc>
        <w:tc>
          <w:tcPr>
            <w:tcW w:w="3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2,107</w:t>
            </w:r>
          </w:p>
        </w:tc>
      </w:tr>
      <w:tr>
        <w:trPr>
          <w:trHeight w:val="230"/>
        </w:trPr>
        <w:tc>
          <w:tcPr>
            <w:tcW w:w="6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impairment - continuing operations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impairment - discontinued operation (note 3)</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27,222</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13,569</w:t>
            </w: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right="2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April 28, 2019, goodwill totaled $27.2 million, of which $13.6 million was classified as goodwill and $13.6 million was classified within noncurrent assets held for sale – discontinued operation, respectively, in the accompanying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28, 2019, goodwill associated with our continuing operations totaled $13.6 million, of which $11.5 million was associated with our mattress fabrics reporting unit and $2.1 million was associated with Read, a separate reporting unit within the upholstery fabrics segment.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we are required to assess goodwill for impairment annually or between annual tests if we believe indicators of impairment exist. Accordingly, we performed our annual assessment of goodwill as of May 3, 2020. First, we performed a qualitative assessment in which we concluded that it was more-likely-than-not that the fair value of both our mattress fabrics and Read reporting units were less than their carrying amounts, including goodwill.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more-likely-than-not that the fair value for both our mattress fabrics and Read reporting units were less than their carrying amounts, we conducted a quantitative goodwill impairment test. Our quantitative goodwill impairment test involved determining the fair value of each of our mattress fabrics and Read reporting units utilizing a discounted cash flows method and comparing the respective fair value of our mattress fabrics and Read reporting units with their respective carrying amounts, including goodwill. Consequently, based on our quantitative goodwill impairment test, we recorded an asset impairment charge totaling $13.6 million in asset impairments in the fiscal 2020 Consolidated Statement of Net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28, 2019, goodwill associated with our discontinued operation totaled $13.6 million. During fiscal 2020, we recorded asset impairment charges totaling $13.6 million, of which $11.2 million and $2.4 million, were recorded in the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quarters, respectively.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more-likely-than-not that the fair value of our former home accessories reporting unit was less than its carrying amount, we performed a quantitative goodwill impairment test. Our quantitative goodwill impairment test involved determining the fair value of our former home accessories segment utilizing a discounted cash flows method and comparing the respective fair value of our former home accessories reporting unit with its respective carrying amount, including goodwill. Consequently, based on our quantitative goodwill impairment test, we recorded an asset impairment charge totaling $11.2 million that is presented within the discontinued operation section of our fiscal 2020 Consolidated Statement of Net Loss.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fiscal 2020, management made a strategic decision to sell our entire ownership percentage in eLuxury to focus on our core products of mattress and upholstery fabrics, which we believe will increase our liquidity and assist with our comprehensive response to the COVID-19 global pandemic. As a result, we recorded an additional asset impairment charge of $2.4 million based on the expected selling price of our entire ownership in eLuxury in comparison to its carrying amount, including goodwill. As disclosed in Note 3 of the notes to the consolidated financial statements, effective March 31, 2020, we sold our entire ownership interest in eLuxury to its noncontrolling interest resulting in the elimination of the home accessories segment, at such time. Based on the terms of the sale agreement, we did not receive any consideration for eLuxury’s net assets that were associated with the sale of our entire ownership interest in eLuxury. The $2.4 million asset impairment charge recorded during the fourth quarter is presented within the discontinued operation section of our fiscal 2020 Consolidated Statement of Net Loss.</w:t>
      </w:r>
    </w:p>
    <w:p>
      <w:pPr>
        <w:spacing w:after="0" w:line="188"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JOINT VENTURE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Culp International Holdings, Ltd. (Culp International), a wholly-owned subsidiary of the company, entered into a joint venture agreement pursuant to which Culp International owns fifty percent of CLASS International Holdings, Ltd (CLIH). CLIH produces cut and sewn mattress covers in an 80,000 square foot facility located in a modern industrial park on the northeastern border of Haiti, which borders the Dominican Republic. CLIH commenced production in the second quarter of fiscal 2018 and complements our mattress fabric operations with a reactive platform that enhances our ability to meet customer demand while adding a lower cost operation to our platform.</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CLIH entered into an agreement to construct an additional plant facility totaling 40,000 square feet, which is expected to be completed in the second quarter of fiscal 2021. This new plant facility will be near our existing operations and will provide additional capacity that will enhance our ability to produce sewn covers. This agreement requires payments totaling $1.2 million, of which $600,000 was paid in February 2020, $180,000 in May 2020, with a remaining balance of $420,000 to be paid upon completion.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CLIH incurred a net loss of $250,000, $227,000, and $532,000 in fiscal 2020, 2019, and 2018, respectively. CLIH’s net loss during fiscal 2018 included initial start-up operating expenses. Culp International’s equity interest in these net losses were $125,000, $114,000, and $266,000 in fiscal 2020,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of assets, liabilities and members’ equity of our equity method investment in CLIH:</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i w:val="1"/>
                <w:iCs w:val="1"/>
                <w:color w:val="auto"/>
              </w:rPr>
              <w:t>May 3,</w:t>
            </w:r>
          </w:p>
        </w:tc>
        <w:tc>
          <w:tcPr>
            <w:tcW w:w="28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April 28,</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i w:val="1"/>
                <w:iCs w:val="1"/>
                <w:color w:val="auto"/>
              </w:rPr>
              <w:t>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3,338</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3,126</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111</w:t>
            </w:r>
          </w:p>
        </w:tc>
      </w:tr>
      <w:tr>
        <w:trPr>
          <w:trHeight w:val="230"/>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3,205</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3,015</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3, 2020 and April 28, 2019, our investment in CLIH totaled $1.6 million and $1.5 million, respectively, which represents the company’s fifty percent ownership in CLIH.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11.   ACCRUED EXPENSES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8"/>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May 3,</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i w:val="1"/>
                <w:iCs w:val="1"/>
                <w:color w:val="auto"/>
              </w:rPr>
              <w:t>April 28,</w:t>
            </w:r>
          </w:p>
        </w:tc>
      </w:tr>
      <w:tr>
        <w:trPr>
          <w:trHeight w:val="230"/>
        </w:trPr>
        <w:tc>
          <w:tcPr>
            <w:tcW w:w="75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i w:val="1"/>
                <w:iCs w:val="1"/>
                <w:color w:val="auto"/>
              </w:rPr>
              <w:t>2020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compensation, commissions and related benefits</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3,038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4,229</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2,807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5,292</w:t>
            </w:r>
          </w:p>
        </w:tc>
      </w:tr>
      <w:tr>
        <w:trPr>
          <w:trHeight w:val="223"/>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5,854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9,525</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May 3, 2020, accrued expenses totaled $5.9 million, of which $5.7 million and $167,000 were classified as current accrued expenses and long-term accrued expenses, respectively, in the accompanying Consolidated Balance Sheets. At April 28, 2019, accrued expenses totaled $9.5 million, of which $8.6 million, $333,000, and $560,000 were classified as current accrued expenses, long-term accrued expenses, and within current liabilities held for sale – discontinued operation, respectively, in the accompanying Consolidated Balance Sheets.</w:t>
      </w:r>
    </w:p>
    <w:p>
      <w:pPr>
        <w:spacing w:after="0" w:line="14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2019 UPHOLSTERY FABRICS RESTRUCTURING PLAN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12, 2018, our board of directors announced the closure of our upholstery fabrics manufacturing facility located in Anderson, South Carolina. This closure was completed during the second quarter of fiscal 2019 and was due to a continued decline in demand for the products manufactured at this facility, reflecting a change in consumer style preferences.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restructuring credit and related charges that were associated with this restructuring plan described above: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Inventory markdowns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1,564</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Other operating costs associated with a closed facility</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824</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Employee termination benefits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661</w:t>
            </w: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property, plant, and equipment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Restructuring credit and restructuring related charges (1) (2)</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1,563</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$70,000 credit was recorded to restructuring credit in the accompanying fiscal 2020 Consolidated Statement of Net Loss.</w:t>
      </w:r>
    </w:p>
    <w:p>
      <w:pPr>
        <w:spacing w:after="0" w:line="117"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 the total net charge, a $2.3 million charge, a charge of $40,000, and a credit of $825,000 were recorded in cost of sales, selling, general and administrative expenses, and restructuring credit, respectively, in the accompanying fiscal 2019 Consolidated Statement of Net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in the restructuring accrual: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2019</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Accrual established in fiscal 2019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451</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w:t>
            </w: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124</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restructuring accrual pertains to employee termination benefits that were associated with this restructuring plan described above.</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 AND PAYCHECK PROTECTION PLAN LOAN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April 28, 2019, our Credit Agreement with Wells Fargo Bank, N.A. (“Wells Fargo”) provided for a revolving loan commitment of $25 million, was set to expire on August 15, 2020, and allows us to issue letters of credit not to exceed $1 million.</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borrowings are secured by a pledge of 65% of the common stock of Culp International Holdings, Ltd. (our subsidiary located in the Cayman Islands), as required by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Interest was charged at a rate (applicable interest rate of 1.75% and 3.93% at May 3, 2020 and April 28, 2019, respectively) as a variable spread over LIBOR based on our ratio of debt to EBITDA.</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3, 2020 and April 28, 2019, there were $250,000 in outstanding letters of credit (all of which related to workers compensation) provided by the Credit Agreement. As a result, we have $750,000 remaining for the issuance of additional letters of credit.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COVID-19 global pandemic and the uncertainty relating to the unknown duration and overall effect on the company, we proactively took a precautionary measure and borrowed the maximum amount available from our line of credit during the fourth quarter of fiscal 2020. As of May 3, 2020, there were outstanding borrowings of $29.8 million under the Credit Agreement, which have since been repaid during June 2020. There were no borrowings outstanding under the Credit Agreement at April 28,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Sixth Amendment to the Credit Agreement</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March 27, 2020, we entered into a Sixth Amendment to our Credit Agreement which includes provisions that (i) increased the amount available from our line of credit from $25 million to $30 million; (ii) extended the expiration date to August 15, 2022; (iii) reduced the amount of the Unencumbered Liquid Assets maintenance covenant from $15 million to $10 million; (iv) increased the maximum company debt to EBITDA ratio to 3.00; (v) amended the pricing matrix that provides interest payable on obligations under the agreement as a variable spread over LIBOR, based on the company’s ratio of debt to EBITDA, to add a fourth price level for a ratio of debt to EBITDA that is greater than or equal to 2.25 to 1.00 but less than 3.00 to 1.00; (vi) added a new interest coverage covenant to establish a minimum EBITDA to interest expense ratio of not less than 3.00 to 1.00.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Seventh Amendment to the Credit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June 30, 2020, we entered into a Seventh Amendment to our Credit Agreement which includes provisions that (i) modify the method for calculating the company’s debt to EBITDA covenant under the Credit Agreement solely during the temporary period beginning on the date of the Seventh Amendment and ending on the Rate Determination Date (as defined in the Credit Agreement), next following the end of the company’s fiscal 2021 fourth quarter (such temporary period, the “Modification Period,”), and (ii) amend the pricing matrix used to determine the interest rate payable on loans made under the Credit Agreement solely during the Modification Period.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the Seventh Amendment provides that during Modification Period, the company’s ratio of debt to EBITDA shall be determined by excluding the fourth quarter of fiscal 2020 from the calculation thereof, such that the ratio shall be determined using the four most recent quarterly periods other than (i.e. excluding) the fourth quarter of fiscal 2020, rather than calculating on a rolling four-quarter basis. It further provides that during the Modification Period, the Applicable Margin (as defined in the Credit Agreement) set forth the pricing matrix is increased to 1.6% for price level I, 2.05% for price level II, 2.5% for price level III, and 3.00% for price level IV.</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Seventh Amendment (i) changes the capital expenditure covenant by reducing permitted annual capital expenditures to $10 million during fiscal year 2021, (ii) changes the liens and other indebtedness covenant to reduce the permitted amount of allowable liens and other indebtedness to 5% of consolidated net worth, and (iii) adds a new covenant that prohibits the company, solely during the Modification Period, from paying dividends or repurchasing stock in excess of $10 million in the aggregate during the Modification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China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unsecured credit agreement associated with our operations in China that provides for a line of credit up to 40 million RMB ($5.7 million USD at May 3, 2020). Interest is charged at a rate (applicable interest rate of 2.41% at May 3, 2020) determined by the Chinese government and is set to expire on December 4, 2020. As of May 3, 2020, there were outstanding borrowings totaling $1.0 million which have since been repaid during June 2020. There were no outstanding borrowings as of April 28,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Business Administration - Paycheck Protection Program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15, 2020, we received a loan of $7.6 million (the “Loan”) pursuant to the U.S. Small Business Administration (the “SBA”) Paycheck Protection Program (the “PPP”) of the Coronavirus Aid, Relief and Economic Security Act of 2020 (the “CARES Act”). We planned to use the proceeds from the Loan for covered payroll costs, rent, and utilities in accordance with the applicable terms and conditions of the CARES Act. We believed the Loan would enable us to retain more of our employees, maintain payroll and benefits, and make lease and utility payments while producing and supplying critical products for essential businesses during the COVID-19 global pandemic.</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our application and receipt of the Loan, the SBA and U.S. Treasury Department issued new guidance regarding eligibility requirements under the PPP, raising questions regarding the eligibility of publicly traded companies to receive loans under the program. As a result, out of an abundance of caution, we voluntarily repaid the Loan in full on May 13,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loan agreements require, among other things, that we maintain compliance with certain financial covenants. As of May 3, 2020, we were in compliance with our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paid during fiscal years 2020, 2019, and 2018 were $124,000, $54,000, and $181,000,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w w:val="87"/>
              </w:rPr>
              <w:t>14.</w:t>
            </w:r>
          </w:p>
        </w:tc>
        <w:tc>
          <w:tcPr>
            <w:tcW w:w="6280" w:type="dxa"/>
            <w:vAlign w:val="bottom"/>
          </w:tcPr>
          <w:p>
            <w:pPr>
              <w:ind w:left="26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Income Tax Expense and Effective Income Tax Rate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20" w:type="dxa"/>
            <w:vAlign w:val="bottom"/>
            <w:gridSpan w:val="2"/>
          </w:tcPr>
          <w:p>
            <w:pPr>
              <w:spacing w:after="0"/>
              <w:rPr>
                <w:sz w:val="20"/>
                <w:szCs w:val="20"/>
                <w:color w:val="auto"/>
              </w:rPr>
            </w:pPr>
            <w:r>
              <w:rPr>
                <w:rFonts w:ascii="Arial" w:cs="Arial" w:eastAsia="Arial" w:hAnsi="Arial"/>
                <w:sz w:val="18"/>
                <w:szCs w:val="18"/>
                <w:color w:val="auto"/>
              </w:rPr>
              <w:t>Total income tax expense was allocated as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6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3,286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6,424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w w:val="99"/>
              </w:rPr>
              <w:t>Income tax expense attributable to income from continuing operations consists of:</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federal</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2017 Tax Cuts and Jobs Act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uncertain income tax positions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4,980</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4,397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2017 Tax Cuts and Jobs Act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undistributed earnings – foreign subsidiaries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Federal &amp; State carryforwards and credits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uncertain income tax positions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FF0FC"/>
            </w:tcBorders>
          </w:tcPr>
          <w:p>
            <w:pPr>
              <w:spacing w:after="0"/>
              <w:rPr>
                <w:sz w:val="19"/>
                <w:szCs w:val="19"/>
                <w:color w:val="auto"/>
              </w:rPr>
            </w:pPr>
          </w:p>
        </w:tc>
        <w:tc>
          <w:tcPr>
            <w:tcW w:w="62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valuation allowance (1)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40" w:type="dxa"/>
            <w:vAlign w:val="bottom"/>
            <w:shd w:val="clear" w:color="auto" w:fill="CFF0FC"/>
          </w:tcPr>
          <w:p>
            <w:pPr>
              <w:spacing w:after="0"/>
              <w:rPr>
                <w:sz w:val="19"/>
                <w:szCs w:val="19"/>
                <w:color w:val="auto"/>
              </w:rPr>
            </w:pPr>
          </w:p>
        </w:tc>
        <w:tc>
          <w:tcPr>
            <w:tcW w:w="6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6,537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hanging="492"/>
        <w:spacing w:after="0" w:line="275"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income tax benefit of $6,903 recorded during fiscal 2018 included a charge of $4,550 for the establishment of a valuation allowance against U.S. foreign tax credits that were not more-likely-than not to be realized as a result of the 2017 Tax Cuts and Jobs Act. During fiscal 2019, we recorded an income tax charge of $4.5 million for the write-off of certain U.S. foreign tax credits, and in turn, we recorded an income tax benefit of $4.5 million for the reduction in our valuation allowance. The $4.5 million income charge for the write-off of certain U.S. foreign tax credits is included in the undistributed earnings – foreign subsidiaries income tax expense amount of $3,735.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(Loss) income before income taxes from continuing operations related to our foreign and U.S. operations consists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China</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8,316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9,899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11,036</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5,985</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Cayman Islands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Total Foreign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6,919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15,667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17,360</w:t>
            </w: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9,523</w:t>
            </w:r>
          </w:p>
        </w:tc>
      </w:tr>
      <w:tr>
        <w:trPr>
          <w:trHeight w:val="223"/>
        </w:trPr>
        <w:tc>
          <w:tcPr>
            <w:tcW w:w="6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12,722</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26,883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The following schedule summarizes the principal differences between the income tax expense from continuing operations at the federal income tax rate and the effective income tax rate from continuing operations reflected in the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i w:val="1"/>
                <w:iCs w:val="1"/>
                <w:color w:val="auto"/>
              </w:rPr>
              <w:t>2018</w:t>
            </w: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rate</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global intangible low taxed income tax (GILTI)</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income tax effects of impairment of nondeductible goodwill</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uncertain income tax positions</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income tax effects of Chinese foreign exchange gains and losses</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write-off of U.S. foreign income tax credits</w:t>
            </w: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valuation allowance</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of the 2017 Tax Cuts and Jobs Act</w:t>
            </w: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r>
      <w:tr>
        <w:trPr>
          <w:trHeight w:val="223"/>
        </w:trPr>
        <w:tc>
          <w:tcPr>
            <w:tcW w:w="64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i w:val="1"/>
                <w:iCs w:val="1"/>
                <w:color w:val="auto"/>
              </w:rPr>
              <w:t>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2019</w:t>
            </w: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282</w:t>
            </w: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1,591</w:t>
            </w: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1,973</w:t>
            </w: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liabilities and other</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284</w:t>
            </w: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intangible assets and goodwill</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193</w:t>
            </w: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income tax credits - U.S.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1,252</w:t>
            </w: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loss carryforwards – U.S.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2,360</w:t>
            </w: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allowances</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756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7,187</w:t>
            </w:r>
          </w:p>
        </w:tc>
      </w:tr>
      <w:tr>
        <w:trPr>
          <w:trHeight w:val="237"/>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undistributed earnings on foreign subsidiaries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(3,523)</w:t>
            </w: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unrecognized tax benefits – U.S.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property, plant and equipment (2)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(4,710)</w:t>
            </w: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r>
      <w:tr>
        <w:trPr>
          <w:trHeight w:val="223"/>
        </w:trPr>
        <w:tc>
          <w:tcPr>
            <w:tcW w:w="7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Pertains to the company’s operations located in China.</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Pertains to the company’s operations located in the U.S. and Canada.</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May 3, 2020, our U.S. federal net operating loss carryforwards totaled $4.4 million with related future income tax benefits of $925,000 In accordance with the 2017 Tax Cuts and Jobs Act (“TCJA”), U.S. federal net operating loss carryforwards generated in fiscal 2019 and after do not expire. All our U.S. federal net operating loss carryforwards were generated prior to fiscal 2019 and have expiration dates ranging from fiscal years 2027 through 2036. At May 3, 2020, our U.S. state net operating loss carryforwards totaled $51.9 million with related future income tax benefits of $931,000. Our U.S. state net operating loss carryforwards totaling $51.9 million have expiration dates ranging from fiscal years 2021 through 2040. Our U.S. foreign income tax credits of $783,000 will expire 10 years from when the associated earnings and profits from our foreign subsidiaries are repatriated to the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2017 Tax Cuts and Jobs Act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22, 2017 (the “Enactment Date”), TCJA was signed into law. TCJA contained significant changes to corporate taxation, including (i) the reduction of the corporate income tax rate to 21%, (ii) the acceleration of expensing certain business assets, (iii) a one-time mandatory repatriation tax (the “Transition Tax”) related to the transition of U.S. international tax from a worldwide tax system to a territorial tax system, (iv) limitations on the use of foreign tax credits to reduce the U.S. income tax liability, (v) the repeal of the domestic production activities deduction, (vi) additional limitations on the deductibility of interest expense and executive compensation, and (vii) the creation of the Global Intangible Low Taxed Income (“GILTI”) tax.</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income tax rate reduction was effective as of January 1, 2018. Since we have a fiscal year rather than a calendar year, we were subject to IRS rules relating to transitional income tax rates for fiscal 2018. As a result, our fiscal 2018 U.S. federal income tax rate was a blended income tax rate of 30.4% compared with a fully reduced U.S. federal income tax rate of 21.0% during fiscal 2019 and 2020.</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re-measurement of our U.S. deferred income tax balances to the new U.S. federal corporate income tax rate and the determination of the income tax effects of the Transition Tax on our accumulated earnings and profits associated with our foreign subsidiaries were components of the TCJA that significantly affected our financial statements during fiscal 2019 and 2018.</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determine the effects of the new U.S. federal corporate income tax rate on our U.S. deferred income tax balances during fiscal 2019 and 2018, ASC Topic 740 “Income Taxes” (ASC Topic 740), requires the re-measurement of our U.S. deferred income tax balances as of the Enactment Date of TCJA, based on income tax rates at which our U.S. deferred income tax balances are expected to reverse in the future. As a result, we recorded an income tax charge of $2.2 million for the re-measurement of our U.S. net deferred income taxes during fiscal 2018. During the third quarter of fiscal 2019, we completed our assessment of the remeasurement of our U.S. deferred income tax balances and recorded an income tax benefit of $268,000.</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Transition Tax was based on our total post-1986 foreign earnings and profits (“E&amp;P”) that were previously deferred from U.S. income tax and applicable income tax rates associated with E&amp;P held in cash and other specified assets (the “aggregate foreign cash position”). Also, E&amp;P was not permanently reinvested prior to the TCJA. As a result, we recorded an income tax benefit of $4.3 million for the income tax effects of the Transition Tax during fiscal 2018. This $4.3 million income tax benefit related to an income tax benefit of $18.0 million for the release of deferred income tax liabilities related to E&amp;P, an income tax benefit of $11.7 million related to the reduction in our U.S. Federal income tax rate pursuant to the TCJA on the effective settlement of an IRS exam related to E&amp;P, partially offset by an income tax charge for the write-off and the establishment of a valuation allowance against our unused foreign tax credits totaling $25.4 million. During the third quarter of fiscal 2019, we completed our assessment of the income tax effects of the Transition Tax and recorded an income tax benefit of $282,000. Additionally, we elected to pay the Transition Tax over a period of eight years in accordance with the TCJA.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GILTI</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above components of the TJCA, GILTI was effective during fiscal 2019. Our policy to account for GILTI is to expense this tax in the period incurred. As a result, we recorded income tax charges of $1.9 million and $2.1 million during fiscal 2020 and 2019, respectively.</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14, 2019, the U.S. Treasury released proposed regulations regarding the GILTI provisions of the U.S. income tax code. The proposed regulations contain a provision for an exclusion from treatment as GILTI if taxable income amounts are subject to a high rate of foreign income tax, as defined in the proposed regulations. If an entity were to qualify for the high-income tax exception, the high-taxed income earned that would be subject to GILTI and U.S. income tax may be excluded from U.S. income tax. However, since these regulations are in proposed form, an entity is not allowed to record an income tax benefit under these provisions until these regulations have been finalized.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 likely than not” standard with significant weight being given to evidence that can be objectively verified. Since the company operates in multiple jurisdictions, we assess the need for a valuation allowance on a jurisdiction-by-jurisdiction basis, taking into account the effects of local tax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Based on our assessments at May 3, 2020 and April 29, 2019, valuation allowances against our deferred income taxes pertain to the following jurisdictions: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8"/>
                <w:szCs w:val="18"/>
                <w:i w:val="1"/>
                <w:iCs w:val="1"/>
                <w:color w:val="auto"/>
              </w:rPr>
              <w:t>May 3,</w:t>
            </w: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April 28,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U.S. capital loss carryforward</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1"/>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U.S. state loss carryforwards and credits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U.S. foreign income tax credits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w w:val="91"/>
              </w:rPr>
              <w:t>A summary of the change in the valuation allowances against our deferred income taxes follows:</w:t>
            </w: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2020</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Write-off of deferred income taxes (1)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(4,544)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establishment of valuation allowance (1) (2)</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2,281</w:t>
            </w:r>
          </w:p>
        </w:tc>
        <w:tc>
          <w:tcPr>
            <w:tcW w:w="1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estimate (3)</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3,148</w:t>
            </w:r>
          </w:p>
        </w:tc>
        <w:tc>
          <w:tcPr>
            <w:tcW w:w="1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hanging="492"/>
        <w:spacing w:after="0" w:line="259"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fiscal 2018, we recorded an income tax charge of $4.6 million for the establishment of a valuation allowance associated with U.S. foreign tax credits that we believed were not more-likely-than not to be realized based on the provisions outlined in TCJA. During fiscal 2019, we recorded an income tax charge of $4.5 million for the write-off of certain U.S. foreign tax credits, and in turn, we recorded an income tax benefit of $4.5 million for the reduction in our valuation allowance.</w:t>
      </w:r>
    </w:p>
    <w:p>
      <w:pPr>
        <w:spacing w:after="0" w:line="186"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sale of a discontinued operation that was treated as a partnership for income tax purposes, we generated a capital loss carryforward totaling $10.9 million with a related future income tax benefit of $2.3 million. Since capital losses can only be offset by capital gains, we established a full valuation allowance on this capital loss carryforward as we do not have capital assets that would generate capital gains that would utilize this carryforward.</w:t>
      </w:r>
    </w:p>
    <w:p>
      <w:pPr>
        <w:spacing w:after="0" w:line="15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pertain to a change in estimate of the recoverability of certain U.S. state loss carryforward balances as of the end of the respective prior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ASC Topic 740, we assess whether the undistributed earnings from our foreign subsidiaries will be reinvested indefinitely or eventually distributed to our U.S. parent company. At May 3, 2020, we assessed the liquidity requirements of our U.S. parent company and determined that our undistributed earnings from our foreign subsidiaries would not be reinvested indefinitely and would be eventually distributed to our U.S. parent company. The conclusion reached from our assessment has been consistent with pior years. ASC Topic 740 requires that a deferred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2018, TCJA imposed a Transition Tax on our undistributed E&amp;P associated with our foreign subsidiaries. TCJA required us to determine E&amp;P as of November 2, 2017 and December 31, 2017 (the “Measurement Dates”), in which the greater E&amp;P amount of the Measurement Dates is subject to the Transition Tax. As a result, we had E&amp;P prior to participation exemption totaling $157.1 million subject to the Transition Tax and $43.2 million of foreign tax credits that could be used to reduce the Transition Tax subject to certain limitations as defined in TCJA.</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2019 and beyond, TCJA allows a U.S. corporation a 100% dividend received deduction for E&amp;P received from a 10% owned foreign corporation. Therefore, a deferred tax liability will only be required for withholding taxes that are incurred by our foreign subsidiaries at the time E&amp;P is distributed. As a result, we recorded a deferred tax liability for withholding taxes on undistributed E&amp;P from our foreign subsidiaries totaling $3.4 million and $3.5 million at May 3, 2020 and April 28,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Uncertainty in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in the company’s unrecognized income tax benefit: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2020</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2019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844</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12,245</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increases from prior period tax positions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decreases from prior period tax positions (1)</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(11,751)</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increases from current period tax positions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decreases from current period tax positions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1,269</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844</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$11.8 million reduction in our unrecognized income tax benefits during fiscal 2018 is mostly associated with the reduction in our U.S. Federal income tax rate pursuant to the TCJA on the effective settlement of an IRS exam.</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 2020, we had $1.3 million of total gross unrecognized tax benefits, of which $1.3 million would favorably affect the income tax rate in future periods. At April 28, 2019, we had $903,000 of total gross unrecognized tax benefits, of which $523,000 would favorably affect the income tax rate in future periods.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May 3, 2020, we had $1.3 million of total gross unrecognized tax benefits, of which $1.3 million were classified as income taxes payable-long-term in the accompanying Consolidated Balance Sheets. At April 28, 2019, we had $903,000 of total gross unrecognized tax benefits, of which $380,000 and $523,000 were classified as non-current deferred income taxes and income taxes payable- long-term, respectively, in the accompanying Consolidated Balance Sheets.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to classify interest and penalties as part of income tax expense. At May 3, 2020, and April 28, 2019, the gross amount of interest and penalties due to unrecognized tax benefits was $103,000 and $97,000,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gross unrecognized income tax benefit of $1.3 million at May 3, 2020, relates to income tax positions for which significant change is currently not expected within the next year. This amount primarily relates to double taxation under applicable income tax treaties with foreign tax jurisdictions. United States federal income tax returns filed by us remain subject to examination for income tax years 2017 and subsequent. Canadian federal income tax returns filed by us remain subject to examination for income tax years 2016 and subsequent. Canadian provincial (Quebec) income tax returns filed by us remain subject to examination for income tax years 2017 and subsequent. Income tax returns associated with our operations located in China are subject to examination for income tax year 2015 and subsequent.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Exams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are not under examination for any open income tax years in any of our income tax paying jurisdictions located in the United States, China, and Canada.</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third quarter of fiscal 2017, Revenue Quebec commenced an examination of our Canadian provincial (Quebec) income tax returns for fiscal years 2013 through 2015. This examination was completed during the fourth quarter of fiscal 2018 with final adjustments totaling $4,000.</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fiscal 2016, the Internal Revenue Service commenced and examination of our U.S. Federal income tax returns for fiscal years 2014 through 2016. This examination was effectively settled during the fourth quarter of fiscal 2018 with no adjustment.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Paid</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Income tax payments, net of income tax refunds, were $5.0 million, $6.7 million, and $4.0 million during fiscal years 2020, 2019, and 2018,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right of use asset and lease liabilities associated with our operating leases as of May 3, 2020, and April 29, 2019,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580" w:type="dxa"/>
            <w:vAlign w:val="bottom"/>
          </w:tcPr>
          <w:p>
            <w:pPr>
              <w:jc w:val="center"/>
              <w:ind w:left="2890"/>
              <w:spacing w:after="0"/>
              <w:rPr>
                <w:sz w:val="20"/>
                <w:szCs w:val="20"/>
                <w:color w:val="auto"/>
              </w:rPr>
            </w:pPr>
            <w:r>
              <w:rPr>
                <w:rFonts w:ascii="Arial" w:cs="Arial" w:eastAsia="Arial" w:hAnsi="Arial"/>
                <w:sz w:val="18"/>
                <w:szCs w:val="18"/>
                <w:color w:val="auto"/>
                <w:w w:val="96"/>
              </w:rPr>
              <w:t>May 3,</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 April 29,</w:t>
            </w:r>
          </w:p>
        </w:tc>
      </w:tr>
      <w:tr>
        <w:trPr>
          <w:trHeight w:val="23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3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w:t>
            </w:r>
          </w:p>
        </w:tc>
        <w:tc>
          <w:tcPr>
            <w:tcW w:w="35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3,903</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7,191</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Operating lease liability - current</w:t>
            </w:r>
          </w:p>
        </w:tc>
        <w:tc>
          <w:tcPr>
            <w:tcW w:w="358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1,805</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2,629</w:t>
            </w:r>
          </w:p>
        </w:tc>
      </w:tr>
      <w:tr>
        <w:trPr>
          <w:trHeight w:val="22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liability – noncurrent</w:t>
            </w:r>
          </w:p>
        </w:tc>
        <w:tc>
          <w:tcPr>
            <w:tcW w:w="35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7"/>
              </w:rPr>
              <w:t>2,016</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4,473</w:t>
            </w:r>
          </w:p>
        </w:tc>
      </w:tr>
    </w:tbl>
    <w:p>
      <w:pPr>
        <w:spacing w:after="0" w:line="229" w:lineRule="exact"/>
        <w:rPr>
          <w:sz w:val="20"/>
          <w:szCs w:val="20"/>
          <w:color w:val="auto"/>
        </w:rPr>
      </w:pPr>
    </w:p>
    <w:p>
      <w:pPr>
        <w:jc w:val="both"/>
        <w:ind w:left="500" w:hanging="492"/>
        <w:spacing w:after="0" w:line="296"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Amounts represent right of use assets and lease liabilities recorded in our Consolidated Balance Sheet in connection with the adoption of Topic 842 on April 29, 2019. These amounts include a right of use asset and a corresponding lease liability totaling $1.1 million that were associated with our former home accessories segment. As disclosed in Note 3 located in the consolidated financial statements, we sold our entire ownership interest in eLuxury on March 31, 2020, and consequently our home accessories segment was eliminated at such time. As a result, there were no right of use assets and corresponding lease liabilities associated with our former home accessories segment as of May 3,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Supplemental Cash Flow Information</w:t>
            </w:r>
          </w:p>
        </w:tc>
        <w:tc>
          <w:tcPr>
            <w:tcW w:w="3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73"/>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3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2020</w:t>
            </w: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payments</w:t>
            </w:r>
          </w:p>
        </w:tc>
        <w:tc>
          <w:tcPr>
            <w:tcW w:w="32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2,524</w:t>
            </w:r>
          </w:p>
        </w:tc>
      </w:tr>
      <w:tr>
        <w:trPr>
          <w:trHeight w:val="22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of use assets exchanged for lease liabilities</w:t>
            </w:r>
          </w:p>
        </w:tc>
        <w:tc>
          <w:tcPr>
            <w:tcW w:w="3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2020, operating lease costs associated with continuing operations were $2.6 million, short-term lease costs were $148,000, and variable lease costs were immaterial. During fiscal 2020, operating lease costs totaling $204,000 were associated with our former home accessories segmented and were presented within loss from discontinued operations on the Fiscal 2020 Consolidated Statement of Net Loss.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w w:val="99"/>
              </w:rPr>
              <w:t>As of May 3, 2020, the weighted average remaining lease term and discount rate for our operating leases follows: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lease term</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 years</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431"/>
        </w:trPr>
        <w:tc>
          <w:tcPr>
            <w:tcW w:w="904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9040" w:type="dxa"/>
            <w:vAlign w:val="bottom"/>
          </w:tcPr>
          <w:p>
            <w:pPr>
              <w:spacing w:after="0"/>
              <w:rPr>
                <w:sz w:val="20"/>
                <w:szCs w:val="20"/>
                <w:color w:val="auto"/>
              </w:rPr>
            </w:pPr>
            <w:r>
              <w:rPr>
                <w:rFonts w:ascii="Arial" w:cs="Arial" w:eastAsia="Arial" w:hAnsi="Arial"/>
                <w:sz w:val="18"/>
                <w:szCs w:val="18"/>
                <w:color w:val="auto"/>
              </w:rPr>
              <w:t>Maturity of our operating lease liabilities for the next five fiscal years, and thereafter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tcBorders>
              <w:bottom w:val="single" w:sz="8" w:color="CFF0FC"/>
            </w:tcBorders>
          </w:tcPr>
          <w:p>
            <w:pPr>
              <w:spacing w:after="0"/>
              <w:rPr>
                <w:sz w:val="24"/>
                <w:szCs w:val="24"/>
                <w:color w:val="auto"/>
              </w:rPr>
            </w:pPr>
          </w:p>
        </w:tc>
        <w:tc>
          <w:tcPr>
            <w:tcW w:w="560" w:type="dxa"/>
            <w:vAlign w:val="bottom"/>
            <w:tcBorders>
              <w:bottom w:val="single" w:sz="8" w:color="CFF0FC"/>
            </w:tcBorders>
          </w:tcPr>
          <w:p>
            <w:pPr>
              <w:spacing w:after="0"/>
              <w:rPr>
                <w:sz w:val="24"/>
                <w:szCs w:val="24"/>
                <w:color w:val="auto"/>
              </w:rPr>
            </w:pPr>
          </w:p>
        </w:tc>
        <w:tc>
          <w:tcPr>
            <w:tcW w:w="13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auto"/>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Modifications</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After May 3, 2020, we entered into agreements that extend the lease term for two buildings associated with our China operations through December 2024 and require monthly payments ranging from $20,000 to $30,000 during the lease term. As a result, we will record an increase of $2.6 million was recorded to right of use assets and lease liabilities during the first quarter of fiscal 2021. These agreements pertain to our upholstery fabrics segment.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8"/>
          <w:szCs w:val="18"/>
          <w:color w:val="auto"/>
        </w:rPr>
        <w:t>Also, we entered into a new agreement to lease a warehouse associated with our Canadian operation for a term of 3 years that is set to expire in June 2023 and requires monthly payments of approximately $21,000. As a result, an increase of $550,000 was recorded to right of use assets and lease liabilities during the first quarter of fiscal 2021. This agreement is associated with our mattress fabrics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Lease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a plant facility associated with our mattress fabrics segment from a partnership owned by an immediate family member of an officer. Currently, this facility is being leased on a month to month basis at an amount of $13,100 per month. Rents paid to this entity owned by an immediate family of an officer totaled $157,000, $158,000, $156,000 in fiscal 2020,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 – Capital Expenditures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 2020, we had total amounts due regarding capital expenditures totaling $107,000, which pertained to outstanding vendor invoices, none of which were financed. At April 28, 2019, we had total amounts due regarding capital expenditures associated with continuing operations totaling $68,000, which pertained to outstanding vendor invoices, none of which were financed.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 - Capital Expenditures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At May 3, 2020, we had open purchase commitments to acquire equipment for our U.S. and Canadian mattress fabrics operations totaling $2.2 million.</w:t>
      </w:r>
    </w:p>
    <w:p>
      <w:pPr>
        <w:spacing w:after="0" w:line="20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 Description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May 3, 2020, there were 690,163 shares available for future equity-based grants under the company’s 2015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stock option activity during fiscal 2020, 2019, and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i w:val="1"/>
                <w:iCs w:val="1"/>
                <w:color w:val="auto"/>
                <w:w w:val="89"/>
              </w:rPr>
              <w:t>2020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i w:val="1"/>
                <w:iCs w:val="1"/>
                <w:color w:val="auto"/>
                <w:w w:val="89"/>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i w:val="1"/>
                <w:iCs w:val="1"/>
                <w:color w:val="auto"/>
                <w:w w:val="89"/>
              </w:rPr>
              <w:t>2018</w:t>
            </w:r>
          </w:p>
        </w:tc>
      </w:tr>
      <w:tr>
        <w:trPr>
          <w:trHeight w:val="230"/>
        </w:trPr>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87"/>
              </w:rPr>
              <w:t>Weighted-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87"/>
              </w:rPr>
              <w:t>Weighted-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50"/>
              <w:spacing w:after="0"/>
              <w:rPr>
                <w:sz w:val="20"/>
                <w:szCs w:val="20"/>
                <w:color w:val="auto"/>
              </w:rPr>
            </w:pPr>
            <w:r>
              <w:rPr>
                <w:rFonts w:ascii="Arial" w:cs="Arial" w:eastAsia="Arial" w:hAnsi="Arial"/>
                <w:sz w:val="18"/>
                <w:szCs w:val="18"/>
                <w:i w:val="1"/>
                <w:iCs w:val="1"/>
                <w:color w:val="auto"/>
                <w:w w:val="87"/>
              </w:rPr>
              <w:t>Weighted-</w:t>
            </w:r>
          </w:p>
        </w:tc>
      </w:tr>
      <w:tr>
        <w:trPr>
          <w:trHeight w:val="230"/>
        </w:trPr>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89"/>
              </w:rPr>
              <w:t>Average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89"/>
              </w:rPr>
              <w:t>Average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i w:val="1"/>
                <w:iCs w:val="1"/>
                <w:color w:val="auto"/>
                <w:w w:val="86"/>
              </w:rPr>
              <w:t>Average</w:t>
            </w:r>
          </w:p>
        </w:tc>
      </w:tr>
      <w:tr>
        <w:trPr>
          <w:trHeight w:val="230"/>
        </w:trPr>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86"/>
              </w:rPr>
              <w:t>Exercise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86"/>
              </w:rPr>
              <w:t>Exercise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i w:val="1"/>
                <w:iCs w:val="1"/>
                <w:color w:val="auto"/>
                <w:w w:val="89"/>
              </w:rPr>
              <w:t>Exercise</w:t>
            </w:r>
          </w:p>
        </w:tc>
      </w:tr>
      <w:tr>
        <w:trPr>
          <w:trHeight w:val="230"/>
        </w:trPr>
        <w:tc>
          <w:tcPr>
            <w:tcW w:w="4660" w:type="dxa"/>
            <w:vAlign w:val="bottom"/>
          </w:tcPr>
          <w:p>
            <w:pPr>
              <w:spacing w:after="0"/>
              <w:rPr>
                <w:sz w:val="20"/>
                <w:szCs w:val="20"/>
                <w:color w:val="auto"/>
              </w:rPr>
            </w:pPr>
          </w:p>
        </w:tc>
        <w:tc>
          <w:tcPr>
            <w:tcW w:w="700" w:type="dxa"/>
            <w:vAlign w:val="bottom"/>
          </w:tcPr>
          <w:p>
            <w:pPr>
              <w:ind w:left="200"/>
              <w:spacing w:after="0"/>
              <w:rPr>
                <w:sz w:val="20"/>
                <w:szCs w:val="20"/>
                <w:color w:val="auto"/>
              </w:rPr>
            </w:pPr>
            <w:r>
              <w:rPr>
                <w:rFonts w:ascii="Arial" w:cs="Arial" w:eastAsia="Arial" w:hAnsi="Arial"/>
                <w:sz w:val="18"/>
                <w:szCs w:val="18"/>
                <w:i w:val="1"/>
                <w:iCs w:val="1"/>
                <w:color w:val="auto"/>
                <w:w w:val="84"/>
              </w:rPr>
              <w:t>Shares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97"/>
              </w:rPr>
              <w:t>Price</w:t>
            </w:r>
          </w:p>
        </w:tc>
        <w:tc>
          <w:tcPr>
            <w:tcW w:w="1000" w:type="dxa"/>
            <w:vAlign w:val="bottom"/>
          </w:tcPr>
          <w:p>
            <w:pPr>
              <w:ind w:left="200"/>
              <w:spacing w:after="0"/>
              <w:rPr>
                <w:sz w:val="20"/>
                <w:szCs w:val="20"/>
                <w:color w:val="auto"/>
              </w:rPr>
            </w:pPr>
            <w:r>
              <w:rPr>
                <w:rFonts w:ascii="Arial" w:cs="Arial" w:eastAsia="Arial" w:hAnsi="Arial"/>
                <w:sz w:val="18"/>
                <w:szCs w:val="18"/>
                <w:i w:val="1"/>
                <w:i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7"/>
              </w:rPr>
              <w:t>Price</w:t>
            </w:r>
          </w:p>
        </w:tc>
        <w:tc>
          <w:tcPr>
            <w:tcW w:w="980" w:type="dxa"/>
            <w:vAlign w:val="bottom"/>
          </w:tcPr>
          <w:p>
            <w:pPr>
              <w:jc w:val="right"/>
              <w:ind w:right="210"/>
              <w:spacing w:after="0"/>
              <w:rPr>
                <w:sz w:val="20"/>
                <w:szCs w:val="20"/>
                <w:color w:val="auto"/>
              </w:rPr>
            </w:pPr>
            <w:r>
              <w:rPr>
                <w:rFonts w:ascii="Arial" w:cs="Arial" w:eastAsia="Arial" w:hAnsi="Arial"/>
                <w:sz w:val="18"/>
                <w:szCs w:val="18"/>
                <w:i w:val="1"/>
                <w:i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i w:val="1"/>
                <w:iCs w:val="1"/>
                <w:color w:val="auto"/>
                <w:w w:val="92"/>
              </w:rPr>
              <w:t>Price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7.14</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7.14</w:t>
            </w: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 2020, there were no options for shares of common stock outstanding and exercisable. Therefore, there was no unrecognized compensation cost related to incentive stock option awards at May 3, 2020. No compensation expense was recorded for incentive or non-qualified stock options during fiscal 2020, 2019, and 2018,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for options exercised during fiscal 2018 was $393,000.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i w:val="1"/>
                <w:iCs w:val="1"/>
                <w:color w:val="auto"/>
              </w:rPr>
              <w:t>Time-Based Restricted Stock Awards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858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the time-based restricted stock unit activity during fiscal years 2020, 2019, and 2018:</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666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30"/>
        </w:trPr>
        <w:tc>
          <w:tcPr>
            <w:tcW w:w="6660" w:type="dxa"/>
            <w:vAlign w:val="bottom"/>
          </w:tcPr>
          <w:p>
            <w:pPr>
              <w:spacing w:after="0"/>
              <w:rPr>
                <w:sz w:val="20"/>
                <w:szCs w:val="20"/>
                <w:color w:val="auto"/>
              </w:rPr>
            </w:pPr>
          </w:p>
        </w:tc>
        <w:tc>
          <w:tcPr>
            <w:tcW w:w="1920" w:type="dxa"/>
            <w:vAlign w:val="bottom"/>
            <w:gridSpan w:val="3"/>
          </w:tcPr>
          <w:p>
            <w:pPr>
              <w:ind w:left="420"/>
              <w:spacing w:after="0"/>
              <w:rPr>
                <w:sz w:val="20"/>
                <w:szCs w:val="20"/>
                <w:color w:val="auto"/>
              </w:rPr>
            </w:pPr>
            <w:r>
              <w:rPr>
                <w:rFonts w:ascii="Arial" w:cs="Arial" w:eastAsia="Arial" w:hAnsi="Arial"/>
                <w:sz w:val="18"/>
                <w:szCs w:val="18"/>
                <w:i w:val="1"/>
                <w:iCs w:val="1"/>
                <w:color w:val="auto"/>
              </w:rPr>
              <w:t>Shares</w:t>
            </w:r>
          </w:p>
        </w:tc>
        <w:tc>
          <w:tcPr>
            <w:tcW w:w="1220" w:type="dxa"/>
            <w:vAlign w:val="bottom"/>
            <w:gridSpan w:val="2"/>
          </w:tcPr>
          <w:p>
            <w:pPr>
              <w:ind w:left="60"/>
              <w:spacing w:after="0"/>
              <w:rPr>
                <w:sz w:val="20"/>
                <w:szCs w:val="20"/>
                <w:color w:val="auto"/>
              </w:rPr>
            </w:pPr>
            <w:r>
              <w:rPr>
                <w:rFonts w:ascii="Arial" w:cs="Arial" w:eastAsia="Arial" w:hAnsi="Arial"/>
                <w:sz w:val="18"/>
                <w:szCs w:val="18"/>
                <w:i w:val="1"/>
                <w:iCs w:val="1"/>
                <w:color w:val="auto"/>
              </w:rPr>
              <w:t>Shares</w:t>
            </w:r>
          </w:p>
        </w:tc>
        <w:tc>
          <w:tcPr>
            <w:tcW w:w="1440" w:type="dxa"/>
            <w:vAlign w:val="bottom"/>
          </w:tcPr>
          <w:p>
            <w:pPr>
              <w:jc w:val="right"/>
              <w:ind w:right="450"/>
              <w:spacing w:after="0"/>
              <w:rPr>
                <w:sz w:val="20"/>
                <w:szCs w:val="20"/>
                <w:color w:val="auto"/>
              </w:rPr>
            </w:pPr>
            <w:r>
              <w:rPr>
                <w:rFonts w:ascii="Arial" w:cs="Arial" w:eastAsia="Arial" w:hAnsi="Arial"/>
                <w:sz w:val="18"/>
                <w:szCs w:val="18"/>
                <w:i w:val="1"/>
                <w:iCs w:val="1"/>
                <w:color w:val="auto"/>
              </w:rPr>
              <w:t>Shares</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34,399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1,200</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44,399</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1,200</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information related to our grants of time-based restricted stock unit awards associated with certain senior executives and key members of management during fiscal years 2020, 2019 and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i w:val="1"/>
                <w:iCs w:val="1"/>
                <w:color w:val="auto"/>
                <w:w w:val="99"/>
              </w:rPr>
              <w:t>(1)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6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88"/>
              </w:rPr>
              <w:t>Restricted</w:t>
            </w:r>
          </w:p>
        </w:tc>
        <w:tc>
          <w:tcPr>
            <w:tcW w:w="18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2"/>
              </w:rPr>
              <w:t>Price</w:t>
            </w:r>
          </w:p>
        </w:tc>
        <w:tc>
          <w:tcPr>
            <w:tcW w:w="1440" w:type="dxa"/>
            <w:vAlign w:val="bottom"/>
          </w:tcPr>
          <w:p>
            <w:pPr>
              <w:jc w:val="right"/>
              <w:ind w:right="370"/>
              <w:spacing w:after="0"/>
              <w:rPr>
                <w:sz w:val="20"/>
                <w:szCs w:val="20"/>
                <w:color w:val="auto"/>
              </w:rPr>
            </w:pPr>
            <w:r>
              <w:rPr>
                <w:rFonts w:ascii="Arial" w:cs="Arial" w:eastAsia="Arial" w:hAnsi="Arial"/>
                <w:sz w:val="18"/>
                <w:szCs w:val="18"/>
                <w:i w:val="1"/>
                <w:iCs w:val="1"/>
                <w:color w:val="auto"/>
              </w:rPr>
              <w:t>Vesting</w:t>
            </w:r>
          </w:p>
        </w:tc>
      </w:t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89"/>
              </w:rPr>
              <w:t>Stock Awarded</w:t>
            </w:r>
          </w:p>
        </w:tc>
        <w:tc>
          <w:tcPr>
            <w:tcW w:w="18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86"/>
              </w:rPr>
              <w:t>Per Share</w:t>
            </w:r>
          </w:p>
        </w:tc>
        <w:tc>
          <w:tcPr>
            <w:tcW w:w="1440" w:type="dxa"/>
            <w:vAlign w:val="bottom"/>
          </w:tcPr>
          <w:p>
            <w:pPr>
              <w:jc w:val="right"/>
              <w:ind w:right="390"/>
              <w:spacing w:after="0"/>
              <w:rPr>
                <w:sz w:val="20"/>
                <w:szCs w:val="20"/>
                <w:color w:val="auto"/>
              </w:rPr>
            </w:pPr>
            <w:r>
              <w:rPr>
                <w:rFonts w:ascii="Arial" w:cs="Arial" w:eastAsia="Arial" w:hAnsi="Arial"/>
                <w:sz w:val="18"/>
                <w:szCs w:val="18"/>
                <w:i w:val="1"/>
                <w:iCs w:val="1"/>
                <w:color w:val="auto"/>
              </w:rPr>
              <w:t>Period</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18, 2019</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34,399</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18.49</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August 2, 2018</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June 13, 2017</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year</w:t>
            </w:r>
          </w:p>
        </w:tc>
      </w:tr>
    </w:tbl>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the respective award was granted.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time-based restricted stock units that vested during the fiscal 2020,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0"/>
              </w:rPr>
              <w:t>(2)</w:t>
            </w:r>
          </w:p>
        </w:tc>
      </w:tr>
      <w:tr>
        <w:trPr>
          <w:trHeight w:val="216"/>
        </w:trPr>
        <w:tc>
          <w:tcPr>
            <w:tcW w:w="666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660" w:type="dxa"/>
            <w:vAlign w:val="bottom"/>
          </w:tcPr>
          <w:p>
            <w:pPr>
              <w:spacing w:after="0"/>
              <w:rPr>
                <w:sz w:val="19"/>
                <w:szCs w:val="19"/>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89"/>
              </w:rPr>
              <w:t>Price Per</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Fiscal Year</w:t>
            </w:r>
          </w:p>
        </w:tc>
        <w:tc>
          <w:tcPr>
            <w:tcW w:w="1420" w:type="dxa"/>
            <w:vAlign w:val="bottom"/>
          </w:tcPr>
          <w:p>
            <w:pPr>
              <w:jc w:val="center"/>
              <w:ind w:right="10"/>
              <w:spacing w:after="0"/>
              <w:rPr>
                <w:sz w:val="20"/>
                <w:szCs w:val="20"/>
                <w:color w:val="auto"/>
              </w:rPr>
            </w:pPr>
            <w:r>
              <w:rPr>
                <w:rFonts w:ascii="Arial" w:cs="Arial" w:eastAsia="Arial" w:hAnsi="Arial"/>
                <w:sz w:val="18"/>
                <w:szCs w:val="18"/>
                <w:color w:val="auto"/>
                <w:w w:val="85"/>
              </w:rPr>
              <w:t>Vested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 Value</w:t>
            </w:r>
          </w:p>
        </w:tc>
        <w:tc>
          <w:tcPr>
            <w:tcW w:w="22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83"/>
              </w:rPr>
              <w:t>Share</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2020</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Fiscal 2019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17.36</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Fiscal 2018</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ind w:left="9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30.90</w:t>
            </w:r>
          </w:p>
        </w:tc>
      </w:tr>
    </w:tbl>
    <w:p>
      <w:pPr>
        <w:spacing w:after="0" w:line="229"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the respective award vested.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compensation expense of $220,000, $43,000, and $38,000 within selling, general, and administrative expense for time vested restricted stock units in fiscal 2020, 2019, and 2018, respectively.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 2020, the remaining unrecognized compensation cost related to our time vested restricted stock units were $622,000, which is expected to be recognized over a weighted average vesting period of 2.4 years. At May 3, 2020, our time vested restricted stock unit awards that were expected to vest had a fair value totaling $307,000.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Restricted Stock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Executives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 performance-based restricted stock units to certain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 have been achieved will be adjusted based on a market-based total shareholder return component as defined in the related restricted stock unit agreements.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cost for share-based awards is measured based on the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The following table provides assumptions used to determine the fair market value of the market-based total shareholder return component using the Monte Carlo simulation model on the grant dates of July 18, 2019, August 2, 2018, and July 13,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i w:val="1"/>
                <w:iCs w:val="1"/>
                <w:color w:val="auto"/>
              </w:rPr>
              <w:t>July 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i w:val="1"/>
                <w:iCs w:val="1"/>
                <w:color w:val="auto"/>
              </w:rPr>
              <w:t>August 2,</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i w:val="1"/>
                <w:iCs w:val="1"/>
                <w:color w:val="auto"/>
              </w:rPr>
              <w:t>July 13,</w:t>
            </w:r>
          </w:p>
        </w:tc>
      </w:tr>
      <w:tr>
        <w:trPr>
          <w:trHeight w:val="230"/>
        </w:trPr>
        <w:tc>
          <w:tcPr>
            <w:tcW w:w="63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2019</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2018</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2017</w:t>
            </w: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32.50</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 (2)</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29.9% - 82.3%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Correlation coefficient of peer companies (1) (2)</w:t>
            </w:r>
          </w:p>
        </w:tc>
        <w:tc>
          <w:tcPr>
            <w:tcW w:w="2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0.00 - 0.43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0.46</w:t>
            </w:r>
          </w:p>
        </w:tc>
      </w:tr>
    </w:tbl>
    <w:p>
      <w:pPr>
        <w:spacing w:after="0" w:line="228" w:lineRule="exact"/>
        <w:rPr>
          <w:sz w:val="20"/>
          <w:szCs w:val="20"/>
          <w:color w:val="auto"/>
        </w:rPr>
      </w:pPr>
    </w:p>
    <w:p>
      <w:pPr>
        <w:jc w:val="both"/>
        <w:ind w:left="500" w:hanging="492"/>
        <w:spacing w:after="0" w:line="31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expected volatility and correlation coefficient of our peer companies for fiscal 2020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21" w:lineRule="exact"/>
        <w:rPr>
          <w:rFonts w:ascii="Arial" w:cs="Arial" w:eastAsia="Arial" w:hAnsi="Arial"/>
          <w:sz w:val="16"/>
          <w:szCs w:val="16"/>
          <w:color w:val="auto"/>
        </w:rPr>
      </w:pPr>
    </w:p>
    <w:p>
      <w:pPr>
        <w:jc w:val="both"/>
        <w:ind w:left="500" w:hanging="492"/>
        <w:spacing w:after="0" w:line="25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volatility and correlation coefficient of our peer companies for fiscal 2019 and 2018 were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 and a Non-Employee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grant performance-based restricted stock units which could earn up to a certain number of shares of common stock if certain performance targets are met over a three-year performance period as defined in the related restricted stock unit agreements.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(the closing price of our common stock) on the date when the performance criteria was met.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information related to our grants of performance based restricted stock units associated with certain senior executives and key employees that were unvested at May 3,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480" w:type="dxa"/>
            <w:vAlign w:val="bottom"/>
          </w:tcPr>
          <w:p>
            <w:pPr>
              <w:spacing w:after="0"/>
              <w:rPr>
                <w:sz w:val="19"/>
                <w:szCs w:val="19"/>
                <w:color w:val="auto"/>
              </w:rPr>
            </w:pPr>
          </w:p>
        </w:tc>
        <w:tc>
          <w:tcPr>
            <w:tcW w:w="3420" w:type="dxa"/>
            <w:vAlign w:val="bottom"/>
            <w:gridSpan w:val="2"/>
          </w:tcPr>
          <w:p>
            <w:pPr>
              <w:jc w:val="center"/>
              <w:ind w:left="193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Restricted 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480" w:type="dxa"/>
            <w:vAlign w:val="bottom"/>
          </w:tcPr>
          <w:p>
            <w:pPr>
              <w:spacing w:after="0"/>
              <w:rPr>
                <w:sz w:val="19"/>
                <w:szCs w:val="19"/>
                <w:color w:val="auto"/>
              </w:rPr>
            </w:pPr>
          </w:p>
        </w:tc>
        <w:tc>
          <w:tcPr>
            <w:tcW w:w="3540" w:type="dxa"/>
            <w:vAlign w:val="bottom"/>
            <w:gridSpan w:val="3"/>
          </w:tcPr>
          <w:p>
            <w:pPr>
              <w:jc w:val="center"/>
              <w:ind w:left="1830"/>
              <w:spacing w:after="0"/>
              <w:rPr>
                <w:sz w:val="20"/>
                <w:szCs w:val="20"/>
                <w:color w:val="auto"/>
              </w:rPr>
            </w:pPr>
            <w:r>
              <w:rPr>
                <w:rFonts w:ascii="Arial" w:cs="Arial" w:eastAsia="Arial" w:hAnsi="Arial"/>
                <w:sz w:val="18"/>
                <w:szCs w:val="18"/>
                <w:color w:val="auto"/>
                <w:w w:val="90"/>
              </w:rPr>
              <w:t>Restricted Stock</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Units Expected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94"/>
              </w:rPr>
              <w:t>Price Per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Vesting</w:t>
            </w:r>
          </w:p>
        </w:tc>
      </w:tr>
      <w:tr>
        <w:trPr>
          <w:trHeight w:val="230"/>
        </w:trPr>
        <w:tc>
          <w:tcPr>
            <w:tcW w:w="348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2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Units Awarded</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to Vest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Period</w:t>
            </w: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18, 2019 (1)</w:t>
            </w:r>
          </w:p>
        </w:tc>
        <w:tc>
          <w:tcPr>
            <w:tcW w:w="2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93,653</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July 18, 2019 (2)</w:t>
            </w:r>
          </w:p>
        </w:tc>
        <w:tc>
          <w:tcPr>
            <w:tcW w:w="3420" w:type="dxa"/>
            <w:vAlign w:val="bottom"/>
            <w:gridSpan w:val="2"/>
          </w:tcPr>
          <w:p>
            <w:pPr>
              <w:jc w:val="right"/>
              <w:ind w:right="30"/>
              <w:spacing w:after="0"/>
              <w:rPr>
                <w:sz w:val="20"/>
                <w:szCs w:val="20"/>
                <w:color w:val="auto"/>
              </w:rPr>
            </w:pPr>
            <w:r>
              <w:rPr>
                <w:rFonts w:ascii="Arial" w:cs="Arial" w:eastAsia="Arial" w:hAnsi="Arial"/>
                <w:sz w:val="18"/>
                <w:szCs w:val="18"/>
                <w:color w:val="auto"/>
              </w:rPr>
              <w:t>29,227</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18.49</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August 2, 2018 (1)</w:t>
            </w:r>
          </w:p>
        </w:tc>
        <w:tc>
          <w:tcPr>
            <w:tcW w:w="3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86,599</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4"/>
              </w:rPr>
              <w:t>3 years</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August 2, 2018 (2)</w:t>
            </w:r>
          </w:p>
        </w:tc>
        <w:tc>
          <w:tcPr>
            <w:tcW w:w="3420" w:type="dxa"/>
            <w:vAlign w:val="bottom"/>
            <w:gridSpan w:val="2"/>
          </w:tcPr>
          <w:p>
            <w:pPr>
              <w:jc w:val="right"/>
              <w:ind w:right="30"/>
              <w:spacing w:after="0"/>
              <w:rPr>
                <w:sz w:val="20"/>
                <w:szCs w:val="20"/>
                <w:color w:val="auto"/>
              </w:rPr>
            </w:pPr>
            <w:r>
              <w:rPr>
                <w:rFonts w:ascii="Arial" w:cs="Arial" w:eastAsia="Arial" w:hAnsi="Arial"/>
                <w:sz w:val="18"/>
                <w:szCs w:val="18"/>
                <w:color w:val="auto"/>
              </w:rPr>
              <w:t>47,800</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24.35</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July 13, 2017 (1)</w:t>
            </w:r>
          </w:p>
        </w:tc>
        <w:tc>
          <w:tcPr>
            <w:tcW w:w="3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60,504</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July 13, 2017 (2)</w:t>
            </w:r>
          </w:p>
        </w:tc>
        <w:tc>
          <w:tcPr>
            <w:tcW w:w="3420" w:type="dxa"/>
            <w:vAlign w:val="bottom"/>
            <w:gridSpan w:val="2"/>
          </w:tcPr>
          <w:p>
            <w:pPr>
              <w:jc w:val="right"/>
              <w:ind w:right="30"/>
              <w:spacing w:after="0"/>
              <w:rPr>
                <w:sz w:val="20"/>
                <w:szCs w:val="20"/>
                <w:color w:val="auto"/>
              </w:rPr>
            </w:pPr>
            <w:r>
              <w:rPr>
                <w:rFonts w:ascii="Arial" w:cs="Arial" w:eastAsia="Arial" w:hAnsi="Arial"/>
                <w:sz w:val="18"/>
                <w:szCs w:val="18"/>
                <w:color w:val="auto"/>
              </w:rPr>
              <w:t>37,600</w:t>
            </w: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84"/>
              </w:rPr>
              <w:t>3 years</w:t>
            </w:r>
          </w:p>
        </w:tc>
      </w:tr>
    </w:tbl>
    <w:p>
      <w:pPr>
        <w:spacing w:after="0" w:line="228"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certain senior executives.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key employees.</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the maximum number of common stock shares that could be earned if certain performance targets are met as defined in the related restricted stock unit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jc w:val="both"/>
        <w:ind w:left="500" w:hanging="492"/>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cost is based on an assessment each reporting period of the probability that certain performance goals will be met and in turn, the number of shares that are expected to be awarded during the vesting period. These amounts represent the number of shares that are expected to vest based on our assessment as of May 3, 2020.</w:t>
      </w:r>
    </w:p>
    <w:p>
      <w:pPr>
        <w:spacing w:after="0" w:line="14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certain senior executives on July 18, 2019.</w:t>
      </w:r>
    </w:p>
    <w:p>
      <w:pPr>
        <w:spacing w:after="0" w:line="146"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($0.76 per $1 or a reduction of $5.84 to the closing price of our common stock) determined using the Monte Carlo simulation model for the market-based total shareholder return component and the closing price of our common stock ($24.35) for the performance-based component of the performance-based restricted stock units granted to certain senior executives on August 2, 2018.</w:t>
      </w:r>
    </w:p>
    <w:p>
      <w:pPr>
        <w:spacing w:after="0" w:line="146"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Price per share represents the fair market value per share ($0.98 per $1 or a reduction of $0.65 to the closing price of our common stock) determined using the Monte Carlo simulation model for the market-based total shareholder return component and the closing price of our common stock ($32.50) for the performance-based component of the performance-based restricted stock units granted to certain senior executives on July 13, 2017.</w:t>
      </w:r>
    </w:p>
    <w:p>
      <w:pPr>
        <w:spacing w:after="0" w:line="108" w:lineRule="exact"/>
        <w:rPr>
          <w:rFonts w:ascii="Arial" w:cs="Arial" w:eastAsia="Arial" w:hAnsi="Arial"/>
          <w:sz w:val="16"/>
          <w:szCs w:val="16"/>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per share represents the closing price of our common stock on the date of grant.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related to our performance based restricted stock units that vested during the fiscal 2020, 2019, and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0"/>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652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8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300" w:type="dxa"/>
            <w:vAlign w:val="bottom"/>
          </w:tcPr>
          <w:p>
            <w:pPr>
              <w:spacing w:after="0"/>
              <w:rPr>
                <w:sz w:val="19"/>
                <w:szCs w:val="19"/>
                <w:color w:val="auto"/>
              </w:rPr>
            </w:pPr>
          </w:p>
        </w:tc>
      </w:tr>
      <w:tr>
        <w:trPr>
          <w:trHeight w:val="229"/>
        </w:trPr>
        <w:tc>
          <w:tcPr>
            <w:tcW w:w="652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Stock Shares</w:t>
            </w:r>
          </w:p>
        </w:tc>
        <w:tc>
          <w:tcPr>
            <w:tcW w:w="18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0"/>
              </w:rPr>
              <w:t>Average Price</w:t>
            </w:r>
          </w:p>
        </w:tc>
        <w:tc>
          <w:tcPr>
            <w:tcW w:w="300" w:type="dxa"/>
            <w:vAlign w:val="bottom"/>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Fiscal Year</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Vested</w:t>
            </w:r>
          </w:p>
        </w:tc>
        <w:tc>
          <w:tcPr>
            <w:tcW w:w="180" w:type="dxa"/>
            <w:vAlign w:val="bottom"/>
          </w:tcPr>
          <w:p>
            <w:pPr>
              <w:spacing w:after="0"/>
              <w:rPr>
                <w:sz w:val="20"/>
                <w:szCs w:val="20"/>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90"/>
              </w:rPr>
              <w:t>Fair Value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6"/>
              </w:rPr>
              <w:t>Per Share</w:t>
            </w:r>
          </w:p>
        </w:tc>
        <w:tc>
          <w:tcPr>
            <w:tcW w:w="300" w:type="dxa"/>
            <w:vAlign w:val="bottom"/>
          </w:tcPr>
          <w:p>
            <w:pPr>
              <w:spacing w:after="0"/>
              <w:rPr>
                <w:sz w:val="20"/>
                <w:szCs w:val="20"/>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2020 (1)</w:t>
            </w:r>
          </w:p>
        </w:tc>
        <w:tc>
          <w:tcPr>
            <w:tcW w:w="1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11,351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Fiscal 2020 (2)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4,961</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Fiscal 2019 (1)</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128,632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3,754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Fiscal 2019 (2)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10,364</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30.90</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Fiscal 2018 (1)</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102,845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Fiscal 2018 (2)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senior executives and key employees.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Non-employee</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weighted average price per share is derived from the closing prices of our common stock on the dates the respective performance based restricted stock units vested.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charge or a (credit) to compensation expense totaling $114,000, $(53,000), and $2.0 million within selling, general, and administrative expense associated with our performance based restricted stock units for fiscal years 2020, 2019, and 2018, respectively.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 2020, the remaining unrecognized compensation cost related to the performance based restricted stock units was $11,000, which is expected to be recognized over a weighted average vesting period of 0.2 years. At May 3, 2020, our performance based restricted stock units that are expected to vest had a fair value totaling $53,000.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Common Stock Awards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grants of common stock to our outside directors during fiscal 2020,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Common</w:t>
            </w:r>
          </w:p>
        </w:tc>
        <w:tc>
          <w:tcPr>
            <w:tcW w:w="200" w:type="dxa"/>
            <w:vAlign w:val="bottom"/>
          </w:tcPr>
          <w:p>
            <w:pPr>
              <w:spacing w:after="0"/>
              <w:rPr>
                <w:sz w:val="19"/>
                <w:szCs w:val="19"/>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6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Price Per</w:t>
            </w:r>
          </w:p>
        </w:tc>
        <w:tc>
          <w:tcPr>
            <w:tcW w:w="1440" w:type="dxa"/>
            <w:vAlign w:val="bottom"/>
          </w:tcPr>
          <w:p>
            <w:pPr>
              <w:ind w:left="440"/>
              <w:spacing w:after="0"/>
              <w:rPr>
                <w:sz w:val="20"/>
                <w:szCs w:val="20"/>
                <w:color w:val="auto"/>
              </w:rPr>
            </w:pPr>
            <w:r>
              <w:rPr>
                <w:rFonts w:ascii="Arial" w:cs="Arial" w:eastAsia="Arial" w:hAnsi="Arial"/>
                <w:sz w:val="18"/>
                <w:szCs w:val="18"/>
                <w:color w:val="auto"/>
              </w:rPr>
              <w:t>Vesting</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Date of Grant</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Awarded</w:t>
            </w:r>
          </w:p>
        </w:tc>
        <w:tc>
          <w:tcPr>
            <w:tcW w:w="20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Share</w:t>
            </w:r>
          </w:p>
        </w:tc>
        <w:tc>
          <w:tcPr>
            <w:tcW w:w="1440" w:type="dxa"/>
            <w:vAlign w:val="bottom"/>
          </w:tcPr>
          <w:p>
            <w:pPr>
              <w:ind w:left="480"/>
              <w:spacing w:after="0"/>
              <w:rPr>
                <w:sz w:val="20"/>
                <w:szCs w:val="20"/>
                <w:color w:val="auto"/>
              </w:rPr>
            </w:pPr>
            <w:r>
              <w:rPr>
                <w:rFonts w:ascii="Arial" w:cs="Arial" w:eastAsia="Arial" w:hAnsi="Arial"/>
                <w:sz w:val="18"/>
                <w:szCs w:val="18"/>
                <w:color w:val="auto"/>
              </w:rPr>
              <w:t>Period</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2020 - Fiscal 2020</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10,511</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6.66</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January 2, 2020 - Fiscal 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9"/>
                <w:szCs w:val="19"/>
                <w:color w:val="auto"/>
              </w:rPr>
            </w:pPr>
          </w:p>
        </w:tc>
        <w:tc>
          <w:tcPr>
            <w:tcW w:w="1440" w:type="dxa"/>
            <w:vAlign w:val="bottom"/>
          </w:tcPr>
          <w:p>
            <w:pPr>
              <w:ind w:left="66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October 1, 2019 - Fiscal 2020</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July 1, 2019 - Fiscal 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3,659</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9"/>
                <w:szCs w:val="19"/>
                <w:color w:val="auto"/>
              </w:rPr>
            </w:pPr>
          </w:p>
        </w:tc>
        <w:tc>
          <w:tcPr>
            <w:tcW w:w="1440" w:type="dxa"/>
            <w:vAlign w:val="bottom"/>
          </w:tcPr>
          <w:p>
            <w:pPr>
              <w:ind w:left="66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April 1, 2019 - Fiscal 2019</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19.18</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October 1, 2018 - Fiscal 2019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19"/>
                <w:szCs w:val="19"/>
                <w:color w:val="auto"/>
              </w:rPr>
            </w:pPr>
          </w:p>
        </w:tc>
        <w:tc>
          <w:tcPr>
            <w:tcW w:w="1440" w:type="dxa"/>
            <w:vAlign w:val="bottom"/>
          </w:tcPr>
          <w:p>
            <w:pPr>
              <w:ind w:left="66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October 2, 2017 - Fiscal 2018</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33.20</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0"/>
              </w:rPr>
              <w:t>Immediate</w:t>
            </w:r>
          </w:p>
        </w:tc>
      </w:tr>
    </w:tbl>
    <w:p>
      <w:pPr>
        <w:spacing w:after="0" w:line="229"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of grant.</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$280,000, $140,000, and $159,000, of compensation expense within selling, general, and administrative expense for these common stock awards for fiscal 2020, 2019, and 2018, respectively.</w:t>
      </w:r>
    </w:p>
    <w:p>
      <w:pPr>
        <w:spacing w:after="0" w:line="126"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 The hierarchy consists of three broad levels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level 1 inputs that are either directly or indirectly observable, and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developed using the company’s estimates and assumptions, which reflect those that market participants would use.</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Basis – Continuing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assets and liabilities measured at fair value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97"/>
              </w:rPr>
              <w:t>Fair value measurements at May 3, 2020 using:</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Significant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other</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Significant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observable</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unobservable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inputs</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inputs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(amounts in thousands)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3</w:t>
            </w:r>
          </w:p>
        </w:tc>
        <w:tc>
          <w:tcPr>
            <w:tcW w:w="420" w:type="dxa"/>
            <w:vAlign w:val="bottom"/>
            <w:gridSpan w:val="2"/>
          </w:tcPr>
          <w:p>
            <w:pPr>
              <w:spacing w:after="0"/>
              <w:rPr>
                <w:sz w:val="19"/>
                <w:szCs w:val="19"/>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r>
      <w:tr>
        <w:trPr>
          <w:trHeight w:val="223"/>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Premier Money Market Fund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ind w:left="1160"/>
              <w:spacing w:after="0"/>
              <w:rPr>
                <w:sz w:val="20"/>
                <w:szCs w:val="20"/>
                <w:color w:val="auto"/>
              </w:rPr>
            </w:pPr>
            <w:r>
              <w:rPr>
                <w:rFonts w:ascii="Arial" w:cs="Arial" w:eastAsia="Arial" w:hAnsi="Arial"/>
                <w:sz w:val="18"/>
                <w:szCs w:val="18"/>
                <w:color w:val="auto"/>
              </w:rPr>
              <w:t>N/A  $</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7,496</w:t>
            </w:r>
          </w:p>
        </w:tc>
        <w:tc>
          <w:tcPr>
            <w:tcW w:w="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Short Term Bond Funds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Growth Allocation Fund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Moderate Allocation Fund</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30"/>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N/A</w:t>
            </w:r>
          </w:p>
        </w:tc>
        <w:tc>
          <w:tcPr>
            <w:tcW w:w="190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425"/>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7"/>
          </w:tcPr>
          <w:p>
            <w:pPr>
              <w:ind w:left="1160"/>
              <w:spacing w:after="0"/>
              <w:rPr>
                <w:sz w:val="20"/>
                <w:szCs w:val="20"/>
                <w:color w:val="auto"/>
              </w:rPr>
            </w:pPr>
            <w:r>
              <w:rPr>
                <w:rFonts w:ascii="Arial" w:cs="Arial" w:eastAsia="Arial" w:hAnsi="Arial"/>
                <w:sz w:val="18"/>
                <w:szCs w:val="18"/>
                <w:color w:val="auto"/>
                <w:w w:val="96"/>
              </w:rPr>
              <w:t>Fair value measurements at April 28, 2019 using:</w:t>
            </w:r>
          </w:p>
        </w:tc>
        <w:tc>
          <w:tcPr>
            <w:tcW w:w="1200" w:type="dxa"/>
            <w:vAlign w:val="bottom"/>
            <w:tcBorders>
              <w:bottom w:val="single" w:sz="8" w:color="auto"/>
            </w:tcBorders>
          </w:tcPr>
          <w:p>
            <w:pPr>
              <w:spacing w:after="0"/>
              <w:rPr>
                <w:sz w:val="20"/>
                <w:szCs w:val="20"/>
                <w:color w:val="auto"/>
              </w:rPr>
            </w:pPr>
          </w:p>
        </w:tc>
      </w:tr>
      <w:tr>
        <w:trPr>
          <w:trHeight w:val="209"/>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Quoted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prices in</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Significant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active markets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other</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Significant</w:t>
            </w:r>
          </w:p>
        </w:tc>
        <w:tc>
          <w:tcPr>
            <w:tcW w:w="12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for identical</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observable</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unobservable</w:t>
            </w:r>
          </w:p>
        </w:tc>
        <w:tc>
          <w:tcPr>
            <w:tcW w:w="120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inputs</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inputs</w:t>
            </w:r>
          </w:p>
        </w:tc>
        <w:tc>
          <w:tcPr>
            <w:tcW w:w="1200" w:type="dxa"/>
            <w:vAlign w:val="bottom"/>
          </w:tcPr>
          <w:p>
            <w:pPr>
              <w:spacing w:after="0"/>
              <w:rPr>
                <w:sz w:val="20"/>
                <w:szCs w:val="20"/>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2</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3</w:t>
            </w:r>
          </w:p>
        </w:tc>
        <w:tc>
          <w:tcPr>
            <w:tcW w:w="400" w:type="dxa"/>
            <w:vAlign w:val="bottom"/>
            <w:gridSpan w:val="2"/>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Premier Money Market Fund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6,639</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ind w:left="1180"/>
              <w:spacing w:after="0"/>
              <w:rPr>
                <w:sz w:val="20"/>
                <w:szCs w:val="20"/>
                <w:color w:val="auto"/>
              </w:rPr>
            </w:pPr>
            <w:r>
              <w:rPr>
                <w:rFonts w:ascii="Arial" w:cs="Arial" w:eastAsia="Arial" w:hAnsi="Arial"/>
                <w:sz w:val="18"/>
                <w:szCs w:val="18"/>
                <w:color w:val="auto"/>
              </w:rPr>
              <w:t>N/A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6,639</w:t>
            </w:r>
          </w:p>
        </w:tc>
      </w:tr>
      <w:tr>
        <w:trPr>
          <w:trHeight w:val="229"/>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Growth Allocation Fund</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shd w:val="clear" w:color="auto" w:fill="CFF0FC"/>
          </w:tcPr>
          <w:p>
            <w:pPr>
              <w:ind w:left="118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Moderate Allocation Fund</w:t>
            </w:r>
          </w:p>
        </w:tc>
        <w:tc>
          <w:tcPr>
            <w:tcW w:w="1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ind w:left="1180"/>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127</w:t>
            </w:r>
          </w:p>
        </w:tc>
      </w:tr>
      <w:tr>
        <w:trPr>
          <w:trHeight w:val="229"/>
        </w:trPr>
        <w:tc>
          <w:tcPr>
            <w:tcW w:w="49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gridSpan w:val="2"/>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1900" w:type="dxa"/>
            <w:vAlign w:val="bottom"/>
            <w:tcBorders>
              <w:bottom w:val="single" w:sz="8" w:color="auto"/>
            </w:tcBorders>
            <w:gridSpan w:val="3"/>
            <w:shd w:val="clear" w:color="auto" w:fill="CFF0FC"/>
          </w:tcPr>
          <w:p>
            <w:pPr>
              <w:ind w:left="118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Basis – Discontinued Operations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assets and liabilities measured at fair value on a recurring basis related to our discontinued operation as of May 3, 2020 and April 28,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Basis – Continuing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assets and liabilities measured at fair value on a nonrecurring basis related to continuing operations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Borders>
              <w:bottom w:val="single" w:sz="8" w:color="auto"/>
            </w:tcBorders>
            <w:gridSpan w:val="7"/>
          </w:tcPr>
          <w:p>
            <w:pPr>
              <w:ind w:left="1420"/>
              <w:spacing w:after="0"/>
              <w:rPr>
                <w:sz w:val="20"/>
                <w:szCs w:val="20"/>
                <w:color w:val="auto"/>
              </w:rPr>
            </w:pPr>
            <w:r>
              <w:rPr>
                <w:rFonts w:ascii="Arial" w:cs="Arial" w:eastAsia="Arial" w:hAnsi="Arial"/>
                <w:sz w:val="18"/>
                <w:szCs w:val="18"/>
                <w:color w:val="auto"/>
                <w:w w:val="91"/>
              </w:rPr>
              <w:t>Fair value measurements at May 3, 2020 using:</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09"/>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Quoted</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prices in</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Significant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active markets</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other</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for identical</w:t>
            </w: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observable</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unobservable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80"/>
              </w:rPr>
              <w:t>assets</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inputs</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inputs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2</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N/A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8"/>
                <w:szCs w:val="18"/>
                <w:color w:val="auto"/>
              </w:rPr>
              <w:t>Tradename</w:t>
            </w:r>
          </w:p>
        </w:tc>
        <w:tc>
          <w:tcPr>
            <w:tcW w:w="1860" w:type="dxa"/>
            <w:vAlign w:val="bottom"/>
            <w:tcBorders>
              <w:bottom w:val="single" w:sz="8" w:color="auto"/>
            </w:tcBorders>
            <w:gridSpan w:val="2"/>
            <w:shd w:val="clear" w:color="auto" w:fill="CFF0FC"/>
          </w:tcPr>
          <w:p>
            <w:pPr>
              <w:ind w:left="130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auto"/>
            </w:tcBorders>
            <w:gridSpan w:val="3"/>
            <w:shd w:val="clear" w:color="auto" w:fill="CFF0FC"/>
          </w:tcPr>
          <w:p>
            <w:pPr>
              <w:ind w:left="102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recorded at fair market value using a discounted cash flow method that used significant unobservable inputs and was classified as level 3. See Note 9 of the consolidated financial statements for further details regarding our assessment of impairment, conclusions reached, and the performance of our quantitative impairment tests.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Tradename was recorded at fair market value using the relief from royalty method that used significant unobservable inputs and was classified as level 3. See Note 8 of the consolidated financial statements for further details regarding our assessment of impairment, conclusions reached, and the performance of our quantitative impairment test.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Nonrecurring Basis – Discontinued Operation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assets and liabilities measured at fair value on a nonrecurring basis related to discontinued operations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color w:val="auto"/>
                <w:w w:val="89"/>
              </w:rPr>
              <w:t>Fair value measurements at May 3, 2020 using:</w:t>
            </w:r>
          </w:p>
        </w:tc>
        <w:tc>
          <w:tcPr>
            <w:tcW w:w="640" w:type="dxa"/>
            <w:vAlign w:val="bottom"/>
            <w:tcBorders>
              <w:bottom w:val="single" w:sz="8" w:color="auto"/>
            </w:tcBorders>
          </w:tcPr>
          <w:p>
            <w:pPr>
              <w:spacing w:after="0"/>
              <w:rPr>
                <w:sz w:val="20"/>
                <w:szCs w:val="20"/>
                <w:color w:val="auto"/>
              </w:rPr>
            </w:pPr>
          </w:p>
        </w:tc>
      </w:tr>
      <w:tr>
        <w:trPr>
          <w:trHeight w:val="209"/>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Quoted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prices in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active markets</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other</w:t>
            </w: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6"/>
              </w:rPr>
              <w:t>Significant</w:t>
            </w:r>
          </w:p>
        </w:tc>
        <w:tc>
          <w:tcPr>
            <w:tcW w:w="64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 identical</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observable</w:t>
            </w: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unobservable</w:t>
            </w:r>
          </w:p>
        </w:tc>
        <w:tc>
          <w:tcPr>
            <w:tcW w:w="640" w:type="dxa"/>
            <w:vAlign w:val="bottom"/>
          </w:tcPr>
          <w:p>
            <w:pPr>
              <w:spacing w:after="0"/>
              <w:rPr>
                <w:sz w:val="18"/>
                <w:szCs w:val="18"/>
                <w:color w:val="auto"/>
              </w:rPr>
            </w:pPr>
          </w:p>
        </w:tc>
      </w:tr>
      <w:tr>
        <w:trPr>
          <w:trHeight w:val="230"/>
        </w:trPr>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0"/>
              </w:rPr>
              <w:t>assets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inputs</w:t>
            </w: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inputs</w:t>
            </w:r>
          </w:p>
        </w:tc>
        <w:tc>
          <w:tcPr>
            <w:tcW w:w="640" w:type="dxa"/>
            <w:vAlign w:val="bottom"/>
          </w:tcPr>
          <w:p>
            <w:pPr>
              <w:spacing w:after="0"/>
              <w:rPr>
                <w:sz w:val="20"/>
                <w:szCs w:val="20"/>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14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3</w:t>
            </w:r>
          </w:p>
        </w:tc>
        <w:tc>
          <w:tcPr>
            <w:tcW w:w="380" w:type="dxa"/>
            <w:vAlign w:val="bottom"/>
            <w:gridSpan w:val="2"/>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Total</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Goodwill - discontinued operation</w:t>
            </w:r>
          </w:p>
        </w:tc>
        <w:tc>
          <w:tcPr>
            <w:tcW w:w="146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44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640" w:type="dxa"/>
            <w:vAlign w:val="bottom"/>
          </w:tcPr>
          <w:p>
            <w:pPr>
              <w:ind w:left="320"/>
              <w:spacing w:after="0"/>
              <w:rPr>
                <w:sz w:val="20"/>
                <w:szCs w:val="20"/>
                <w:color w:val="auto"/>
              </w:rPr>
            </w:pPr>
            <w:r>
              <w:rPr>
                <w:rFonts w:ascii="Arial" w:cs="Arial" w:eastAsia="Arial" w:hAnsi="Arial"/>
                <w:sz w:val="18"/>
                <w:szCs w:val="18"/>
                <w:color w:val="auto"/>
                <w:w w:val="99"/>
              </w:rPr>
              <w:t>N/A</w:t>
            </w:r>
          </w:p>
        </w:tc>
      </w:tr>
      <w:tr>
        <w:trPr>
          <w:trHeight w:val="229"/>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Tradename - discontinued operation</w:t>
            </w:r>
          </w:p>
        </w:tc>
        <w:tc>
          <w:tcPr>
            <w:tcW w:w="146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N/A</w:t>
            </w:r>
          </w:p>
        </w:tc>
        <w:tc>
          <w:tcPr>
            <w:tcW w:w="144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N/A</w:t>
            </w:r>
          </w:p>
        </w:tc>
        <w:tc>
          <w:tcPr>
            <w:tcW w:w="6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9"/>
              </w:rPr>
              <w:t>N/A</w:t>
            </w: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52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8"/>
                <w:szCs w:val="18"/>
                <w:color w:val="auto"/>
              </w:rPr>
              <w:t>Contingent Consideration affiliated with discontinued operation</w:t>
            </w:r>
          </w:p>
        </w:tc>
        <w:tc>
          <w:tcPr>
            <w:tcW w:w="1460" w:type="dxa"/>
            <w:vAlign w:val="bottom"/>
            <w:tcBorders>
              <w:bottom w:val="single" w:sz="8" w:color="auto"/>
            </w:tcBorders>
            <w:gridSpan w:val="2"/>
            <w:shd w:val="clear" w:color="auto" w:fill="CFF0FC"/>
          </w:tcPr>
          <w:p>
            <w:pPr>
              <w:ind w:left="92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tcBorders>
            <w:gridSpan w:val="2"/>
            <w:shd w:val="clear" w:color="auto" w:fill="CFF0FC"/>
          </w:tcPr>
          <w:p>
            <w:pPr>
              <w:ind w:left="70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auto"/>
            </w:tcBorders>
            <w:gridSpan w:val="3"/>
            <w:shd w:val="clear" w:color="auto" w:fill="CFF0FC"/>
          </w:tcPr>
          <w:p>
            <w:pPr>
              <w:ind w:left="74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9"/>
              </w:rPr>
              <w:t>N/A</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assessed for impairment at the end of our third quarter and during our fourth quarter of fiscal 2020. At the end of the third quarter of fiscal 2020, goodwill was recorded at fair market value using a discounted cash flow method that used significant unobservable inputs and was classified as level 3.</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 of fiscal 2020, goodwill was recorded at fair market value based on the expected selling price of our entire ownership in eLuxury in comparison to its carrying amount, including goodwill.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of the notes to the consolidated financial statements for further details regarding our assessment of impairment, conclusions reached, and the performance of our quantitative impairment tests.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Tradename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Tradename was assessed for impairment at the end of our third quarter and during our fourth quarter of fiscal 2020. At the end of the third quarter of fiscal 2020, tradename was recorded at fair market value using the relief from royalty method that used significant unobservable inputs and was classified as level 3.</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 of fiscal 2020, tradename was recorded at fair market value based on the expected selling price of our entire ownership in eLuxury in comparison to its carrying amount. As disclosed in Note 3 located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of the consolidated financial statements for further details regarding our assessment of impairment, conclusions reached, and the performance of our quantitative impairment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Consideration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were required to assess the fair value of the earn-out obligation associated with the purchase of eLuxury each quarterly reporting period. Based on management’s assessment as of the end of our third quarter of fiscal 2020 (February 2, 2020), we determined it was necessary to adjust the forecasted EBITDA as it relates to this earn-out obligation. This determination was based on the future outlook of our former home accessories segment and its slower than expected business improvement,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the earn-out obligation at the end of our third quarter of fiscal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See Note 3 of the consolidated financial statements for further details regarding the terms of this contingent consideration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both"/>
        <w:ind w:right="20"/>
        <w:spacing w:after="0" w:line="311" w:lineRule="auto"/>
        <w:rPr>
          <w:sz w:val="20"/>
          <w:szCs w:val="20"/>
          <w:color w:val="auto"/>
        </w:rPr>
      </w:pPr>
      <w:r>
        <w:rPr>
          <w:rFonts w:ascii="Arial" w:cs="Arial" w:eastAsia="Arial" w:hAnsi="Arial"/>
          <w:sz w:val="16"/>
          <w:szCs w:val="16"/>
          <w:color w:val="auto"/>
        </w:rPr>
        <w:t>As of April 28, 2019, we did not have any assets or liabilities that were required to be measured at fair value on a nonrecurring basis except for the assets acquired and certain liabilities assumed in the connection with the eLuxury business combination on June 22, 2018, that were acquired at fair value. See Note 3 of the consolidated financial statements for further details regarding the acquisition of eLuxury and subsequent disposal effective March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tcBorders>
              <w:bottom w:val="single" w:sz="8" w:color="auto"/>
            </w:tcBorders>
            <w:gridSpan w:val="8"/>
          </w:tcPr>
          <w:p>
            <w:pPr>
              <w:jc w:val="right"/>
              <w:ind w:right="470"/>
              <w:spacing w:after="0"/>
              <w:rPr>
                <w:sz w:val="20"/>
                <w:szCs w:val="20"/>
                <w:color w:val="auto"/>
              </w:rPr>
            </w:pPr>
            <w:r>
              <w:rPr>
                <w:rFonts w:ascii="Arial" w:cs="Arial" w:eastAsia="Arial" w:hAnsi="Arial"/>
                <w:sz w:val="18"/>
                <w:szCs w:val="18"/>
                <w:color w:val="auto"/>
              </w:rPr>
              <w:t>Fair value measurements at April 28, 2019 using:</w:t>
            </w:r>
          </w:p>
        </w:tc>
      </w:tr>
      <w:tr>
        <w:trPr>
          <w:trHeight w:val="209"/>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Quoted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prices in</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active markets</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Significant</w:t>
            </w: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 identical</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observable</w:t>
            </w:r>
          </w:p>
        </w:tc>
        <w:tc>
          <w:tcPr>
            <w:tcW w:w="13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92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0"/>
              </w:rPr>
              <w:t>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inputs</w:t>
            </w:r>
          </w:p>
        </w:tc>
        <w:tc>
          <w:tcPr>
            <w:tcW w:w="920" w:type="dxa"/>
            <w:vAlign w:val="bottom"/>
          </w:tcPr>
          <w:p>
            <w:pPr>
              <w:spacing w:after="0"/>
              <w:rPr>
                <w:sz w:val="20"/>
                <w:szCs w:val="20"/>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6"/>
              </w:rPr>
              <w:t>Level 3</w:t>
            </w:r>
          </w:p>
        </w:tc>
        <w:tc>
          <w:tcPr>
            <w:tcW w:w="12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Goodwill - discontinued operation</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Pr>
          <w:p>
            <w:pPr>
              <w:ind w:left="760"/>
              <w:spacing w:after="0"/>
              <w:rPr>
                <w:sz w:val="20"/>
                <w:szCs w:val="20"/>
                <w:color w:val="auto"/>
              </w:rPr>
            </w:pPr>
            <w:r>
              <w:rPr>
                <w:rFonts w:ascii="Arial" w:cs="Arial" w:eastAsia="Arial" w:hAnsi="Arial"/>
                <w:sz w:val="18"/>
                <w:szCs w:val="18"/>
                <w:color w:val="auto"/>
                <w:w w:val="99"/>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13,653</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   13,653</w:t>
            </w:r>
          </w:p>
        </w:tc>
      </w:tr>
      <w:tr>
        <w:trPr>
          <w:trHeight w:val="229"/>
        </w:trPr>
        <w:tc>
          <w:tcPr>
            <w:tcW w:w="6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Tradename - discontinued operation</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6,549</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6,549</w:t>
            </w: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Equipment - discontinued operation</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2,179</w:t>
            </w:r>
          </w:p>
        </w:tc>
      </w:tr>
      <w:tr>
        <w:trPr>
          <w:trHeight w:val="229"/>
        </w:trPr>
        <w:tc>
          <w:tcPr>
            <w:tcW w:w="6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Inventory - discontinued operation</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1,804</w:t>
            </w: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66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8"/>
                <w:szCs w:val="18"/>
                <w:color w:val="auto"/>
              </w:rPr>
              <w:t>Contingent consideration affiliated with a discontinued operation</w:t>
            </w:r>
          </w:p>
        </w:tc>
        <w:tc>
          <w:tcPr>
            <w:tcW w:w="1260" w:type="dxa"/>
            <w:vAlign w:val="bottom"/>
            <w:tcBorders>
              <w:bottom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5,856</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tradename was recorded at fair market value using the royalty from relief method that used significant unobservable inputs and was classified as level</w:t>
      </w:r>
    </w:p>
    <w:p>
      <w:pPr>
        <w:spacing w:after="0" w:line="46" w:lineRule="exact"/>
        <w:rPr>
          <w:sz w:val="20"/>
          <w:szCs w:val="20"/>
          <w:color w:val="auto"/>
        </w:rPr>
      </w:pPr>
    </w:p>
    <w:p>
      <w:pPr>
        <w:ind w:right="20" w:firstLine="8"/>
        <w:spacing w:after="0" w:line="260"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contingent consideration – earn-out obligation was recorded at fair market value using Black Sholes pricing model which used significant observable inputs and was classified as level 3.</w:t>
      </w:r>
    </w:p>
    <w:p>
      <w:pPr>
        <w:spacing w:after="0" w:line="1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we acquired certain current assets such as accounts receivable and prepaid expenses and assumed certain liabilities such as accounts payable and accrued expenses. Based on the nature of these items and their short maturity, the carrying amount of these items approximated their fair values. See Note 3 of the consolidated financial statements for the final allocation of the acquisition cost to the assets acquired and liabilities assumed based on their fair values.</w:t>
      </w:r>
    </w:p>
    <w:p>
      <w:pPr>
        <w:spacing w:after="0" w:line="142"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fourth quarter of fiscal 2018, we entered into a EURO foreign exchange contract to mitigate the risk of foreign exchange rate fluctuations associated with certain capital expenditures. The contract effectively converted our EURO capital expenditures at a fixed EURO foreign exchange rate compared with the United States dollar of 1.263. This contract expired during the first quarter of fiscal 2019.</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accordance with the provisions of ASC Topic 815, Derivatives and Hedging, our EURO foreign exchange contract was designated as a cash flow hedge, with the fair value of these financial instruments recorded in accrued expenses and changes in fair value recorded in accumulated other comprehensive income (loss). ASC Topic 815 requires disclosure of gains and losses on derivative instruments in the following tabular format.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5"/>
          </w:tcPr>
          <w:p>
            <w:pPr>
              <w:ind w:left="20"/>
              <w:spacing w:after="0"/>
              <w:rPr>
                <w:sz w:val="20"/>
                <w:szCs w:val="20"/>
                <w:color w:val="auto"/>
              </w:rPr>
            </w:pPr>
            <w:r>
              <w:rPr>
                <w:rFonts w:ascii="Arial" w:cs="Arial" w:eastAsia="Arial" w:hAnsi="Arial"/>
                <w:sz w:val="18"/>
                <w:szCs w:val="18"/>
                <w:color w:val="auto"/>
              </w:rPr>
              <w:t>(Amounts in Thousands)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rPr>
              <w:t>Fair Values of Derivative Instruments</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w w:val="92"/>
              </w:rPr>
              <w:t>May 3, 2020</w:t>
            </w: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color w:val="auto"/>
              </w:rPr>
              <w:t>April 28, 2019</w:t>
            </w:r>
          </w:p>
        </w:tc>
        <w:tc>
          <w:tcPr>
            <w:tcW w:w="20" w:type="dxa"/>
            <w:vAlign w:val="bottom"/>
          </w:tcPr>
          <w:p>
            <w:pPr>
              <w:spacing w:after="0"/>
              <w:rPr>
                <w:sz w:val="19"/>
                <w:szCs w:val="19"/>
                <w:color w:val="auto"/>
              </w:rPr>
            </w:pPr>
          </w:p>
        </w:tc>
      </w:tr>
      <w:tr>
        <w:trPr>
          <w:trHeight w:val="209"/>
        </w:trPr>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Balance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Balance</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Derivatives designated as hedging instruments under ASC Topic</w:t>
            </w:r>
          </w:p>
        </w:tc>
        <w:tc>
          <w:tcPr>
            <w:tcW w:w="720" w:type="dxa"/>
            <w:vAlign w:val="bottom"/>
          </w:tcPr>
          <w:p>
            <w:pPr>
              <w:spacing w:after="0"/>
              <w:rPr>
                <w:sz w:val="18"/>
                <w:szCs w:val="18"/>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8"/>
                <w:szCs w:val="18"/>
                <w:color w:val="auto"/>
                <w:w w:val="84"/>
              </w:rPr>
              <w:t>Sheet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Fair</w:t>
            </w: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color w:val="auto"/>
                <w:w w:val="84"/>
              </w:rPr>
              <w:t>Sheet</w:t>
            </w: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6"/>
              </w:rPr>
              <w:t>Fair</w:t>
            </w:r>
          </w:p>
        </w:tc>
        <w:tc>
          <w:tcPr>
            <w:tcW w:w="20" w:type="dxa"/>
            <w:vAlign w:val="bottom"/>
          </w:tcPr>
          <w:p>
            <w:pPr>
              <w:spacing w:after="0"/>
              <w:rPr>
                <w:sz w:val="18"/>
                <w:szCs w:val="18"/>
                <w:color w:val="auto"/>
              </w:rPr>
            </w:pPr>
          </w:p>
        </w:tc>
      </w:tr>
      <w:tr>
        <w:trPr>
          <w:trHeight w:val="230"/>
        </w:trPr>
        <w:tc>
          <w:tcPr>
            <w:tcW w:w="5100" w:type="dxa"/>
            <w:vAlign w:val="bottom"/>
          </w:tcPr>
          <w:p>
            <w:pPr>
              <w:jc w:val="right"/>
              <w:ind w:right="4590"/>
              <w:spacing w:after="0"/>
              <w:rPr>
                <w:sz w:val="20"/>
                <w:szCs w:val="20"/>
                <w:color w:val="auto"/>
              </w:rPr>
            </w:pPr>
            <w:r>
              <w:rPr>
                <w:rFonts w:ascii="Arial" w:cs="Arial" w:eastAsia="Arial" w:hAnsi="Arial"/>
                <w:sz w:val="18"/>
                <w:szCs w:val="18"/>
                <w:color w:val="auto"/>
              </w:rPr>
              <w:t>815</w:t>
            </w:r>
          </w:p>
        </w:tc>
        <w:tc>
          <w:tcPr>
            <w:tcW w:w="720" w:type="dxa"/>
            <w:vAlign w:val="bottom"/>
          </w:tcPr>
          <w:p>
            <w:pPr>
              <w:spacing w:after="0"/>
              <w:rPr>
                <w:sz w:val="20"/>
                <w:szCs w:val="20"/>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Location</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Value</w:t>
            </w: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Location</w:t>
            </w: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1"/>
              </w:rPr>
              <w:t>Value</w:t>
            </w:r>
          </w:p>
        </w:tc>
        <w:tc>
          <w:tcPr>
            <w:tcW w:w="20" w:type="dxa"/>
            <w:vAlign w:val="bottom"/>
          </w:tcPr>
          <w:p>
            <w:pPr>
              <w:spacing w:after="0"/>
              <w:rPr>
                <w:sz w:val="20"/>
                <w:szCs w:val="20"/>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Euro Foreign Exchange Contract</w:t>
            </w:r>
          </w:p>
        </w:tc>
        <w:tc>
          <w:tcPr>
            <w:tcW w:w="7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Accrued</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40" w:type="dxa"/>
            <w:vAlign w:val="bottom"/>
            <w:gridSpan w:val="3"/>
          </w:tcPr>
          <w:p>
            <w:pPr>
              <w:ind w:left="940"/>
              <w:spacing w:after="0"/>
              <w:rPr>
                <w:sz w:val="20"/>
                <w:szCs w:val="20"/>
                <w:color w:val="auto"/>
              </w:rPr>
            </w:pPr>
            <w:r>
              <w:rPr>
                <w:rFonts w:ascii="Arial" w:cs="Arial" w:eastAsia="Arial" w:hAnsi="Arial"/>
                <w:sz w:val="18"/>
                <w:szCs w:val="18"/>
                <w:color w:val="auto"/>
              </w:rPr>
              <w:t>N/A  $</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ind w:left="620"/>
              <w:spacing w:after="0"/>
              <w:rPr>
                <w:sz w:val="20"/>
                <w:szCs w:val="20"/>
                <w:color w:val="auto"/>
              </w:rPr>
            </w:pPr>
            <w:r>
              <w:rPr>
                <w:rFonts w:ascii="Arial" w:cs="Arial" w:eastAsia="Arial" w:hAnsi="Arial"/>
                <w:sz w:val="18"/>
                <w:szCs w:val="18"/>
                <w:color w:val="auto"/>
              </w:rPr>
              <w:t>Expense  $</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32"/>
        </w:trPr>
        <w:tc>
          <w:tcPr>
            <w:tcW w:w="5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color w:val="auto"/>
                <w:w w:val="96"/>
              </w:rPr>
              <w:t>Location of</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Gain 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(Loss)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Recognized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w w:val="95"/>
              </w:rPr>
              <w:t>Amt of Gain (Loss)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Location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in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(net of tax)</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Gain or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9"/>
              </w:rPr>
              <w:t>on</w:t>
            </w:r>
          </w:p>
        </w:tc>
        <w:tc>
          <w:tcPr>
            <w:tcW w:w="1780" w:type="dxa"/>
            <w:vAlign w:val="bottom"/>
            <w:gridSpan w:val="6"/>
          </w:tcPr>
          <w:p>
            <w:pPr>
              <w:jc w:val="center"/>
              <w:ind w:left="208"/>
              <w:spacing w:after="0" w:line="149" w:lineRule="exact"/>
              <w:rPr>
                <w:sz w:val="20"/>
                <w:szCs w:val="20"/>
                <w:color w:val="auto"/>
              </w:rPr>
            </w:pPr>
            <w:r>
              <w:rPr>
                <w:rFonts w:ascii="Arial" w:cs="Arial" w:eastAsia="Arial" w:hAnsi="Arial"/>
                <w:sz w:val="14"/>
                <w:szCs w:val="14"/>
                <w:color w:val="auto"/>
                <w:w w:val="95"/>
              </w:rPr>
              <w:t>Amount of Gain (loss)</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7"/>
          </w:tcPr>
          <w:p>
            <w:pPr>
              <w:jc w:val="center"/>
              <w:spacing w:after="0" w:line="149" w:lineRule="exact"/>
              <w:rPr>
                <w:sz w:val="20"/>
                <w:szCs w:val="20"/>
                <w:color w:val="auto"/>
              </w:rPr>
            </w:pPr>
            <w:r>
              <w:rPr>
                <w:rFonts w:ascii="Arial" w:cs="Arial" w:eastAsia="Arial" w:hAnsi="Arial"/>
                <w:sz w:val="14"/>
                <w:szCs w:val="14"/>
                <w:color w:val="auto"/>
                <w:w w:val="93"/>
              </w:rPr>
              <w:t>Recognized in OCI 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(Loss)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Derivative</w:t>
            </w:r>
          </w:p>
        </w:tc>
        <w:tc>
          <w:tcPr>
            <w:tcW w:w="660" w:type="dxa"/>
            <w:vAlign w:val="bottom"/>
          </w:tcPr>
          <w:p>
            <w:pPr>
              <w:spacing w:after="0"/>
              <w:rPr>
                <w:sz w:val="12"/>
                <w:szCs w:val="12"/>
                <w:color w:val="auto"/>
              </w:rPr>
            </w:pPr>
          </w:p>
        </w:tc>
        <w:tc>
          <w:tcPr>
            <w:tcW w:w="900" w:type="dxa"/>
            <w:vAlign w:val="bottom"/>
            <w:gridSpan w:val="3"/>
          </w:tcPr>
          <w:p>
            <w:pPr>
              <w:jc w:val="center"/>
              <w:ind w:right="68"/>
              <w:spacing w:after="0" w:line="149" w:lineRule="exact"/>
              <w:rPr>
                <w:sz w:val="20"/>
                <w:szCs w:val="20"/>
                <w:color w:val="auto"/>
              </w:rPr>
            </w:pPr>
            <w:r>
              <w:rPr>
                <w:rFonts w:ascii="Arial" w:cs="Arial" w:eastAsia="Arial" w:hAnsi="Arial"/>
                <w:sz w:val="14"/>
                <w:szCs w:val="14"/>
                <w:color w:val="auto"/>
                <w:w w:val="95"/>
              </w:rPr>
              <w:t>(net of 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Arial" w:cs="Arial" w:eastAsia="Arial" w:hAnsi="Arial"/>
                <w:sz w:val="14"/>
                <w:szCs w:val="14"/>
                <w:color w:val="auto"/>
              </w:rPr>
              <w:t>Derivatives in ASC</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Derivative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Reclassified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9"/>
              </w:rPr>
              <w:t>(Ineffective</w:t>
            </w:r>
          </w:p>
        </w:tc>
        <w:tc>
          <w:tcPr>
            <w:tcW w:w="1780" w:type="dxa"/>
            <w:vAlign w:val="bottom"/>
            <w:gridSpan w:val="6"/>
          </w:tcPr>
          <w:p>
            <w:pPr>
              <w:jc w:val="center"/>
              <w:ind w:left="228"/>
              <w:spacing w:after="0" w:line="149" w:lineRule="exact"/>
              <w:rPr>
                <w:sz w:val="20"/>
                <w:szCs w:val="20"/>
                <w:color w:val="auto"/>
              </w:rPr>
            </w:pPr>
            <w:r>
              <w:rPr>
                <w:rFonts w:ascii="Arial" w:cs="Arial" w:eastAsia="Arial" w:hAnsi="Arial"/>
                <w:sz w:val="14"/>
                <w:szCs w:val="14"/>
                <w:color w:val="auto"/>
                <w:w w:val="93"/>
              </w:rPr>
              <w:t>Recognized in Income on</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Arial" w:cs="Arial" w:eastAsia="Arial" w:hAnsi="Arial"/>
                <w:sz w:val="14"/>
                <w:szCs w:val="14"/>
                <w:color w:val="auto"/>
              </w:rPr>
              <w:t>Topic 815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w w:val="97"/>
              </w:rPr>
              <w:t>(Effective Portion)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9"/>
              </w:rPr>
              <w:t>from</w:t>
            </w:r>
          </w:p>
        </w:tc>
        <w:tc>
          <w:tcPr>
            <w:tcW w:w="1860" w:type="dxa"/>
            <w:vAlign w:val="bottom"/>
            <w:gridSpan w:val="7"/>
          </w:tcPr>
          <w:p>
            <w:pPr>
              <w:jc w:val="center"/>
              <w:ind w:left="288"/>
              <w:spacing w:after="0" w:line="149" w:lineRule="exact"/>
              <w:rPr>
                <w:sz w:val="20"/>
                <w:szCs w:val="20"/>
                <w:color w:val="auto"/>
              </w:rPr>
            </w:pPr>
            <w:r>
              <w:rPr>
                <w:rFonts w:ascii="Arial" w:cs="Arial" w:eastAsia="Arial" w:hAnsi="Arial"/>
                <w:sz w:val="14"/>
                <w:szCs w:val="14"/>
                <w:color w:val="auto"/>
                <w:w w:val="95"/>
              </w:rPr>
              <w:t>Amount of Gain or (Loss)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4"/>
              </w:rPr>
              <w:t>Portion</w:t>
            </w:r>
          </w:p>
        </w:tc>
        <w:tc>
          <w:tcPr>
            <w:tcW w:w="1780" w:type="dxa"/>
            <w:vAlign w:val="bottom"/>
            <w:gridSpan w:val="6"/>
          </w:tcPr>
          <w:p>
            <w:pPr>
              <w:jc w:val="center"/>
              <w:ind w:left="228"/>
              <w:spacing w:after="0" w:line="149" w:lineRule="exact"/>
              <w:rPr>
                <w:sz w:val="20"/>
                <w:szCs w:val="20"/>
                <w:color w:val="auto"/>
              </w:rPr>
            </w:pPr>
            <w:r>
              <w:rPr>
                <w:rFonts w:ascii="Arial" w:cs="Arial" w:eastAsia="Arial" w:hAnsi="Arial"/>
                <w:sz w:val="14"/>
                <w:szCs w:val="14"/>
                <w:color w:val="auto"/>
                <w:w w:val="98"/>
              </w:rPr>
              <w:t>Derivative (Ineffective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2"/>
              </w:rPr>
              <w:t>and recorded in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Accumulated</w:t>
            </w:r>
          </w:p>
        </w:tc>
        <w:tc>
          <w:tcPr>
            <w:tcW w:w="580" w:type="dxa"/>
            <w:vAlign w:val="bottom"/>
          </w:tcPr>
          <w:p>
            <w:pPr>
              <w:spacing w:after="0"/>
              <w:rPr>
                <w:sz w:val="12"/>
                <w:szCs w:val="12"/>
                <w:color w:val="auto"/>
              </w:rPr>
            </w:pPr>
          </w:p>
        </w:tc>
        <w:tc>
          <w:tcPr>
            <w:tcW w:w="1100" w:type="dxa"/>
            <w:vAlign w:val="bottom"/>
            <w:gridSpan w:val="5"/>
          </w:tcPr>
          <w:p>
            <w:pPr>
              <w:jc w:val="center"/>
              <w:ind w:right="40"/>
              <w:spacing w:after="0" w:line="149" w:lineRule="exact"/>
              <w:rPr>
                <w:sz w:val="20"/>
                <w:szCs w:val="20"/>
                <w:color w:val="auto"/>
              </w:rPr>
            </w:pPr>
            <w:r>
              <w:rPr>
                <w:rFonts w:ascii="Arial" w:cs="Arial" w:eastAsia="Arial" w:hAnsi="Arial"/>
                <w:sz w:val="14"/>
                <w:szCs w:val="14"/>
                <w:color w:val="auto"/>
                <w:w w:val="94"/>
              </w:rPr>
              <w:t>Reclassified from</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and Amount</w:t>
            </w:r>
          </w:p>
        </w:tc>
        <w:tc>
          <w:tcPr>
            <w:tcW w:w="660" w:type="dxa"/>
            <w:vAlign w:val="bottom"/>
          </w:tcPr>
          <w:p>
            <w:pPr>
              <w:spacing w:after="0"/>
              <w:rPr>
                <w:sz w:val="12"/>
                <w:szCs w:val="12"/>
                <w:color w:val="auto"/>
              </w:rPr>
            </w:pPr>
          </w:p>
        </w:tc>
        <w:tc>
          <w:tcPr>
            <w:tcW w:w="900" w:type="dxa"/>
            <w:vAlign w:val="bottom"/>
            <w:gridSpan w:val="3"/>
          </w:tcPr>
          <w:p>
            <w:pPr>
              <w:jc w:val="center"/>
              <w:ind w:right="68"/>
              <w:spacing w:after="0" w:line="149" w:lineRule="exact"/>
              <w:rPr>
                <w:sz w:val="20"/>
                <w:szCs w:val="20"/>
                <w:color w:val="auto"/>
              </w:rPr>
            </w:pPr>
            <w:r>
              <w:rPr>
                <w:rFonts w:ascii="Arial" w:cs="Arial" w:eastAsia="Arial" w:hAnsi="Arial"/>
                <w:sz w:val="14"/>
                <w:szCs w:val="14"/>
                <w:color w:val="auto"/>
                <w:w w:val="94"/>
              </w:rPr>
              <w:t>Portion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Arial" w:cs="Arial" w:eastAsia="Arial" w:hAnsi="Arial"/>
                <w:sz w:val="14"/>
                <w:szCs w:val="14"/>
                <w:color w:val="auto"/>
              </w:rPr>
              <w:t>Hedging</w:t>
            </w:r>
          </w:p>
        </w:tc>
        <w:tc>
          <w:tcPr>
            <w:tcW w:w="540" w:type="dxa"/>
            <w:vAlign w:val="bottom"/>
          </w:tcPr>
          <w:p>
            <w:pPr>
              <w:spacing w:after="0"/>
              <w:rPr>
                <w:sz w:val="12"/>
                <w:szCs w:val="12"/>
                <w:color w:val="auto"/>
              </w:rPr>
            </w:pPr>
          </w:p>
        </w:tc>
        <w:tc>
          <w:tcPr>
            <w:tcW w:w="1360" w:type="dxa"/>
            <w:vAlign w:val="bottom"/>
            <w:gridSpan w:val="6"/>
          </w:tcPr>
          <w:p>
            <w:pPr>
              <w:jc w:val="center"/>
              <w:ind w:left="88"/>
              <w:spacing w:after="0" w:line="149" w:lineRule="exact"/>
              <w:rPr>
                <w:sz w:val="20"/>
                <w:szCs w:val="20"/>
                <w:color w:val="auto"/>
              </w:rPr>
            </w:pPr>
            <w:r>
              <w:rPr>
                <w:rFonts w:ascii="Arial" w:cs="Arial" w:eastAsia="Arial" w:hAnsi="Arial"/>
                <w:sz w:val="14"/>
                <w:szCs w:val="14"/>
                <w:color w:val="auto"/>
                <w:w w:val="90"/>
              </w:rPr>
              <w:t>Accrued Expenses at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OCI into</w:t>
            </w:r>
          </w:p>
        </w:tc>
        <w:tc>
          <w:tcPr>
            <w:tcW w:w="1860" w:type="dxa"/>
            <w:vAlign w:val="bottom"/>
            <w:gridSpan w:val="7"/>
          </w:tcPr>
          <w:p>
            <w:pPr>
              <w:jc w:val="center"/>
              <w:ind w:left="288"/>
              <w:spacing w:after="0" w:line="149" w:lineRule="exact"/>
              <w:rPr>
                <w:sz w:val="20"/>
                <w:szCs w:val="20"/>
                <w:color w:val="auto"/>
              </w:rPr>
            </w:pPr>
            <w:r>
              <w:rPr>
                <w:rFonts w:ascii="Arial" w:cs="Arial" w:eastAsia="Arial" w:hAnsi="Arial"/>
                <w:sz w:val="14"/>
                <w:szCs w:val="14"/>
                <w:color w:val="auto"/>
                <w:w w:val="95"/>
              </w:rPr>
              <w:t>Accumulated OCI into</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Excluded</w:t>
            </w:r>
          </w:p>
        </w:tc>
        <w:tc>
          <w:tcPr>
            <w:tcW w:w="1780" w:type="dxa"/>
            <w:vAlign w:val="bottom"/>
            <w:gridSpan w:val="6"/>
          </w:tcPr>
          <w:p>
            <w:pPr>
              <w:jc w:val="center"/>
              <w:ind w:left="228"/>
              <w:spacing w:after="0" w:line="149" w:lineRule="exact"/>
              <w:rPr>
                <w:sz w:val="20"/>
                <w:szCs w:val="20"/>
                <w:color w:val="auto"/>
              </w:rPr>
            </w:pPr>
            <w:r>
              <w:rPr>
                <w:rFonts w:ascii="Arial" w:cs="Arial" w:eastAsia="Arial" w:hAnsi="Arial"/>
                <w:sz w:val="14"/>
                <w:szCs w:val="14"/>
                <w:color w:val="auto"/>
                <w:w w:val="96"/>
              </w:rPr>
              <w:t>Amount Excluded from</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Relationships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Fair Value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Income</w:t>
            </w:r>
          </w:p>
        </w:tc>
        <w:tc>
          <w:tcPr>
            <w:tcW w:w="2580" w:type="dxa"/>
            <w:vAlign w:val="bottom"/>
            <w:gridSpan w:val="9"/>
          </w:tcPr>
          <w:p>
            <w:pPr>
              <w:jc w:val="center"/>
              <w:ind w:right="360"/>
              <w:spacing w:after="0"/>
              <w:rPr>
                <w:sz w:val="20"/>
                <w:szCs w:val="20"/>
                <w:color w:val="auto"/>
              </w:rPr>
            </w:pPr>
            <w:r>
              <w:rPr>
                <w:rFonts w:ascii="Arial" w:cs="Arial" w:eastAsia="Arial" w:hAnsi="Arial"/>
                <w:sz w:val="14"/>
                <w:szCs w:val="14"/>
                <w:color w:val="auto"/>
                <w:w w:val="95"/>
              </w:rPr>
              <w:t>Income (Effective Portion)</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from</w:t>
            </w:r>
          </w:p>
        </w:tc>
        <w:tc>
          <w:tcPr>
            <w:tcW w:w="1780" w:type="dxa"/>
            <w:vAlign w:val="bottom"/>
            <w:gridSpan w:val="6"/>
          </w:tcPr>
          <w:p>
            <w:pPr>
              <w:jc w:val="center"/>
              <w:ind w:left="228"/>
              <w:spacing w:after="0"/>
              <w:rPr>
                <w:sz w:val="20"/>
                <w:szCs w:val="20"/>
                <w:color w:val="auto"/>
              </w:rPr>
            </w:pPr>
            <w:r>
              <w:rPr>
                <w:rFonts w:ascii="Arial" w:cs="Arial" w:eastAsia="Arial" w:hAnsi="Arial"/>
                <w:sz w:val="14"/>
                <w:szCs w:val="14"/>
                <w:color w:val="auto"/>
                <w:w w:val="92"/>
              </w:rPr>
              <w:t>Effectiveness Testing)</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w w:val="99"/>
              </w:rPr>
              <w:t>(Effective</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line="137" w:lineRule="exact"/>
              <w:rPr>
                <w:sz w:val="20"/>
                <w:szCs w:val="20"/>
                <w:color w:val="auto"/>
              </w:rPr>
            </w:pPr>
            <w:r>
              <w:rPr>
                <w:rFonts w:ascii="Arial" w:cs="Arial" w:eastAsia="Arial" w:hAnsi="Arial"/>
                <w:sz w:val="14"/>
                <w:szCs w:val="14"/>
                <w:color w:val="auto"/>
                <w:w w:val="91"/>
              </w:rPr>
              <w:t>Effectiveness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vMerge w:val="restart"/>
          </w:tcPr>
          <w:p>
            <w:pPr>
              <w:spacing w:after="0"/>
              <w:rPr>
                <w:sz w:val="20"/>
                <w:szCs w:val="20"/>
                <w:color w:val="auto"/>
              </w:rPr>
            </w:pPr>
            <w:r>
              <w:rPr>
                <w:rFonts w:ascii="Arial" w:cs="Arial" w:eastAsia="Arial" w:hAnsi="Arial"/>
                <w:sz w:val="14"/>
                <w:szCs w:val="14"/>
                <w:color w:val="auto"/>
              </w:rPr>
              <w:t>EURO Foreign</w:t>
            </w:r>
          </w:p>
        </w:tc>
        <w:tc>
          <w:tcPr>
            <w:tcW w:w="540" w:type="dxa"/>
            <w:vAlign w:val="bottom"/>
          </w:tcPr>
          <w:p>
            <w:pPr>
              <w:jc w:val="right"/>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Portion)</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48"/>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Testing)</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w w:val="89"/>
              </w:rPr>
              <w:t>2018</w:t>
            </w:r>
          </w:p>
        </w:tc>
        <w:tc>
          <w:tcPr>
            <w:tcW w:w="0" w:type="dxa"/>
            <w:vAlign w:val="bottom"/>
          </w:tcPr>
          <w:p>
            <w:pPr>
              <w:spacing w:after="0"/>
              <w:rPr>
                <w:sz w:val="1"/>
                <w:szCs w:val="1"/>
                <w:color w:val="auto"/>
              </w:rPr>
            </w:pPr>
          </w:p>
        </w:tc>
      </w:tr>
      <w:tr>
        <w:trPr>
          <w:trHeight w:val="137"/>
        </w:trPr>
        <w:tc>
          <w:tcPr>
            <w:tcW w:w="1460" w:type="dxa"/>
            <w:vAlign w:val="bottom"/>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120"/>
              <w:spacing w:after="0" w:line="149" w:lineRule="exact"/>
              <w:rPr>
                <w:sz w:val="20"/>
                <w:szCs w:val="20"/>
                <w:color w:val="auto"/>
              </w:rPr>
            </w:pPr>
            <w:r>
              <w:rPr>
                <w:rFonts w:ascii="Arial" w:cs="Arial" w:eastAsia="Arial" w:hAnsi="Arial"/>
                <w:sz w:val="14"/>
                <w:szCs w:val="14"/>
                <w:color w:val="auto"/>
              </w:rPr>
              <w:t>Exchange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20"/>
              <w:spacing w:after="0"/>
              <w:rPr>
                <w:sz w:val="20"/>
                <w:szCs w:val="20"/>
                <w:color w:val="auto"/>
              </w:rPr>
            </w:pPr>
            <w:r>
              <w:rPr>
                <w:rFonts w:ascii="Arial" w:cs="Arial" w:eastAsia="Arial" w:hAnsi="Arial"/>
                <w:sz w:val="14"/>
                <w:szCs w:val="14"/>
                <w:color w:val="auto"/>
              </w:rPr>
              <w:t>Contract</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color w:val="auto"/>
              </w:rPr>
              <w:t>Other Exp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60" w:type="dxa"/>
            <w:vAlign w:val="bottom"/>
            <w:gridSpan w:val="3"/>
          </w:tcPr>
          <w:p>
            <w:pPr>
              <w:ind w:left="200"/>
              <w:spacing w:after="0"/>
              <w:rPr>
                <w:sz w:val="20"/>
                <w:szCs w:val="20"/>
                <w:color w:val="auto"/>
              </w:rPr>
            </w:pPr>
            <w:r>
              <w:rPr>
                <w:rFonts w:ascii="Arial" w:cs="Arial" w:eastAsia="Arial" w:hAnsi="Arial"/>
                <w:sz w:val="14"/>
                <w:szCs w:val="14"/>
                <w:color w:val="auto"/>
              </w:rPr>
              <w:t>Other Exp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FROM CONTINUING OPERATIONS PER SHARE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income from continuing operations per share is computed using the weighted-average number of shares outstanding during the period. Diluted net (loss) income from continuing operations per share uses the weighted-average number of shares outstanding during the period plus the dilutive effect of stock-based compensation calculated using the treasury stock method. Weighted average shares used in the computation of basic and diluted net (loss) income from continuing operations per share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12,462</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12,431</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dilutive effect of stock-based compensation</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202</w:t>
            </w:r>
          </w:p>
        </w:tc>
      </w:tr>
      <w:tr>
        <w:trPr>
          <w:trHeight w:val="223"/>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common shares outstanding, diluted</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12,633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May 3, 2020, April 28, 2019, and April 29, 2018, there were no options outstanding to purchase shares of our common stock. Therefore, options to purchase shares of our common stock were not included in the computation of diluted net (loss) income from continuing operations per share during fiscal 2020 and 2019. However, we did have options to purchase shares of common stock during fiscal 2018 that were included in the computation of diluted net income from continuing operations per share, as the exercise price of the options was less than the average market price of common shares.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fiscal 2020, 19,388 shares of unvested common stock were not included in the computation of diluted net loss from continuing operations per share as their effect would be antidilutive. During fiscal 2020, 45,731 shares of unvested common stock were not included in the computation of diluted net loss from continuing operations per share, as we incurred a net loss for the fiscal year, in which their effect would be anti-diluted. During fiscal 2019 and 2018, all unvested shares of common stock were included in the computation of diluted net income from continuing operations per share.</w:t>
      </w:r>
    </w:p>
    <w:p>
      <w:pPr>
        <w:spacing w:after="0" w:line="167"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defined contribution plans which cover substantially all employees and provide for participant contributions on a pre-tax basis and matching contributions by the company for its U.S. and Canadian operations. Our contributions to these plans were $1.2 million, $1.2 million, and $1.1 million during fiscal years 2020, 2019, and 2018,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Deferred Compensation Plan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contributions to the Plan were $185,000, $189,000, and $192,000 in fiscal years 2020, 2019, and 2018, respectively. Our nonqualified deferred compensation plan liability was $7.7 million and $7.0 million at May 3, 2020 and April 28, 2019, respectively.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Rabbi Trust (the “Trust”) to set aside funds for the participants of the Plan and that allows the participants to direct their contributions to various investment options in the Plan. The investment options of the Plan consist of a money market fund and various mutual funds. The funds set aside in the Trust are subject to the claims of our general creditors in the event of the company’s insolvency as defined in the Plan.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investment assets of the Trust are recorded at their fair value of $7.8 million and $7.1 million at May 3, 2020 and April 28, 2019, respectively. The investment assets of the Trust are classified as available for sale and accordingly, changes in their fair values are recorded in other comprehensive (loss) income.</w:t>
      </w:r>
    </w:p>
    <w:p>
      <w:pPr>
        <w:spacing w:after="0" w:line="180"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continuing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Mattress Fabrics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mattress fabrics segment manufactures, sources, and sells fabrics and mattress covers primarily to bedding manufacturers.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Upholstery Fabrics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upholstery fabrics segment develops, manufactures, sources, and sells fabrics primarily to residential and commercial furniture manufacturers. Effective April 1, 2018, we acquired Read (see Note 2 of the consolidated financial statements for further details), a turn-key provider of window treatments that offers sourcing of upholstery fabrics and other products, measuring, and installation services of their own products for the hospitality and commercial industries. In addition, Read supplies soft goods such as decorative top sheets, coverlets, duvet covers, bed skirts, bolsters, and pillows.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 – Home Accessories Segment</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disclosed in Note 3 of the consolidated financial statements, we sold our entire ownership interest in eLuxury on March 31, 2020, and consequently our home accessories segment was eliminated at such time. Additionally, the results of operations associated with our home accessories segment were excluded from our continuing operations and presented as a discontinued operation in our consolidated financial statements.</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See Note 3 of the consolidated financial statements for detailed financial information of our former home accessories segment. As disclosed in Note 3, a reconciliation is provided that has detailed balance sheet information as of March 31, 2020 (the disposal date) and April 28, 2019, that is reconciled to captions titled “current assets held for sale – discontinued operation”, “noncurrent assets held for sale – discontinued operation”, current liabilities held for sale – discontinued operation”, and “noncurrent liabilities held for sale – discontinued operation” presented in the Consolidated Balance Sheets as of May 3, 2020 and April 28, 2019, respectively. Also, a reconciliation is provided that pertains to detailed income statement information disclosed in Note 3 and is reconciled to net loss from discontinued operation presented in the Consolidated Statements of Net (Loss) Income for fiscal years 2020, 2019, and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Net Sales Geographic Concentration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denominated in U.S. dollars accounted for 93%, 90% and 90% of total consolidated net sales in fiscal 2020, 2019, and 2018, respectively. International sales accounted for 26%, 26%, and 23% of net sales during fiscal 2020, 2019, and 2018, respectively, and are summarized by geographic area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 (excluding USA)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27,637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29,247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27,844</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far east and asia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36,470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39,277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40,671</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all other areas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5,681</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67,093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72,236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74,196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 this amount, $21.7 million, $22.5 million, and $21.9 million are attributable to shipments to Mexico in fiscal 2020, 2019, and 2018, respectively.</w:t>
      </w:r>
    </w:p>
    <w:p>
      <w:pPr>
        <w:spacing w:after="0" w:line="207" w:lineRule="exact"/>
        <w:rPr>
          <w:rFonts w:ascii="Arial" w:cs="Arial" w:eastAsia="Arial" w:hAnsi="Arial"/>
          <w:sz w:val="16"/>
          <w:szCs w:val="16"/>
          <w:color w:val="auto"/>
        </w:rPr>
      </w:pPr>
    </w:p>
    <w:p>
      <w:pPr>
        <w:ind w:right="240" w:firstLine="8"/>
        <w:spacing w:after="0" w:line="480" w:lineRule="auto"/>
        <w:tabs>
          <w:tab w:leader="none" w:pos="499" w:val="left"/>
        </w:tabs>
        <w:numPr>
          <w:ilvl w:val="0"/>
          <w:numId w:val="51"/>
        </w:numPr>
        <w:rPr>
          <w:rFonts w:ascii="Arial" w:cs="Arial" w:eastAsia="Arial" w:hAnsi="Arial"/>
          <w:sz w:val="17"/>
          <w:szCs w:val="17"/>
          <w:color w:val="auto"/>
        </w:rPr>
      </w:pPr>
      <w:r>
        <w:rPr>
          <w:rFonts w:ascii="Arial" w:cs="Arial" w:eastAsia="Arial" w:hAnsi="Arial"/>
          <w:sz w:val="17"/>
          <w:szCs w:val="17"/>
          <w:color w:val="auto"/>
        </w:rPr>
        <w:t>Of this amount $21.4 million, $29.8 million, and $32.6 million are attributable to shipments to China in fiscal 2020, 2019, and 2018, respectively. Sales are attributed to individual countries based upon location that the company ships its products to for delivery to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customer within the upholstery fabrics segment represented 12%, 11%, and 12% of consolidated net sales in fiscal 2020, 2019 and 2018, respectively. No customers within the upholstery fabrics segment accounted for greater than 10% of the consolidated net accounts receivable balance as of May 3, 2020 or April 28, 2019.</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customers within the mattress fabrics segment represented greater than 10% of consolidated net sales during fiscal 2020 or fiscal 2019. One customer within the mattress fabrics segment represented 13% of consolidated net sales during 2018. No customers within the mattress fabrics segment accounted for greater than 10% of the consolidated net accounts receivable balance as of May 3, 2020 or April 28,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Workforce Concentration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hourly employees at our manufacturing facility in Canada (approximately 12% of our workforce) are represented by a local, unaffiliated union. The collective bargaining agreement for these employees expired on February 1, 2020. However, the provisions of this collective bargaining agreement remained in effect as negotiations for a new collective bargaining agreement were delayed due to government mandated shutdowns in response to the COVID-19 pandemic. A new collective bargaining agreement is expected to be executed during the first half of fiscal 2021. We are not aware of any efforts to organize any more of our employees, and we believe our relations with our employees are good.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the operating performance of our current business segments based upon income from operations before certain unallocated corporate expenses, restructuring expense (credit) and related charges, and other non-recurring items. Cost of sales in all of our current business segments include costs to manufacture, develop, or source our products, including costs such as raw material and finished goods purchases, direct and indirect labor, overhead and incoming freight charges. Unallocated corporate expenses primarily represent compensation and benefits for certain senior executives, all costs related with being a public company, and other miscellaneous expenses. Segment assets include assets used in operations of each segment and primarily consist of accounts receivable, inventories, and property, plant, and equipment. The mattress fabrics segment also includes in segment assets their investment in an unconsolidated joint venture. During fiscal 2019, we elected to no longer include goodwill and intangible assets in segment assets, as these assets are not used by the Chief Operating Decision Maker to evaluate the respective segment’s operating performance, to allocate resources to the individual segments, or determine executive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Statements of operations for our current operating segments are as follows: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 by segment: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124,754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135,654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131,128</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192,597</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256,166</w:t>
            </w: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281,325</w:t>
            </w: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323,725</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gross profit from continuing operations by segment: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24,220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25,373</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25,836</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16,278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22,904</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38,797</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gross profit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40,498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48,277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64,633</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non-recurring charges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related charges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(2,349)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profit from continuing operations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40,498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45,769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64,633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 by segment:</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14,353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14,551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11,354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11,296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corporate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8,717</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34,424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32,685</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non-recurring charges (3)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related charges (4)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34,424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9,867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10,823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11,607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25,861</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corporate expenses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(8,717)</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income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6,074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15,592</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 (7)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non-recurring charges (1)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credit and related charges (5) (6)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(loss) income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13,351</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6520" w:type="dxa"/>
            <w:vAlign w:val="bottom"/>
          </w:tcPr>
          <w:p>
            <w:pPr>
              <w:ind w:left="260"/>
              <w:spacing w:after="0"/>
              <w:rPr>
                <w:sz w:val="20"/>
                <w:szCs w:val="20"/>
                <w:color w:val="auto"/>
              </w:rPr>
            </w:pPr>
            <w:r>
              <w:rPr>
                <w:rFonts w:ascii="Arial" w:cs="Arial" w:eastAsia="Arial" w:hAnsi="Arial"/>
                <w:sz w:val="18"/>
                <w:szCs w:val="18"/>
                <w:color w:val="auto"/>
              </w:rPr>
              <w:t>(loss) income before income taxes from continuing operations</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12,722</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26,883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$159 represents employee termination benefits and other operational reorganization costs associated with our mattress fabrics segment.</w:t>
      </w:r>
    </w:p>
    <w:p>
      <w:pPr>
        <w:spacing w:after="0" w:line="209"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$2.3 million represents a restructuring related charge of $1.6 million for inventory markdowns and $784 for other operating costs associated with our closed Anderson, SC upholstery fabrics facility.</w:t>
      </w:r>
    </w:p>
    <w:p>
      <w:pPr>
        <w:spacing w:after="0" w:line="129"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$518 represents a non-recurring charge of $429 for the accelerated vesting of certain stock-based compensation agreements associated with a senior executive and was recorded in unallocated corporate expenses. Additionally, the $518 includes $89 for employee termination benefits and operational reorganizational costs associated with our mattress fabrics segment.</w:t>
      </w:r>
    </w:p>
    <w:p>
      <w:pPr>
        <w:spacing w:after="0" w:line="14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$40 represents a restructuring related charge for the accelerated vesting for certain stock-based compensation agreements associated with an employee that was located at our closed Anderson, SC upholstery fabrics facility.</w:t>
      </w:r>
    </w:p>
    <w:p>
      <w:pPr>
        <w:spacing w:after="0" w:line="129"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$1.6 million represent charges and credits that were associated our closed Anderson, SC upholstery fabrics facility and include $1.6 million for inventory markdowns, $784 for other operating costs, $661 for employee termination benefits, and $40 for the accelerated vesting of certain stock-based compensation agreements associated an employee, partially offset by a $1.5 million gain on the sale of property, plant, and equipment.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ind w:left="500" w:right="2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 this total net charge, a charge of $2.3 million, a charge of $40, and a credit of $825 were recorded in cost of sales, selling, general, and administrative expenses, and restructuring credit, respectively, in the fiscal 2019 Consolidated Statement of Net Income.</w:t>
      </w:r>
    </w:p>
    <w:p>
      <w:pPr>
        <w:spacing w:after="0" w:line="129"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fiscal 2020, we incurred asset impairment charges totaling $13.7 million, of which $13.6 million and $143,000 were associated with goodwill and a tradename associated Read, respectively. Of this $13.7 million, $11.5 million and $2.2 million pertained to the mattress fabrics segment and upholstery fabrics segment,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Balance sheet information for our current operating segments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i w:val="1"/>
                <w:iCs w:val="1"/>
                <w:color w:val="auto"/>
              </w:rPr>
              <w:t>May 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i w:val="1"/>
                <w:iCs w:val="1"/>
                <w:color w:val="auto"/>
              </w:rPr>
              <w:t>April 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9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400" w:type="dxa"/>
            <w:vAlign w:val="bottom"/>
            <w:gridSpan w:val="3"/>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w:t>
            </w:r>
          </w:p>
        </w:tc>
        <w:tc>
          <w:tcPr>
            <w:tcW w:w="7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12,098</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26,620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40,682</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Arial" w:cs="Arial" w:eastAsia="Arial" w:hAnsi="Arial"/>
                <w:sz w:val="18"/>
                <w:szCs w:val="18"/>
                <w:color w:val="auto"/>
              </w:rPr>
              <w:t>right of use asset</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investment in unconsolidated joint venture</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60" w:type="dxa"/>
            <w:vAlign w:val="bottom"/>
            <w:tcBorders>
              <w:bottom w:val="single" w:sz="8" w:color="auto"/>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mattress fabrics assets</w:t>
            </w:r>
          </w:p>
        </w:tc>
        <w:tc>
          <w:tcPr>
            <w:tcW w:w="19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81,478</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82,521</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21,287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22,915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right of use asset</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upholstery fabrics assets</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37,434</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35,984</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segment assets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118,912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118,505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non-segment assets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69,790</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40,008</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short-term investments – available for sale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 – held-to-maturity</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current income taxes receivable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assets held for sale - discontinued operation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property, plant, and equipment (7)</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 (8)</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long-term investments - held-to-maturity</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investments - rabbi trust</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noncurrent income taxes receivable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long-term note receivable affiliated with discontinued operation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noncurrent assets held for sale - discontinued operation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22,112</w:t>
            </w:r>
          </w:p>
        </w:tc>
        <w:tc>
          <w:tcPr>
            <w:tcW w:w="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215,084</w:t>
            </w:r>
          </w:p>
        </w:tc>
        <w:tc>
          <w:tcPr>
            <w:tcW w:w="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220,556</w:t>
            </w:r>
          </w:p>
        </w:tc>
        <w:tc>
          <w:tcPr>
            <w:tcW w:w="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40" w:type="dxa"/>
            <w:vAlign w:val="bottom"/>
            <w:vMerge w:val="restart"/>
          </w:tcPr>
          <w:p>
            <w:pPr>
              <w:jc w:val="right"/>
              <w:ind w:right="133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2020</w:t>
            </w:r>
          </w:p>
        </w:tc>
        <w:tc>
          <w:tcPr>
            <w:tcW w:w="5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auto"/>
              </w:rPr>
              <w:t>2019</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2018</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capital expenditures (9):</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mattress fabrics</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3,475</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2,526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6,713</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upholstery fabrics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488</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discontinued operation</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unallocated corporate</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6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4,633</w:t>
            </w:r>
          </w:p>
        </w:tc>
        <w:tc>
          <w:tcPr>
            <w:tcW w:w="1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2,975</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7,439</w:t>
            </w:r>
          </w:p>
        </w:tc>
      </w:tr>
      <w:tr>
        <w:trPr>
          <w:trHeight w:val="210"/>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mattress fabrics</w:t>
            </w:r>
          </w:p>
        </w:tc>
        <w:tc>
          <w:tcPr>
            <w:tcW w:w="10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6,712</w:t>
            </w:r>
          </w:p>
        </w:tc>
        <w:tc>
          <w:tcPr>
            <w:tcW w:w="102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7,008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6,850</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upholstery fabrics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7,827</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8,117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7,672</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$40.7 million at May 3, 2020, represents property, plant, and equipment located in the U.S. of $27.7 million and located in Canada of $13.0 million.</w:t>
      </w:r>
    </w:p>
    <w:p>
      <w:pPr>
        <w:spacing w:after="0" w:line="18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$44.3 million at April 28, 2019, represents property, plant, and equipment located in the U.S. of $32.4 million and located in Canada of $11.9 million.</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$362 at May 3, 2020, represents right of use assets located in the U.S.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$1.6 million at May 3, 2020, represents property, plant, and equipment located in the U.S. of $1.2 million and located in China of $471.</w:t>
      </w:r>
    </w:p>
    <w:p>
      <w:pPr>
        <w:spacing w:after="0" w:line="196"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$1.8 million at April 28, 2019, represents property, plant, and equipment located in the U.S. of $1.2 million and located in China of $591.</w:t>
      </w:r>
    </w:p>
    <w:p>
      <w:pPr>
        <w:spacing w:after="0" w:line="196"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$1.6 million at May 3, 2020, represents right of use assets of $857 and $776 located in the U.S. and China, respectively.</w:t>
      </w:r>
    </w:p>
    <w:p>
      <w:pPr>
        <w:spacing w:after="0" w:line="184"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$832 and $419 at May 3, 2020, and April 28, 2019, represent property, plant, and equipment associated with unallocated corporate departments and corporate departments shared by both the mattress fabrics and upholstery fabrics segments located in the U.S.</w:t>
      </w:r>
    </w:p>
    <w:p>
      <w:pPr>
        <w:spacing w:after="0" w:line="105"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$1.9 million at May 3, 2020, represents right of use assets located in the U.S.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expenditure amounts are stated on an accrual basis. See the Consolidated Statement of Cash Flows for capital expenditure amounts on a cash basis.</w:t>
      </w:r>
    </w:p>
    <w:p>
      <w:pPr>
        <w:spacing w:after="0" w:line="12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subsidiaries located in China are required to transfer 10% of their net income, as determined in accordance with the People’s Republic of China (PRC) accounting rules and regulations, to a statutory surplus reserve fund until such reserve balance reaches 50% of the company’s registered capital.</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transfer to this reserve must be made before distributions of any dividend to shareholders. As of May 3, 2020, the company’s statutory surplus reserve was $4.1 million, representing 10% of accumulated earnings and profits determined in accordance with PRC accounting rules and regulations. The surplus reserve fund is non-distributable other than during liquidation and can be used to fund previous years’ losses, if any, and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subsidiaries located in China can transfer funds to the parent company with the exception of the statutory surplus reserve of $4.1 million to assist with debt repayment, capital expenditures, and other expenses of the company’s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2" w:name="page103"/>
    <w:bookmarkEnd w:id="102"/>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2020, we purchased 142,496 shares of our common stock at a cost of $1.7 million, leaving approximately $3.3. million available for future purchases of our common stock pursuant to the authorization approved by our board of directors on September 5, 2019. The board of directors subsequently approved an increase in the company’s share repurchase authorization back up to a total of $5.0 million in March 2020. However, as part of our comprehensive response to the COVID-19 pandemic, we announced on April 3, 2020 that our board of directors suspended the share repurchase program temporarily given the ongoing economic disruption and uncertainty.</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2019, we purchased 160,823 shares of our common stock at cost of $3.3 million, pursuant to the board authorization announced on June 15, 2016. During fiscal 2018, we did not purchase any shares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May 3, 2020, we had $5.0 million available for additional repurchases of our common stock.</w:t>
      </w:r>
    </w:p>
    <w:p>
      <w:pPr>
        <w:spacing w:after="0" w:line="235"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PROGRAM</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 2020, we announced that our board of directors approved a regular quarterly cash dividend payment of $0.105 per share. This payment will be made on or about July 17, 2020, to shareholders of record as of July 10, 2020.</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2020, dividend payments totaled $5.1 million, all of which represented quarterly dividend payments ranging from $0.10 to $0.105 per share.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dividend payments totaled $4.7 million, all of which represented quarterly dividend payments ranging from $0.09 to $0.10 per share.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2018, dividend payments totaled $6.8 million, of which $2.6 million represented a special cash dividend payment of $0.21 per share, and $4.2 million represented our regular quarterly cash dividend payments ranging from $0.08 to $0.09 per share.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Future dividend payments are subject to Board approval and may be adjusted at the Board’s discretion as business needs or market conditions change. The Board will continue to evaluate the appropriateness of the current dividend in light of economic conditions and our performance in future quarters.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20"/>
                <w:szCs w:val="20"/>
                <w:color w:val="auto"/>
              </w:rPr>
            </w:pPr>
            <w:r>
              <w:rPr>
                <w:rFonts w:ascii="Arial" w:cs="Arial" w:eastAsia="Arial" w:hAnsi="Arial"/>
                <w:sz w:val="13"/>
                <w:szCs w:val="13"/>
                <w:b w:val="1"/>
                <w:bCs w:val="1"/>
                <w:color w:val="auto"/>
              </w:rPr>
              <w:t>SELECTED QUARTERLY DATA (UNAUDITED)</w:t>
            </w:r>
          </w:p>
        </w:tc>
        <w:tc>
          <w:tcPr>
            <w:tcW w:w="120" w:type="dxa"/>
            <w:vAlign w:val="bottom"/>
          </w:tcPr>
          <w:p>
            <w:pPr>
              <w:spacing w:after="0"/>
              <w:rPr>
                <w:sz w:val="15"/>
                <w:szCs w:val="15"/>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3"/>
                <w:szCs w:val="13"/>
                <w:i w:val="1"/>
                <w:iCs w:val="1"/>
                <w:color w:val="auto"/>
                <w:w w:val="96"/>
              </w:rPr>
              <w:t>fiscal 2020</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i w:val="1"/>
                <w:iCs w:val="1"/>
                <w:color w:val="auto"/>
                <w:w w:val="96"/>
              </w:rPr>
              <w:t>fiscal 2020</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i w:val="1"/>
                <w:iCs w:val="1"/>
                <w:color w:val="auto"/>
                <w:w w:val="96"/>
              </w:rPr>
              <w:t>fiscal 2020</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i w:val="1"/>
                <w:iCs w:val="1"/>
                <w:color w:val="auto"/>
                <w:w w:val="96"/>
              </w:rPr>
              <w:t>fiscal 2020</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i w:val="1"/>
                <w:iCs w:val="1"/>
                <w:color w:val="auto"/>
                <w:w w:val="96"/>
              </w:rPr>
              <w:t>fiscal 2019</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i w:val="1"/>
                <w:iCs w:val="1"/>
                <w:color w:val="auto"/>
                <w:w w:val="93"/>
              </w:rPr>
              <w:t>fiscal 2019</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i w:val="1"/>
                <w:iCs w:val="1"/>
                <w:color w:val="auto"/>
                <w:w w:val="93"/>
              </w:rPr>
              <w:t>fiscal 2019</w:t>
            </w:r>
          </w:p>
        </w:tc>
        <w:tc>
          <w:tcPr>
            <w:tcW w:w="860" w:type="dxa"/>
            <w:vAlign w:val="bottom"/>
            <w:vMerge w:val="restart"/>
          </w:tcPr>
          <w:p>
            <w:pPr>
              <w:jc w:val="center"/>
              <w:ind w:right="73"/>
              <w:spacing w:after="0"/>
              <w:rPr>
                <w:sz w:val="20"/>
                <w:szCs w:val="20"/>
                <w:color w:val="auto"/>
              </w:rPr>
            </w:pPr>
            <w:r>
              <w:rPr>
                <w:rFonts w:ascii="Arial" w:cs="Arial" w:eastAsia="Arial" w:hAnsi="Arial"/>
                <w:sz w:val="13"/>
                <w:szCs w:val="13"/>
                <w:i w:val="1"/>
                <w:iCs w:val="1"/>
                <w:color w:val="auto"/>
                <w:w w:val="96"/>
              </w:rPr>
              <w:t>fiscal 2019</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3"/>
                <w:szCs w:val="13"/>
                <w:b w:val="1"/>
                <w:bCs w:val="1"/>
                <w:i w:val="1"/>
                <w:iCs w:val="1"/>
                <w:color w:val="auto"/>
              </w:rPr>
              <w:t>(amounts in thousands except per share, ratios &amp;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i w:val="1"/>
                <w:iCs w:val="1"/>
                <w:color w:val="auto"/>
                <w:w w:val="96"/>
              </w:rPr>
              <w:t>fourth</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rPr>
              <w:t>thjird</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w w:val="90"/>
              </w:rPr>
              <w:t>second</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rPr>
              <w:t>first</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w w:val="96"/>
              </w:rPr>
              <w:t>fourth</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rPr>
              <w:t>thjird</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w w:val="90"/>
              </w:rPr>
              <w:t>second</w:t>
            </w:r>
          </w:p>
        </w:tc>
        <w:tc>
          <w:tcPr>
            <w:tcW w:w="860" w:type="dxa"/>
            <w:vAlign w:val="bottom"/>
          </w:tcPr>
          <w:p>
            <w:pPr>
              <w:jc w:val="center"/>
              <w:ind w:right="73"/>
              <w:spacing w:after="0"/>
              <w:rPr>
                <w:sz w:val="20"/>
                <w:szCs w:val="20"/>
                <w:color w:val="auto"/>
              </w:rPr>
            </w:pPr>
            <w:r>
              <w:rPr>
                <w:rFonts w:ascii="Arial" w:cs="Arial" w:eastAsia="Arial" w:hAnsi="Arial"/>
                <w:sz w:val="13"/>
                <w:szCs w:val="13"/>
                <w:i w:val="1"/>
                <w:iCs w:val="1"/>
                <w:color w:val="auto"/>
                <w:w w:val="95"/>
              </w:rPr>
              <w:t>first</w:t>
            </w:r>
          </w:p>
        </w:tc>
        <w:tc>
          <w:tcPr>
            <w:tcW w:w="0" w:type="dxa"/>
            <w:vAlign w:val="bottom"/>
          </w:tcPr>
          <w:p>
            <w:pPr>
              <w:spacing w:after="0"/>
              <w:rPr>
                <w:sz w:val="1"/>
                <w:szCs w:val="1"/>
                <w:color w:val="auto"/>
              </w:rPr>
            </w:pPr>
          </w:p>
        </w:tc>
      </w:tr>
      <w:tr>
        <w:trPr>
          <w:trHeight w:val="159"/>
        </w:trPr>
        <w:tc>
          <w:tcPr>
            <w:tcW w:w="374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other, stock data)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i w:val="1"/>
                <w:iCs w:val="1"/>
                <w:color w:val="auto"/>
                <w:w w:val="97"/>
              </w:rPr>
              <w:t>quarter</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w w:val="97"/>
              </w:rPr>
              <w:t>quarter</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w w:val="97"/>
              </w:rPr>
              <w:t>quarter</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rPr>
              <w:t>quarter</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w w:val="97"/>
              </w:rPr>
              <w:t>quarter</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rPr>
              <w:t>quarter</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i w:val="1"/>
                <w:iCs w:val="1"/>
                <w:color w:val="auto"/>
              </w:rPr>
              <w:t>quarter</w:t>
            </w:r>
          </w:p>
        </w:tc>
        <w:tc>
          <w:tcPr>
            <w:tcW w:w="860" w:type="dxa"/>
            <w:vAlign w:val="bottom"/>
          </w:tcPr>
          <w:p>
            <w:pPr>
              <w:jc w:val="center"/>
              <w:ind w:right="73"/>
              <w:spacing w:after="0"/>
              <w:rPr>
                <w:sz w:val="20"/>
                <w:szCs w:val="20"/>
                <w:color w:val="auto"/>
              </w:rPr>
            </w:pPr>
            <w:r>
              <w:rPr>
                <w:rFonts w:ascii="Arial" w:cs="Arial" w:eastAsia="Arial" w:hAnsi="Arial"/>
                <w:sz w:val="13"/>
                <w:szCs w:val="13"/>
                <w:i w:val="1"/>
                <w:iCs w:val="1"/>
                <w:color w:val="auto"/>
                <w:w w:val="97"/>
              </w:rPr>
              <w:t>quarter</w:t>
            </w:r>
          </w:p>
        </w:tc>
        <w:tc>
          <w:tcPr>
            <w:tcW w:w="0" w:type="dxa"/>
            <w:vAlign w:val="bottom"/>
          </w:tcPr>
          <w:p>
            <w:pPr>
              <w:spacing w:after="0"/>
              <w:rPr>
                <w:sz w:val="1"/>
                <w:szCs w:val="1"/>
                <w:color w:val="auto"/>
              </w:rPr>
            </w:pPr>
          </w:p>
        </w:tc>
      </w:tr>
      <w:tr>
        <w:trPr>
          <w:trHeight w:val="156"/>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INCOME STATEMENT DATA</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net sales</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47,378</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68,518</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69,550</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70,719</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67,023</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73,127</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72,275</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68,898</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 of sales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(44,333)</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(56,998)</w:t>
            </w:r>
          </w:p>
        </w:tc>
        <w:tc>
          <w:tcPr>
            <w:tcW w:w="1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(56,024)</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(58,307)</w:t>
            </w:r>
          </w:p>
        </w:tc>
        <w:tc>
          <w:tcPr>
            <w:tcW w:w="1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(55,828)</w:t>
            </w:r>
          </w:p>
        </w:tc>
        <w:tc>
          <w:tcPr>
            <w:tcW w:w="1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(60,054)</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(60,666)</w:t>
            </w:r>
          </w:p>
        </w:tc>
        <w:tc>
          <w:tcPr>
            <w:tcW w:w="12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(58,998)</w:t>
            </w:r>
          </w:p>
        </w:tc>
        <w:tc>
          <w:tcPr>
            <w:tcW w:w="0" w:type="dxa"/>
            <w:vAlign w:val="bottom"/>
          </w:tcPr>
          <w:p>
            <w:pPr>
              <w:spacing w:after="0"/>
              <w:rPr>
                <w:sz w:val="1"/>
                <w:szCs w:val="1"/>
                <w:color w:val="auto"/>
              </w:rPr>
            </w:pPr>
          </w:p>
        </w:tc>
      </w:tr>
      <w:tr>
        <w:trPr>
          <w:trHeight w:val="155"/>
        </w:trPr>
        <w:tc>
          <w:tcPr>
            <w:tcW w:w="3740" w:type="dxa"/>
            <w:vAlign w:val="bottom"/>
          </w:tcPr>
          <w:p>
            <w:pPr>
              <w:ind w:left="260"/>
              <w:spacing w:after="0"/>
              <w:rPr>
                <w:sz w:val="20"/>
                <w:szCs w:val="20"/>
                <w:color w:val="auto"/>
              </w:rPr>
            </w:pPr>
            <w:r>
              <w:rPr>
                <w:rFonts w:ascii="Arial" w:cs="Arial" w:eastAsia="Arial" w:hAnsi="Arial"/>
                <w:sz w:val="13"/>
                <w:szCs w:val="13"/>
                <w:color w:val="auto"/>
              </w:rPr>
              <w:t>gross profit from continuing operations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3,045</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11,520</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13,526</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12,412</w:t>
            </w:r>
          </w:p>
        </w:tc>
        <w:tc>
          <w:tcPr>
            <w:tcW w:w="10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11,195</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13,073</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11,609</w:t>
            </w:r>
          </w:p>
        </w:tc>
        <w:tc>
          <w:tcPr>
            <w:tcW w:w="12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9,900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selling, general and administrative expenses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(9,117)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(9,149)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(8,758)</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(8,409)</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(7,397)</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asset impairments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(13,712)</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restructuring (credit) expense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1,061</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55"/>
        </w:trPr>
        <w:tc>
          <w:tcPr>
            <w:tcW w:w="3740" w:type="dxa"/>
            <w:vAlign w:val="bottom"/>
          </w:tcPr>
          <w:p>
            <w:pPr>
              <w:ind w:left="500"/>
              <w:spacing w:after="0"/>
              <w:rPr>
                <w:sz w:val="20"/>
                <w:szCs w:val="20"/>
                <w:color w:val="auto"/>
              </w:rPr>
            </w:pPr>
            <w:r>
              <w:rPr>
                <w:rFonts w:ascii="Arial" w:cs="Arial" w:eastAsia="Arial" w:hAnsi="Arial"/>
                <w:sz w:val="13"/>
                <w:szCs w:val="13"/>
                <w:color w:val="auto"/>
              </w:rPr>
              <w:t>(loss) income from continuing operations</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(17,994)</w:t>
            </w: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13"/>
                <w:szCs w:val="13"/>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4,409</w:t>
            </w: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3,298</w:t>
            </w:r>
          </w:p>
        </w:tc>
        <w:tc>
          <w:tcPr>
            <w:tcW w:w="100" w:type="dxa"/>
            <w:vAlign w:val="bottom"/>
          </w:tcPr>
          <w:p>
            <w:pPr>
              <w:spacing w:after="0"/>
              <w:rPr>
                <w:sz w:val="13"/>
                <w:szCs w:val="13"/>
                <w:color w:val="auto"/>
              </w:rPr>
            </w:pPr>
          </w:p>
        </w:tc>
        <w:tc>
          <w:tcPr>
            <w:tcW w:w="8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2,437</w:t>
            </w:r>
          </w:p>
        </w:tc>
        <w:tc>
          <w:tcPr>
            <w:tcW w:w="100" w:type="dxa"/>
            <w:vAlign w:val="bottom"/>
          </w:tcPr>
          <w:p>
            <w:pPr>
              <w:spacing w:after="0"/>
              <w:rPr>
                <w:sz w:val="13"/>
                <w:szCs w:val="13"/>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4,610</w:t>
            </w: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4,261</w:t>
            </w:r>
          </w:p>
        </w:tc>
        <w:tc>
          <w:tcPr>
            <w:tcW w:w="120" w:type="dxa"/>
            <w:vAlign w:val="bottom"/>
          </w:tcPr>
          <w:p>
            <w:pPr>
              <w:spacing w:after="0"/>
              <w:rPr>
                <w:sz w:val="13"/>
                <w:szCs w:val="13"/>
                <w:color w:val="auto"/>
              </w:rPr>
            </w:pP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2,052</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expense</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(670)</w:t>
            </w:r>
          </w:p>
        </w:tc>
        <w:tc>
          <w:tcPr>
            <w:tcW w:w="1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45"/>
        </w:trPr>
        <w:tc>
          <w:tcPr>
            <w:tcW w:w="3740" w:type="dxa"/>
            <w:vAlign w:val="bottom"/>
          </w:tcPr>
          <w:p>
            <w:pPr>
              <w:ind w:left="500"/>
              <w:spacing w:after="0" w:line="145" w:lineRule="exact"/>
              <w:rPr>
                <w:sz w:val="20"/>
                <w:szCs w:val="20"/>
                <w:color w:val="auto"/>
              </w:rPr>
            </w:pPr>
            <w:r>
              <w:rPr>
                <w:rFonts w:ascii="Arial" w:cs="Arial" w:eastAsia="Arial" w:hAnsi="Arial"/>
                <w:sz w:val="13"/>
                <w:szCs w:val="13"/>
                <w:color w:val="auto"/>
              </w:rPr>
              <w:t>(loss) income before income taxes 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600"/>
              <w:spacing w:after="0"/>
              <w:rPr>
                <w:sz w:val="20"/>
                <w:szCs w:val="20"/>
                <w:color w:val="auto"/>
              </w:rPr>
            </w:pPr>
            <w:r>
              <w:rPr>
                <w:rFonts w:ascii="Arial" w:cs="Arial" w:eastAsia="Arial" w:hAnsi="Arial"/>
                <w:sz w:val="13"/>
                <w:szCs w:val="13"/>
                <w:color w:val="auto"/>
              </w:rPr>
              <w:t>continuing operations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(18,383)</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2,700</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4,547</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3,463</w:t>
            </w:r>
          </w:p>
        </w:tc>
        <w:tc>
          <w:tcPr>
            <w:tcW w:w="10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4,575</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4,238</w:t>
            </w:r>
          </w:p>
        </w:tc>
        <w:tc>
          <w:tcPr>
            <w:tcW w:w="12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 (expense) benefit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(3,091)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rPr>
                <w:sz w:val="20"/>
                <w:szCs w:val="20"/>
                <w:color w:val="auto"/>
              </w:rPr>
            </w:pPr>
            <w:r>
              <w:rPr>
                <w:rFonts w:ascii="Arial" w:cs="Arial" w:eastAsia="Arial" w:hAnsi="Arial"/>
                <w:sz w:val="13"/>
                <w:szCs w:val="13"/>
                <w:color w:val="auto"/>
              </w:rPr>
              <w:t>(loss) income from investment in unconsolidated joint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Borders>
              <w:bottom w:val="single" w:sz="8" w:color="CFF0FC"/>
            </w:tcBorders>
          </w:tcPr>
          <w:p>
            <w:pPr>
              <w:ind w:left="360"/>
              <w:spacing w:after="0"/>
              <w:rPr>
                <w:sz w:val="20"/>
                <w:szCs w:val="20"/>
                <w:color w:val="auto"/>
              </w:rPr>
            </w:pPr>
            <w:r>
              <w:rPr>
                <w:rFonts w:ascii="Arial" w:cs="Arial" w:eastAsia="Arial" w:hAnsi="Arial"/>
                <w:sz w:val="13"/>
                <w:szCs w:val="13"/>
                <w:color w:val="auto"/>
              </w:rPr>
              <w:t>venture</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(loss) income from continuing operations</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(19,152)</w:t>
            </w:r>
          </w:p>
        </w:tc>
        <w:tc>
          <w:tcPr>
            <w:tcW w:w="1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3,617</w:t>
            </w:r>
          </w:p>
        </w:tc>
        <w:tc>
          <w:tcPr>
            <w:tcW w:w="10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2,601</w:t>
            </w:r>
          </w:p>
        </w:tc>
        <w:tc>
          <w:tcPr>
            <w:tcW w:w="1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1,784</w:t>
            </w:r>
          </w:p>
        </w:tc>
        <w:tc>
          <w:tcPr>
            <w:tcW w:w="10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(1,108)</w:t>
            </w:r>
          </w:p>
        </w:tc>
        <w:tc>
          <w:tcPr>
            <w:tcW w:w="10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3,324</w:t>
            </w:r>
          </w:p>
        </w:tc>
        <w:tc>
          <w:tcPr>
            <w:tcW w:w="1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2,913</w:t>
            </w:r>
          </w:p>
        </w:tc>
        <w:tc>
          <w:tcPr>
            <w:tcW w:w="120" w:type="dxa"/>
            <w:vAlign w:val="bottom"/>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45"/>
        </w:trPr>
        <w:tc>
          <w:tcPr>
            <w:tcW w:w="3740" w:type="dxa"/>
            <w:vAlign w:val="bottom"/>
          </w:tcPr>
          <w:p>
            <w:pPr>
              <w:ind w:left="260"/>
              <w:spacing w:after="0" w:line="145" w:lineRule="exact"/>
              <w:rPr>
                <w:sz w:val="20"/>
                <w:szCs w:val="20"/>
                <w:color w:val="auto"/>
              </w:rPr>
            </w:pPr>
            <w:r>
              <w:rPr>
                <w:rFonts w:ascii="Arial" w:cs="Arial" w:eastAsia="Arial" w:hAnsi="Arial"/>
                <w:sz w:val="13"/>
                <w:szCs w:val="13"/>
                <w:color w:val="auto"/>
              </w:rPr>
              <w:t>(loss) income before income taxes from discontinued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rPr>
                <w:sz w:val="20"/>
                <w:szCs w:val="20"/>
                <w:color w:val="auto"/>
              </w:rPr>
            </w:pPr>
            <w:r>
              <w:rPr>
                <w:rFonts w:ascii="Arial" w:cs="Arial" w:eastAsia="Arial" w:hAnsi="Arial"/>
                <w:sz w:val="13"/>
                <w:szCs w:val="13"/>
                <w:color w:val="auto"/>
              </w:rPr>
              <w:t>operation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(8,698)</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(7,824)</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(441)</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 benefit (expense)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374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net (loss) income from discontinued operation</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(8,673)</w:t>
            </w:r>
          </w:p>
        </w:tc>
        <w:tc>
          <w:tcPr>
            <w:tcW w:w="1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(7,824)</w:t>
            </w:r>
          </w:p>
        </w:tc>
        <w:tc>
          <w:tcPr>
            <w:tcW w:w="1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(409)</w:t>
            </w:r>
          </w:p>
        </w:tc>
        <w:tc>
          <w:tcPr>
            <w:tcW w:w="1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(loss) income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(27,825)</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(4,207)</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2,192</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(1,511)</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3,060</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2,944</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depreciation</w:t>
            </w: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2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line="143" w:lineRule="exact"/>
              <w:rPr>
                <w:sz w:val="20"/>
                <w:szCs w:val="20"/>
                <w:color w:val="auto"/>
              </w:rPr>
            </w:pPr>
            <w:r>
              <w:rPr>
                <w:rFonts w:ascii="Arial" w:cs="Arial" w:eastAsia="Arial" w:hAnsi="Arial"/>
                <w:sz w:val="13"/>
                <w:szCs w:val="13"/>
                <w:color w:val="auto"/>
              </w:rPr>
              <w:t>1,946</w:t>
            </w:r>
          </w:p>
        </w:tc>
        <w:tc>
          <w:tcPr>
            <w:tcW w:w="120" w:type="dxa"/>
            <w:vAlign w:val="bottom"/>
          </w:tcPr>
          <w:p>
            <w:pPr>
              <w:spacing w:after="0"/>
              <w:rPr>
                <w:sz w:val="12"/>
                <w:szCs w:val="12"/>
                <w:color w:val="auto"/>
              </w:rPr>
            </w:pPr>
          </w:p>
        </w:tc>
        <w:tc>
          <w:tcPr>
            <w:tcW w:w="820" w:type="dxa"/>
            <w:vAlign w:val="bottom"/>
          </w:tcPr>
          <w:p>
            <w:pPr>
              <w:jc w:val="right"/>
              <w:ind w:right="53"/>
              <w:spacing w:after="0" w:line="143" w:lineRule="exact"/>
              <w:rPr>
                <w:sz w:val="20"/>
                <w:szCs w:val="20"/>
                <w:color w:val="auto"/>
              </w:rPr>
            </w:pPr>
            <w:r>
              <w:rPr>
                <w:rFonts w:ascii="Arial" w:cs="Arial" w:eastAsia="Arial" w:hAnsi="Arial"/>
                <w:sz w:val="13"/>
                <w:szCs w:val="13"/>
                <w:color w:val="auto"/>
              </w:rPr>
              <w:t>1,987</w:t>
            </w:r>
          </w:p>
        </w:tc>
        <w:tc>
          <w:tcPr>
            <w:tcW w:w="100" w:type="dxa"/>
            <w:vAlign w:val="bottom"/>
          </w:tcPr>
          <w:p>
            <w:pPr>
              <w:spacing w:after="0"/>
              <w:rPr>
                <w:sz w:val="12"/>
                <w:szCs w:val="12"/>
                <w:color w:val="auto"/>
              </w:rPr>
            </w:pPr>
          </w:p>
        </w:tc>
        <w:tc>
          <w:tcPr>
            <w:tcW w:w="820" w:type="dxa"/>
            <w:vAlign w:val="bottom"/>
          </w:tcPr>
          <w:p>
            <w:pPr>
              <w:jc w:val="right"/>
              <w:ind w:right="53"/>
              <w:spacing w:after="0" w:line="143" w:lineRule="exact"/>
              <w:rPr>
                <w:sz w:val="20"/>
                <w:szCs w:val="20"/>
                <w:color w:val="auto"/>
              </w:rPr>
            </w:pPr>
            <w:r>
              <w:rPr>
                <w:rFonts w:ascii="Arial" w:cs="Arial" w:eastAsia="Arial" w:hAnsi="Arial"/>
                <w:sz w:val="13"/>
                <w:szCs w:val="13"/>
                <w:color w:val="auto"/>
              </w:rPr>
              <w:t>1,988</w:t>
            </w:r>
          </w:p>
        </w:tc>
        <w:tc>
          <w:tcPr>
            <w:tcW w:w="120" w:type="dxa"/>
            <w:vAlign w:val="bottom"/>
          </w:tcPr>
          <w:p>
            <w:pPr>
              <w:spacing w:after="0"/>
              <w:rPr>
                <w:sz w:val="12"/>
                <w:szCs w:val="12"/>
                <w:color w:val="auto"/>
              </w:rPr>
            </w:pPr>
          </w:p>
        </w:tc>
        <w:tc>
          <w:tcPr>
            <w:tcW w:w="820" w:type="dxa"/>
            <w:vAlign w:val="bottom"/>
          </w:tcPr>
          <w:p>
            <w:pPr>
              <w:jc w:val="right"/>
              <w:ind w:right="53"/>
              <w:spacing w:after="0" w:line="143" w:lineRule="exact"/>
              <w:rPr>
                <w:sz w:val="20"/>
                <w:szCs w:val="20"/>
                <w:color w:val="auto"/>
              </w:rPr>
            </w:pPr>
            <w:r>
              <w:rPr>
                <w:rFonts w:ascii="Arial" w:cs="Arial" w:eastAsia="Arial" w:hAnsi="Arial"/>
                <w:sz w:val="13"/>
                <w:szCs w:val="13"/>
                <w:color w:val="auto"/>
              </w:rPr>
              <w:t>1,905</w:t>
            </w:r>
          </w:p>
        </w:tc>
        <w:tc>
          <w:tcPr>
            <w:tcW w:w="100" w:type="dxa"/>
            <w:vAlign w:val="bottom"/>
          </w:tcPr>
          <w:p>
            <w:pPr>
              <w:spacing w:after="0"/>
              <w:rPr>
                <w:sz w:val="12"/>
                <w:szCs w:val="12"/>
                <w:color w:val="auto"/>
              </w:rPr>
            </w:pPr>
          </w:p>
        </w:tc>
        <w:tc>
          <w:tcPr>
            <w:tcW w:w="840" w:type="dxa"/>
            <w:vAlign w:val="bottom"/>
          </w:tcPr>
          <w:p>
            <w:pPr>
              <w:jc w:val="right"/>
              <w:ind w:right="53"/>
              <w:spacing w:after="0" w:line="143" w:lineRule="exact"/>
              <w:rPr>
                <w:sz w:val="20"/>
                <w:szCs w:val="20"/>
                <w:color w:val="auto"/>
              </w:rPr>
            </w:pPr>
            <w:r>
              <w:rPr>
                <w:rFonts w:ascii="Arial" w:cs="Arial" w:eastAsia="Arial" w:hAnsi="Arial"/>
                <w:sz w:val="13"/>
                <w:szCs w:val="13"/>
                <w:color w:val="auto"/>
              </w:rPr>
              <w:t>2,030</w:t>
            </w:r>
          </w:p>
        </w:tc>
        <w:tc>
          <w:tcPr>
            <w:tcW w:w="100" w:type="dxa"/>
            <w:vAlign w:val="bottom"/>
          </w:tcPr>
          <w:p>
            <w:pPr>
              <w:spacing w:after="0"/>
              <w:rPr>
                <w:sz w:val="12"/>
                <w:szCs w:val="12"/>
                <w:color w:val="auto"/>
              </w:rPr>
            </w:pPr>
          </w:p>
        </w:tc>
        <w:tc>
          <w:tcPr>
            <w:tcW w:w="820" w:type="dxa"/>
            <w:vAlign w:val="bottom"/>
          </w:tcPr>
          <w:p>
            <w:pPr>
              <w:jc w:val="right"/>
              <w:ind w:right="53"/>
              <w:spacing w:after="0" w:line="143" w:lineRule="exact"/>
              <w:rPr>
                <w:sz w:val="20"/>
                <w:szCs w:val="20"/>
                <w:color w:val="auto"/>
              </w:rPr>
            </w:pPr>
            <w:r>
              <w:rPr>
                <w:rFonts w:ascii="Arial" w:cs="Arial" w:eastAsia="Arial" w:hAnsi="Arial"/>
                <w:sz w:val="13"/>
                <w:szCs w:val="13"/>
                <w:color w:val="auto"/>
              </w:rPr>
              <w:t>2,031</w:t>
            </w:r>
          </w:p>
        </w:tc>
        <w:tc>
          <w:tcPr>
            <w:tcW w:w="120" w:type="dxa"/>
            <w:vAlign w:val="bottom"/>
          </w:tcPr>
          <w:p>
            <w:pPr>
              <w:spacing w:after="0"/>
              <w:rPr>
                <w:sz w:val="12"/>
                <w:szCs w:val="12"/>
                <w:color w:val="auto"/>
              </w:rPr>
            </w:pPr>
          </w:p>
        </w:tc>
        <w:tc>
          <w:tcPr>
            <w:tcW w:w="820" w:type="dxa"/>
            <w:vAlign w:val="bottom"/>
          </w:tcPr>
          <w:p>
            <w:pPr>
              <w:jc w:val="right"/>
              <w:ind w:right="53"/>
              <w:spacing w:after="0" w:line="143" w:lineRule="exact"/>
              <w:rPr>
                <w:sz w:val="20"/>
                <w:szCs w:val="20"/>
                <w:color w:val="auto"/>
              </w:rPr>
            </w:pPr>
            <w:r>
              <w:rPr>
                <w:rFonts w:ascii="Arial" w:cs="Arial" w:eastAsia="Arial" w:hAnsi="Arial"/>
                <w:sz w:val="13"/>
                <w:szCs w:val="13"/>
                <w:color w:val="auto"/>
              </w:rPr>
              <w:t>2,041</w:t>
            </w:r>
          </w:p>
        </w:tc>
        <w:tc>
          <w:tcPr>
            <w:tcW w:w="120" w:type="dxa"/>
            <w:vAlign w:val="bottom"/>
          </w:tcPr>
          <w:p>
            <w:pPr>
              <w:spacing w:after="0"/>
              <w:rPr>
                <w:sz w:val="12"/>
                <w:szCs w:val="12"/>
                <w:color w:val="auto"/>
              </w:rPr>
            </w:pPr>
          </w:p>
        </w:tc>
        <w:tc>
          <w:tcPr>
            <w:tcW w:w="860" w:type="dxa"/>
            <w:vAlign w:val="bottom"/>
          </w:tcPr>
          <w:p>
            <w:pPr>
              <w:jc w:val="right"/>
              <w:ind w:right="73"/>
              <w:spacing w:after="0" w:line="143" w:lineRule="exact"/>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weighted average shares outstanding</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12,297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12,409</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12,408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12,399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12,384</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12,438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12,515</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12,510</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rPr>
                <w:sz w:val="20"/>
                <w:szCs w:val="20"/>
                <w:color w:val="auto"/>
              </w:rPr>
            </w:pPr>
            <w:r>
              <w:rPr>
                <w:rFonts w:ascii="Arial" w:cs="Arial" w:eastAsia="Arial" w:hAnsi="Arial"/>
                <w:sz w:val="13"/>
                <w:szCs w:val="13"/>
                <w:color w:val="auto"/>
              </w:rPr>
              <w:t>weighted average shares outstanding , assuming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rPr>
                <w:sz w:val="20"/>
                <w:szCs w:val="20"/>
                <w:color w:val="auto"/>
              </w:rPr>
            </w:pPr>
            <w:r>
              <w:rPr>
                <w:rFonts w:ascii="Arial" w:cs="Arial" w:eastAsia="Arial" w:hAnsi="Arial"/>
                <w:sz w:val="13"/>
                <w:szCs w:val="13"/>
                <w:color w:val="auto"/>
              </w:rPr>
              <w:t>dilution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12,297</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12,420</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12,410</w:t>
            </w:r>
          </w:p>
        </w:tc>
        <w:tc>
          <w:tcPr>
            <w:tcW w:w="10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12,384</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12,465</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12,551</w:t>
            </w:r>
          </w:p>
        </w:tc>
        <w:tc>
          <w:tcPr>
            <w:tcW w:w="12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12,600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PER SHARE DATA</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rPr>
                <w:sz w:val="20"/>
                <w:szCs w:val="20"/>
                <w:color w:val="auto"/>
              </w:rPr>
            </w:pPr>
            <w:r>
              <w:rPr>
                <w:rFonts w:ascii="Arial" w:cs="Arial" w:eastAsia="Arial" w:hAnsi="Arial"/>
                <w:sz w:val="13"/>
                <w:szCs w:val="13"/>
                <w:color w:val="auto"/>
              </w:rPr>
              <w:t>net (loss) income from continuing operations per share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rPr>
                <w:sz w:val="20"/>
                <w:szCs w:val="20"/>
                <w:color w:val="auto"/>
              </w:rPr>
            </w:pPr>
            <w:r>
              <w:rPr>
                <w:rFonts w:ascii="Arial" w:cs="Arial" w:eastAsia="Arial" w:hAnsi="Arial"/>
                <w:sz w:val="13"/>
                <w:szCs w:val="13"/>
                <w:color w:val="auto"/>
              </w:rPr>
              <w:t>- basic</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0.29</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0.21</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0.23</w:t>
            </w:r>
          </w:p>
        </w:tc>
        <w:tc>
          <w:tcPr>
            <w:tcW w:w="12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 income from continuing operations per share</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 diluted</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0.21</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0.27</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rPr>
                <w:sz w:val="20"/>
                <w:szCs w:val="20"/>
                <w:color w:val="auto"/>
              </w:rPr>
            </w:pPr>
            <w:r>
              <w:rPr>
                <w:rFonts w:ascii="Arial" w:cs="Arial" w:eastAsia="Arial" w:hAnsi="Arial"/>
                <w:sz w:val="13"/>
                <w:szCs w:val="13"/>
                <w:color w:val="auto"/>
              </w:rPr>
              <w:t>net (loss) income from discontinued operation per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rPr>
                <w:sz w:val="20"/>
                <w:szCs w:val="20"/>
                <w:color w:val="auto"/>
              </w:rPr>
            </w:pPr>
            <w:r>
              <w:rPr>
                <w:rFonts w:ascii="Arial" w:cs="Arial" w:eastAsia="Arial" w:hAnsi="Arial"/>
                <w:sz w:val="13"/>
                <w:szCs w:val="13"/>
                <w:color w:val="auto"/>
              </w:rPr>
              <w:t>share - basic</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(0.71)</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(0.63)</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 income from discontinued operation per</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share - diluted</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(0.63)</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net (loss) income per share - basic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(0.34)</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0.18</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0.25</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0.24</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 income per share - diluted</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book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10.56</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12.93</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13.01</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13.16</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13.04</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operating working capital (3)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49,389</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58,862</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48,220</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48,662</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47,736</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50,997</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48,776</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50,884</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property, plant and equipment, net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43,147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44,652</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45,221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45,475</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46,479</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48,144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49,243</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51,037</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215,084</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212,140</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233,522</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226,247</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220,556</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225,738</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223,041</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227,122</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462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1,831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835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590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dividends paid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1,304</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1,241</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1,241</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1,240</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1,126</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1,127</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lines of credit and Paycheck Protection Program loan (1)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38,371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shareholders' equity attributable to Culp Inc.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129,698</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159,843</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161,520</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160,146</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159,933</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162,775</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162,918</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161,490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 employed (2)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94,526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116,181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107,018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107,832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107,561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112,599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112,403</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116,743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3"/>
                <w:szCs w:val="13"/>
                <w:b w:val="1"/>
                <w:bCs w:val="1"/>
                <w:color w:val="auto"/>
              </w:rPr>
              <w:t>RATIOS &amp; OTHER DATA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gross profit margin from continuing 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center"/>
              <w:ind w:right="153"/>
              <w:spacing w:after="0"/>
              <w:rPr>
                <w:sz w:val="20"/>
                <w:szCs w:val="20"/>
                <w:color w:val="auto"/>
              </w:rPr>
            </w:pPr>
            <w:r>
              <w:rPr>
                <w:rFonts w:ascii="Arial" w:cs="Arial" w:eastAsia="Arial" w:hAnsi="Arial"/>
                <w:sz w:val="13"/>
                <w:szCs w:val="13"/>
                <w:color w:val="auto"/>
                <w:w w:val="94"/>
              </w:rPr>
              <w:t>6.4%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2"/>
              </w:rPr>
              <w:t>16.8%</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33"/>
              <w:spacing w:after="0"/>
              <w:rPr>
                <w:sz w:val="20"/>
                <w:szCs w:val="20"/>
                <w:color w:val="auto"/>
              </w:rPr>
            </w:pPr>
            <w:r>
              <w:rPr>
                <w:rFonts w:ascii="Arial" w:cs="Arial" w:eastAsia="Arial" w:hAnsi="Arial"/>
                <w:sz w:val="13"/>
                <w:szCs w:val="13"/>
                <w:color w:val="auto"/>
                <w:w w:val="97"/>
              </w:rPr>
              <w:t>19.4%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2"/>
              </w:rPr>
              <w:t>17.6%</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7"/>
              </w:rPr>
              <w:t>16.7%</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2"/>
              </w:rPr>
              <w:t>17.9%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2"/>
              </w:rPr>
              <w:t>16.1%</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7"/>
              </w:rPr>
              <w:t>14.4%</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operating income margin from continuing operations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3"/>
              <w:spacing w:after="0"/>
              <w:rPr>
                <w:sz w:val="20"/>
                <w:szCs w:val="20"/>
                <w:color w:val="auto"/>
              </w:rPr>
            </w:pPr>
            <w:r>
              <w:rPr>
                <w:rFonts w:ascii="Arial" w:cs="Arial" w:eastAsia="Arial" w:hAnsi="Arial"/>
                <w:sz w:val="13"/>
                <w:szCs w:val="13"/>
                <w:color w:val="auto"/>
                <w:w w:val="96"/>
              </w:rPr>
              <w:t>(38.0%)</w:t>
            </w:r>
          </w:p>
        </w:tc>
        <w:tc>
          <w:tcPr>
            <w:tcW w:w="12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color w:val="auto"/>
                <w:w w:val="94"/>
              </w:rPr>
              <w:t>4.0%</w:t>
            </w: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color w:val="auto"/>
                <w:w w:val="94"/>
              </w:rPr>
              <w:t>6.3%</w:t>
            </w:r>
          </w:p>
        </w:tc>
        <w:tc>
          <w:tcPr>
            <w:tcW w:w="12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color w:val="auto"/>
                <w:w w:val="94"/>
              </w:rPr>
              <w:t>4.7%</w:t>
            </w:r>
          </w:p>
        </w:tc>
        <w:tc>
          <w:tcPr>
            <w:tcW w:w="10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color w:val="auto"/>
                <w:w w:val="94"/>
              </w:rPr>
              <w:t>3.6%</w:t>
            </w:r>
          </w:p>
        </w:tc>
        <w:tc>
          <w:tcPr>
            <w:tcW w:w="10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color w:val="auto"/>
                <w:w w:val="94"/>
              </w:rPr>
              <w:t>5.9%</w:t>
            </w:r>
          </w:p>
        </w:tc>
        <w:tc>
          <w:tcPr>
            <w:tcW w:w="12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 income margin from continuing 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center"/>
              <w:ind w:right="153"/>
              <w:spacing w:after="0"/>
              <w:rPr>
                <w:sz w:val="20"/>
                <w:szCs w:val="20"/>
                <w:color w:val="auto"/>
              </w:rPr>
            </w:pPr>
            <w:r>
              <w:rPr>
                <w:rFonts w:ascii="Arial" w:cs="Arial" w:eastAsia="Arial" w:hAnsi="Arial"/>
                <w:sz w:val="13"/>
                <w:szCs w:val="13"/>
                <w:color w:val="auto"/>
                <w:w w:val="96"/>
              </w:rPr>
              <w:t>(40.4%)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4"/>
              </w:rPr>
              <w:t>5.3%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33"/>
              <w:spacing w:after="0"/>
              <w:rPr>
                <w:sz w:val="20"/>
                <w:szCs w:val="20"/>
                <w:color w:val="auto"/>
              </w:rPr>
            </w:pPr>
            <w:r>
              <w:rPr>
                <w:rFonts w:ascii="Arial" w:cs="Arial" w:eastAsia="Arial" w:hAnsi="Arial"/>
                <w:sz w:val="13"/>
                <w:szCs w:val="13"/>
                <w:color w:val="auto"/>
                <w:w w:val="94"/>
              </w:rPr>
              <w:t>3.7%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4"/>
              </w:rPr>
              <w:t>2.5%</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3"/>
              </w:rPr>
              <w:t>(1.7%)</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4"/>
              </w:rPr>
              <w:t>4.0%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4"/>
              </w:rPr>
              <w:t>1.4%</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w w:val="95"/>
              </w:rPr>
              <w:t>effective income tax rate associated with continuing operations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3"/>
              <w:spacing w:after="0"/>
              <w:rPr>
                <w:sz w:val="20"/>
                <w:szCs w:val="20"/>
                <w:color w:val="auto"/>
              </w:rPr>
            </w:pPr>
            <w:r>
              <w:rPr>
                <w:rFonts w:ascii="Arial" w:cs="Arial" w:eastAsia="Arial" w:hAnsi="Arial"/>
                <w:sz w:val="13"/>
                <w:szCs w:val="13"/>
                <w:color w:val="auto"/>
                <w:w w:val="93"/>
              </w:rPr>
              <w:t>(3.8%)</w:t>
            </w:r>
          </w:p>
        </w:tc>
        <w:tc>
          <w:tcPr>
            <w:tcW w:w="12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color w:val="auto"/>
                <w:w w:val="96"/>
              </w:rPr>
              <w:t>(36.0%)</w:t>
            </w: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color w:val="auto"/>
                <w:w w:val="97"/>
              </w:rPr>
              <w:t>42.4%</w:t>
            </w: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color w:val="auto"/>
                <w:w w:val="92"/>
              </w:rPr>
              <w:t>48.9%</w:t>
            </w:r>
          </w:p>
        </w:tc>
        <w:tc>
          <w:tcPr>
            <w:tcW w:w="10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color w:val="auto"/>
                <w:w w:val="90"/>
              </w:rPr>
              <w:t>155.5%</w:t>
            </w:r>
          </w:p>
        </w:tc>
        <w:tc>
          <w:tcPr>
            <w:tcW w:w="10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color w:val="auto"/>
                <w:w w:val="92"/>
              </w:rPr>
              <w:t>27.8%</w:t>
            </w: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color w:val="auto"/>
                <w:w w:val="92"/>
              </w:rPr>
              <w:t>30.0%</w:t>
            </w:r>
          </w:p>
        </w:tc>
        <w:tc>
          <w:tcPr>
            <w:tcW w:w="12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color w:val="auto"/>
                <w:w w:val="97"/>
              </w:rPr>
              <w:t>46.9%</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Debt-to-total capital employed ratio (1) (2)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center"/>
              <w:ind w:right="153"/>
              <w:spacing w:after="0"/>
              <w:rPr>
                <w:sz w:val="20"/>
                <w:szCs w:val="20"/>
                <w:color w:val="auto"/>
              </w:rPr>
            </w:pPr>
            <w:r>
              <w:rPr>
                <w:rFonts w:ascii="Arial" w:cs="Arial" w:eastAsia="Arial" w:hAnsi="Arial"/>
                <w:sz w:val="13"/>
                <w:szCs w:val="13"/>
                <w:color w:val="auto"/>
                <w:w w:val="97"/>
              </w:rPr>
              <w:t>40.6%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5"/>
              </w:rPr>
              <w:t>0%</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5"/>
              </w:rPr>
              <w:t>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5"/>
              </w:rPr>
              <w:t>0%</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5"/>
              </w:rPr>
              <w:t>0%</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5"/>
              </w:rPr>
              <w:t>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53"/>
              <w:spacing w:after="0"/>
              <w:rPr>
                <w:sz w:val="20"/>
                <w:szCs w:val="20"/>
                <w:color w:val="auto"/>
              </w:rPr>
            </w:pPr>
            <w:r>
              <w:rPr>
                <w:rFonts w:ascii="Arial" w:cs="Arial" w:eastAsia="Arial" w:hAnsi="Arial"/>
                <w:sz w:val="13"/>
                <w:szCs w:val="13"/>
                <w:color w:val="auto"/>
                <w:w w:val="95"/>
              </w:rPr>
              <w:t>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center"/>
              <w:ind w:right="73"/>
              <w:spacing w:after="0"/>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operating working capital turnover (3)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days sales in receivables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inventory turnover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STOCK DATA</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stock 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high</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12.93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17.49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21.08</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21.06</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23.84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27.78</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32.05</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3"/>
                <w:szCs w:val="13"/>
                <w:color w:val="auto"/>
              </w:rPr>
              <w:t>low</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12.35</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13.09</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16.41</w:t>
            </w: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18.06</w:t>
            </w: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21.04</w:t>
            </w: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23.90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close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6.91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15.35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17.39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20.74</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18.47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22.31</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24.75</w:t>
            </w: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daily average trading volume (shares)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75.9</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43.3</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Debt represents outstanding borrowings on our lines of credit and the Paycheck Protection Program loan.</w:t>
      </w:r>
    </w:p>
    <w:p>
      <w:pPr>
        <w:spacing w:after="0" w:line="147" w:lineRule="exact"/>
        <w:rPr>
          <w:rFonts w:ascii="Arial" w:cs="Arial" w:eastAsia="Arial" w:hAnsi="Arial"/>
          <w:sz w:val="13"/>
          <w:szCs w:val="13"/>
          <w:color w:val="auto"/>
        </w:rPr>
      </w:pPr>
    </w:p>
    <w:p>
      <w:pPr>
        <w:jc w:val="both"/>
        <w:ind w:left="500" w:hanging="492"/>
        <w:spacing w:after="0" w:line="256" w:lineRule="auto"/>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Capital employed does not include cash and cash equivalents, short-term investments-held-to-maturity, short-term investments-available for sale, long-term investments – rabbi trust, long-term investments-held-to-maturity, noncurrent deferred income tax assets and liabilities, current and noncurrent income taxes receivable and payable, lines of credit, Paycheck Protection Program loan, deferred compensation, and financial statement line items associated with our discontinued operation.</w:t>
      </w:r>
    </w:p>
    <w:p>
      <w:pPr>
        <w:spacing w:after="0" w:line="115" w:lineRule="exact"/>
        <w:rPr>
          <w:rFonts w:ascii="Arial" w:cs="Arial" w:eastAsia="Arial" w:hAnsi="Arial"/>
          <w:sz w:val="13"/>
          <w:szCs w:val="13"/>
          <w:color w:val="auto"/>
        </w:rPr>
      </w:pPr>
    </w:p>
    <w:p>
      <w:pPr>
        <w:ind w:left="500" w:hanging="492"/>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3"/>
          <w:szCs w:val="13"/>
          <w:color w:val="auto"/>
        </w:rPr>
        <w:t>Operating working capital includes accounts receivable and inventories, less accounts payable-trade, accounts payable-capital expenditures, and deferred revenue.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8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years ended May 3, 2020, there were no disagreements on any matters of accounting principles or practices or financial statement disclosures.</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conducted an evaluation of the effectiveness of our disclosure controls and procedures as of May 3, 2020. This evaluation was conducted under the supervision and with the participation of management, including our Executive Chairman,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at May 3,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 Thornton LLP, an independent registered public accounting firm, has audited the consolidated financial statements as of and for the years ended May 3, 2020, April 28, 2019, and April 29, 2018 and has audited the company’s effectiveness of internal controls over financial reporting as of May 3, 2020, as stated in their report, which is included in Item 8 hereof.</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May 3, 2020,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Culp, Inc. (a North Carolina corporation) and subsidiaries (the “Company”) as of May 3,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May 3,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May 3, 2020, and our report dated July 17, 2020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jc w:val="right"/>
        <w:ind w:right="3079"/>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“Section 16(a) Beneficial Ownership Reporting Compliance,” “Corporate Governance – Code of Business Conduct and Ethics,” and “Board Committees and Attendance – Audit Committee,” which information is herein incorporated by reference.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and “Compensation Committee Interlocks and Insider Participation,” which information is herein incorporated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“Executive Compensation Plan Information” and “Voting Securities,” which information is herein incorporated by reference.</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fiscal 2020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5"/>
              </w:rPr>
              <w:t>Number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89"/>
              </w:rPr>
              <w:t>securities to be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under equity</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86"/>
              </w:rPr>
              <w:t>issued upon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Weighted-average</w:t>
            </w:r>
          </w:p>
        </w:tc>
        <w:tc>
          <w:tcPr>
            <w:tcW w:w="2300" w:type="dxa"/>
            <w:vAlign w:val="bottom"/>
          </w:tcPr>
          <w:p>
            <w:pPr>
              <w:jc w:val="center"/>
              <w:ind w:right="50"/>
              <w:spacing w:after="0"/>
              <w:rPr>
                <w:sz w:val="20"/>
                <w:szCs w:val="20"/>
                <w:color w:val="auto"/>
              </w:rPr>
            </w:pPr>
            <w:r>
              <w:rPr>
                <w:rFonts w:ascii="Arial" w:cs="Arial" w:eastAsia="Arial" w:hAnsi="Arial"/>
                <w:sz w:val="18"/>
                <w:szCs w:val="18"/>
                <w:color w:val="auto"/>
                <w:w w:val="89"/>
              </w:rPr>
              <w:t>compensation plan</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1"/>
              </w:rPr>
              <w:t>exercise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exercise price of</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50"/>
              <w:spacing w:after="0"/>
              <w:rPr>
                <w:sz w:val="20"/>
                <w:szCs w:val="20"/>
                <w:color w:val="auto"/>
              </w:rPr>
            </w:pPr>
            <w:r>
              <w:rPr>
                <w:rFonts w:ascii="Arial" w:cs="Arial" w:eastAsia="Arial" w:hAnsi="Arial"/>
                <w:sz w:val="18"/>
                <w:szCs w:val="18"/>
                <w:color w:val="auto"/>
                <w:w w:val="90"/>
              </w:rPr>
              <w:t>outstanding options,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outstanding options,</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3"/>
              </w:rPr>
              <w:t>reflected in</w:t>
            </w:r>
          </w:p>
        </w:tc>
      </w:tr>
      <w:tr>
        <w:trPr>
          <w:trHeight w:val="230"/>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left="150"/>
              <w:spacing w:after="0"/>
              <w:rPr>
                <w:sz w:val="20"/>
                <w:szCs w:val="20"/>
                <w:color w:val="auto"/>
              </w:rPr>
            </w:pPr>
            <w:r>
              <w:rPr>
                <w:rFonts w:ascii="Arial" w:cs="Arial" w:eastAsia="Arial" w:hAnsi="Arial"/>
                <w:sz w:val="18"/>
                <w:szCs w:val="18"/>
                <w:color w:val="auto"/>
                <w:w w:val="90"/>
              </w:rPr>
              <w:t>warrants and rights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warrants and rights</w:t>
            </w:r>
          </w:p>
        </w:tc>
        <w:tc>
          <w:tcPr>
            <w:tcW w:w="2300" w:type="dxa"/>
            <w:vAlign w:val="bottom"/>
          </w:tcPr>
          <w:p>
            <w:pPr>
              <w:jc w:val="center"/>
              <w:ind w:right="50"/>
              <w:spacing w:after="0"/>
              <w:rPr>
                <w:sz w:val="20"/>
                <w:szCs w:val="20"/>
                <w:color w:val="auto"/>
              </w:rPr>
            </w:pPr>
            <w:r>
              <w:rPr>
                <w:rFonts w:ascii="Arial" w:cs="Arial" w:eastAsia="Arial" w:hAnsi="Arial"/>
                <w:sz w:val="18"/>
                <w:szCs w:val="18"/>
                <w:color w:val="auto"/>
                <w:w w:val="92"/>
              </w:rPr>
              <w:t>column (a))</w:t>
            </w:r>
          </w:p>
        </w:tc>
      </w:tr>
      <w:tr>
        <w:trPr>
          <w:trHeight w:val="223"/>
        </w:trPr>
        <w:tc>
          <w:tcPr>
            <w:tcW w:w="4160" w:type="dxa"/>
            <w:vAlign w:val="bottom"/>
            <w:gridSpan w:val="2"/>
          </w:tcPr>
          <w:p>
            <w:pPr>
              <w:ind w:left="1500"/>
              <w:spacing w:after="0"/>
              <w:rPr>
                <w:sz w:val="20"/>
                <w:szCs w:val="20"/>
                <w:color w:val="auto"/>
              </w:rPr>
            </w:pPr>
            <w:r>
              <w:rPr>
                <w:rFonts w:ascii="Arial" w:cs="Arial" w:eastAsia="Arial" w:hAnsi="Arial"/>
                <w:sz w:val="18"/>
                <w:szCs w:val="18"/>
                <w:color w:val="auto"/>
              </w:rPr>
              <w:t>Plan Category</w:t>
            </w:r>
          </w:p>
        </w:tc>
        <w:tc>
          <w:tcPr>
            <w:tcW w:w="190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90"/>
              </w:rPr>
              <w:t>(a)</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5"/>
              </w:rPr>
              <w:t>(c)</w:t>
            </w:r>
          </w:p>
        </w:tc>
      </w:tr>
      <w:tr>
        <w:trPr>
          <w:trHeight w:val="209"/>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w:t>
            </w:r>
          </w:p>
        </w:tc>
        <w:tc>
          <w:tcPr>
            <w:tcW w:w="12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spacing w:after="0"/>
              <w:rPr>
                <w:sz w:val="18"/>
                <w:szCs w:val="18"/>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holders</w:t>
            </w:r>
          </w:p>
        </w:tc>
        <w:tc>
          <w:tcPr>
            <w:tcW w:w="1900" w:type="dxa"/>
            <w:vAlign w:val="bottom"/>
            <w:shd w:val="clear" w:color="auto" w:fill="CFF0FC"/>
          </w:tcPr>
          <w:p>
            <w:pPr>
              <w:spacing w:after="0"/>
              <w:rPr>
                <w:sz w:val="20"/>
                <w:szCs w:val="20"/>
                <w:color w:val="auto"/>
              </w:rPr>
            </w:pP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690,163</w:t>
            </w:r>
          </w:p>
        </w:tc>
      </w:tr>
      <w:tr>
        <w:trPr>
          <w:trHeight w:val="215"/>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Equity compensation plans not approved by</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90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690,163</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Registered Public Accounting Firm,” which information is herein incorporated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20" w:type="dxa"/>
            <w:vAlign w:val="bottom"/>
          </w:tcPr>
          <w:p>
            <w:pPr>
              <w:jc w:val="center"/>
              <w:ind w:left="890"/>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tcPr>
          <w:p>
            <w:pPr>
              <w:jc w:val="center"/>
              <w:ind w:left="910"/>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9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DOCUMENTS FILED AS PART OF THIS REPORT: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b w:val="1"/>
                <w:bCs w:val="1"/>
                <w:color w:val="auto"/>
              </w:rPr>
              <w:t>1.</w:t>
            </w:r>
          </w:p>
        </w:tc>
        <w:tc>
          <w:tcPr>
            <w:tcW w:w="862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9440" w:type="dxa"/>
            <w:vAlign w:val="bottom"/>
            <w:gridSpan w:val="3"/>
          </w:tcPr>
          <w:p>
            <w:pPr>
              <w:spacing w:after="0"/>
              <w:rPr>
                <w:sz w:val="20"/>
                <w:szCs w:val="20"/>
                <w:color w:val="auto"/>
              </w:rPr>
            </w:pPr>
            <w:r>
              <w:rPr>
                <w:rFonts w:ascii="Arial" w:cs="Arial" w:eastAsia="Arial" w:hAnsi="Arial"/>
                <w:sz w:val="18"/>
                <w:szCs w:val="18"/>
                <w:color w:val="auto"/>
              </w:rPr>
              <w:t>The following consolidated financial statements of Culp, Inc. and its subsidiaries are filed as part of this report.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Page of Annual</w:t>
            </w: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Report on</w:t>
            </w:r>
          </w:p>
        </w:tc>
      </w:tr>
      <w:tr>
        <w:trPr>
          <w:trHeight w:val="190"/>
        </w:trPr>
        <w:tc>
          <w:tcPr>
            <w:tcW w:w="340" w:type="dxa"/>
            <w:vAlign w:val="bottom"/>
          </w:tcPr>
          <w:p>
            <w:pPr>
              <w:spacing w:after="0" w:line="190" w:lineRule="exact"/>
              <w:rPr>
                <w:sz w:val="20"/>
                <w:szCs w:val="20"/>
                <w:color w:val="auto"/>
              </w:rPr>
            </w:pPr>
            <w:r>
              <w:rPr>
                <w:rFonts w:ascii="Arial" w:cs="Arial" w:eastAsia="Arial" w:hAnsi="Arial"/>
                <w:sz w:val="18"/>
                <w:szCs w:val="18"/>
                <w:color w:val="auto"/>
                <w:w w:val="91"/>
              </w:rPr>
              <w:t>Item</w:t>
            </w:r>
          </w:p>
        </w:tc>
        <w:tc>
          <w:tcPr>
            <w:tcW w:w="48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800" w:type="dxa"/>
            <w:vAlign w:val="bottom"/>
            <w:gridSpan w:val="3"/>
          </w:tcPr>
          <w:p>
            <w:pPr>
              <w:jc w:val="right"/>
              <w:ind w:right="160"/>
              <w:spacing w:after="0" w:line="190" w:lineRule="exact"/>
              <w:rPr>
                <w:sz w:val="20"/>
                <w:szCs w:val="20"/>
                <w:color w:val="auto"/>
              </w:rPr>
            </w:pPr>
            <w:r>
              <w:rPr>
                <w:rFonts w:ascii="Arial" w:cs="Arial" w:eastAsia="Arial" w:hAnsi="Arial"/>
                <w:sz w:val="18"/>
                <w:szCs w:val="18"/>
                <w:color w:val="auto"/>
              </w:rPr>
              <w:t>Form 10-K</w:t>
            </w:r>
          </w:p>
        </w:tc>
      </w:tr>
      <w:tr>
        <w:trPr>
          <w:trHeight w:val="20"/>
        </w:trPr>
        <w:tc>
          <w:tcPr>
            <w:tcW w:w="340" w:type="dxa"/>
            <w:vAlign w:val="bottom"/>
            <w:shd w:val="clear" w:color="auto" w:fill="000000"/>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9440" w:type="dxa"/>
            <w:vAlign w:val="bottom"/>
            <w:gridSpan w:val="3"/>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Report of Independent Registered Public Accounting Firm</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446"/>
        </w:trPr>
        <w:tc>
          <w:tcPr>
            <w:tcW w:w="9440" w:type="dxa"/>
            <w:vAlign w:val="bottom"/>
            <w:gridSpan w:val="3"/>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Balance Sheets – May 3, 2020 and April 28, 2019</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445"/>
        </w:trPr>
        <w:tc>
          <w:tcPr>
            <w:tcW w:w="944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Net Income - for the years ended May 3, 2020, April 28, 2019 and April 29, 2018</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53</w:t>
            </w:r>
          </w:p>
        </w:tc>
      </w:tr>
      <w:tr>
        <w:trPr>
          <w:trHeight w:val="446"/>
        </w:trPr>
        <w:tc>
          <w:tcPr>
            <w:tcW w:w="9440" w:type="dxa"/>
            <w:vAlign w:val="bottom"/>
            <w:gridSpan w:val="3"/>
          </w:tcPr>
          <w:p>
            <w:pPr>
              <w:spacing w:after="0"/>
              <w:rPr>
                <w:rFonts w:ascii="Arial" w:cs="Arial" w:eastAsia="Arial" w:hAnsi="Arial"/>
                <w:sz w:val="18"/>
                <w:szCs w:val="18"/>
                <w:u w:val="single" w:color="auto"/>
                <w:color w:val="0000EE"/>
                <w:w w:val="97"/>
              </w:rPr>
            </w:pPr>
            <w:hyperlink w:anchor="page57">
              <w:r>
                <w:rPr>
                  <w:rFonts w:ascii="Arial" w:cs="Arial" w:eastAsia="Arial" w:hAnsi="Arial"/>
                  <w:sz w:val="18"/>
                  <w:szCs w:val="18"/>
                  <w:u w:val="single" w:color="auto"/>
                  <w:color w:val="0000EE"/>
                  <w:w w:val="97"/>
                </w:rPr>
                <w:t>Consolidated Statements of Comprehensive Income - for the years ended May 3, 2020, April 28, 2019 and April 29, 2018</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445"/>
        </w:trPr>
        <w:tc>
          <w:tcPr>
            <w:tcW w:w="9440" w:type="dxa"/>
            <w:vAlign w:val="bottom"/>
            <w:gridSpan w:val="3"/>
          </w:tcPr>
          <w:p>
            <w:pPr>
              <w:spacing w:after="0"/>
              <w:rPr>
                <w:rFonts w:ascii="Arial" w:cs="Arial" w:eastAsia="Arial" w:hAnsi="Arial"/>
                <w:sz w:val="18"/>
                <w:szCs w:val="18"/>
                <w:u w:val="single" w:color="auto"/>
                <w:color w:val="0000EE"/>
                <w:w w:val="99"/>
              </w:rPr>
            </w:pPr>
            <w:hyperlink w:anchor="page58">
              <w:r>
                <w:rPr>
                  <w:rFonts w:ascii="Arial" w:cs="Arial" w:eastAsia="Arial" w:hAnsi="Arial"/>
                  <w:sz w:val="18"/>
                  <w:szCs w:val="18"/>
                  <w:u w:val="single" w:color="auto"/>
                  <w:color w:val="0000EE"/>
                  <w:w w:val="99"/>
                </w:rPr>
                <w:t>Consolidated Statements of Shareholders’ Equity – for the years ended May 3, 2020, April 28, 2019 and April 29, 2018</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446"/>
        </w:trPr>
        <w:tc>
          <w:tcPr>
            <w:tcW w:w="944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Statements of Cash Flows – for the years ended May 3, 2020, April 28, 2019 and April 29, 2018</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445"/>
        </w:trPr>
        <w:tc>
          <w:tcPr>
            <w:tcW w:w="944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Notes to Consolidated Financial Statements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57</w:t>
            </w:r>
          </w:p>
        </w:tc>
      </w:tr>
    </w:tbl>
    <w:p>
      <w:pPr>
        <w:spacing w:after="0" w:line="225"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1000" w:hanging="493"/>
        <w:spacing w:after="0"/>
        <w:tabs>
          <w:tab w:leader="none" w:pos="10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exhibits are attached at the end of this report or incorporated by reference herein. Management contracts, compensatory plans, and arrangements are marked with an asterisk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3(i)</w:t>
              </w:r>
            </w:hyperlink>
          </w:p>
        </w:tc>
        <w:tc>
          <w:tcPr>
            <w:tcW w:w="10060" w:type="dxa"/>
            <w:vAlign w:val="bottom"/>
            <w:tcBorders>
              <w:bottom w:val="single" w:sz="8" w:color="0000EE"/>
            </w:tcBorders>
            <w:gridSpan w:val="20"/>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Articles of Incorporation of the company, as amended, were filed as Exhibit 3(i) to the company’s Form 10-Q for the quarter ended July 28,</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2002, filed September 11, 2002 (Commission File No. 001-12597), and are incorporated herein by reference.</w:t>
              </w:r>
            </w:hyperlink>
          </w:p>
        </w:tc>
      </w:tr>
      <w:tr>
        <w:trPr>
          <w:trHeight w:val="20"/>
        </w:trPr>
        <w:tc>
          <w:tcPr>
            <w:tcW w:w="1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3(ii)</w:t>
              </w:r>
            </w:hyperlink>
          </w:p>
        </w:tc>
        <w:tc>
          <w:tcPr>
            <w:tcW w:w="99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Restated and Amended Bylaws of the company, as amended July 10, 2019, were filed as Exhibit 3(ii) to the company’s Form 10-K for the</w:t>
              </w:r>
            </w:hyperlink>
          </w:p>
        </w:tc>
        <w:tc>
          <w:tcPr>
            <w:tcW w:w="120" w:type="dxa"/>
            <w:vAlign w:val="bottom"/>
            <w:gridSpan w:val="3"/>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080" w:type="dxa"/>
            <w:vAlign w:val="bottom"/>
            <w:gridSpan w:val="21"/>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year ended April 28, 2019, filed July 12, 2019 (Commission File No. 001-12597), and are incorporated herein by reference.</w:t>
              </w:r>
            </w:hyperlink>
          </w:p>
        </w:tc>
      </w:tr>
      <w:tr>
        <w:trPr>
          <w:trHeight w:val="216"/>
        </w:trPr>
        <w:tc>
          <w:tcPr>
            <w:tcW w:w="1140" w:type="dxa"/>
            <w:vAlign w:val="bottom"/>
          </w:tcPr>
          <w:p>
            <w:pPr>
              <w:ind w:left="10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4.1</w:t>
              </w:r>
            </w:hyperlink>
          </w:p>
        </w:tc>
        <w:tc>
          <w:tcPr>
            <w:tcW w:w="1008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u w:val="single" w:color="auto"/>
                  <w:color w:val="0000EE"/>
                </w:rPr>
                <w:t>Description of Capital Stock</w:t>
              </w:r>
              <w:r>
                <w:rPr>
                  <w:rFonts w:ascii="Arial" w:cs="Arial" w:eastAsia="Arial" w:hAnsi="Arial"/>
                  <w:sz w:val="18"/>
                  <w:szCs w:val="18"/>
                  <w:color w:val="0000EE"/>
                </w:rPr>
                <w:t>.</w:t>
              </w:r>
            </w:hyperlink>
          </w:p>
        </w:tc>
      </w:tr>
      <w:tr>
        <w:trPr>
          <w:trHeight w:val="190"/>
        </w:trPr>
        <w:tc>
          <w:tcPr>
            <w:tcW w:w="1140" w:type="dxa"/>
            <w:vAlign w:val="bottom"/>
          </w:tcPr>
          <w:p>
            <w:pPr>
              <w:spacing w:after="0" w:line="190"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10.1</w:t>
              </w:r>
            </w:hyperlink>
          </w:p>
        </w:tc>
        <w:tc>
          <w:tcPr>
            <w:tcW w:w="10060" w:type="dxa"/>
            <w:vAlign w:val="bottom"/>
            <w:tcBorders>
              <w:bottom w:val="single" w:sz="8" w:color="0000EE"/>
            </w:tcBorders>
            <w:gridSpan w:val="20"/>
          </w:tcPr>
          <w:p>
            <w:pPr>
              <w:spacing w:after="0" w:line="190"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Conformed copy of Credit Agreement by and between Culp, Inc. and Wells Fargo Bank, N.A., dated August 3, 2013, consolidating (i) First</w:t>
              </w:r>
            </w:hyperlink>
          </w:p>
        </w:tc>
        <w:tc>
          <w:tcPr>
            <w:tcW w:w="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Amendment dated as of July 10, 2015, (ii) Second Amendment dated as of March 10, 2016, (iii) Third Amendment dated as of August 1,</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2016, (iv) Fourth Amendment dated as of September 27, 2016, (v) Fifth Amendment dated as of August 13, 2018, (vi) Sixth Amendment</w:t>
              </w:r>
            </w:hyperlink>
          </w:p>
        </w:tc>
        <w:tc>
          <w:tcPr>
            <w:tcW w:w="180" w:type="dxa"/>
            <w:vAlign w:val="bottom"/>
            <w:gridSpan w:val="5"/>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080" w:type="dxa"/>
            <w:vAlign w:val="bottom"/>
            <w:gridSpan w:val="21"/>
          </w:tcPr>
          <w:p>
            <w:pPr>
              <w:spacing w:after="0"/>
              <w:rPr>
                <w:rFonts w:ascii="Arial" w:cs="Arial" w:eastAsia="Arial" w:hAnsi="Arial"/>
                <w:sz w:val="18"/>
                <w:szCs w:val="18"/>
                <w:u w:val="single" w:color="auto"/>
                <w:color w:val="0000EE"/>
                <w:w w:val="95"/>
              </w:rPr>
            </w:pPr>
            <w:hyperlink w:anchor="page117">
              <w:r>
                <w:rPr>
                  <w:rFonts w:ascii="Arial" w:cs="Arial" w:eastAsia="Arial" w:hAnsi="Arial"/>
                  <w:sz w:val="18"/>
                  <w:szCs w:val="18"/>
                  <w:u w:val="single" w:color="auto"/>
                  <w:color w:val="0000EE"/>
                  <w:w w:val="95"/>
                </w:rPr>
                <w:t>dated as of March 27, 2020, and (vii) Seventh Amendment dated as of June 30, 2020. This conformed copy is being filed for ease of</w:t>
              </w:r>
            </w:hyperlink>
          </w:p>
        </w:tc>
      </w:tr>
      <w:tr>
        <w:trPr>
          <w:trHeight w:val="216"/>
        </w:trPr>
        <w:tc>
          <w:tcPr>
            <w:tcW w:w="1140" w:type="dxa"/>
            <w:vAlign w:val="bottom"/>
          </w:tcPr>
          <w:p>
            <w:pPr>
              <w:spacing w:after="0"/>
              <w:rPr>
                <w:sz w:val="18"/>
                <w:szCs w:val="18"/>
                <w:color w:val="auto"/>
              </w:rPr>
            </w:pPr>
          </w:p>
        </w:tc>
        <w:tc>
          <w:tcPr>
            <w:tcW w:w="10080" w:type="dxa"/>
            <w:vAlign w:val="bottom"/>
            <w:gridSpan w:val="21"/>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reference and is qualified in its entirety by each of amendments referenced herein.</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10.2</w:t>
              </w:r>
            </w:hyperlink>
          </w:p>
        </w:tc>
        <w:tc>
          <w:tcPr>
            <w:tcW w:w="10080" w:type="dxa"/>
            <w:vAlign w:val="bottom"/>
            <w:gridSpan w:val="21"/>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Sixth Amendment to the Credit Agreement dated as of March 27, 2020, by and between Culp, Inc. and Wells Fargo, N.A.</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10.3</w:t>
              </w:r>
            </w:hyperlink>
          </w:p>
        </w:tc>
        <w:tc>
          <w:tcPr>
            <w:tcW w:w="10080" w:type="dxa"/>
            <w:vAlign w:val="bottom"/>
            <w:gridSpan w:val="21"/>
          </w:tcPr>
          <w:p>
            <w:pPr>
              <w:spacing w:after="0"/>
              <w:rPr>
                <w:rFonts w:ascii="Arial" w:cs="Arial" w:eastAsia="Arial" w:hAnsi="Arial"/>
                <w:sz w:val="18"/>
                <w:szCs w:val="18"/>
                <w:color w:val="0000EE"/>
              </w:rPr>
            </w:pPr>
            <w:hyperlink w:anchor="page156">
              <w:r>
                <w:rPr>
                  <w:rFonts w:ascii="Arial" w:cs="Arial" w:eastAsia="Arial" w:hAnsi="Arial"/>
                  <w:sz w:val="18"/>
                  <w:szCs w:val="18"/>
                  <w:u w:val="single" w:color="auto"/>
                  <w:color w:val="0000EE"/>
                </w:rPr>
                <w:t>Seventh Amendment to the Credit Agreement dated as of June 30, 2020, by and between Culp, Inc. and Wells Fargo, N.A</w:t>
              </w:r>
            </w:hyperlink>
            <w:r>
              <w:rPr>
                <w:rFonts w:ascii="Arial" w:cs="Arial" w:eastAsia="Arial" w:hAnsi="Arial"/>
                <w:sz w:val="18"/>
                <w:szCs w:val="18"/>
                <w:color w:val="000000"/>
              </w:rPr>
              <w:t>.</w:t>
            </w:r>
          </w:p>
        </w:tc>
      </w:tr>
      <w:tr>
        <w:trPr>
          <w:trHeight w:val="190"/>
        </w:trPr>
        <w:tc>
          <w:tcPr>
            <w:tcW w:w="1140" w:type="dxa"/>
            <w:vAlign w:val="bottom"/>
          </w:tcPr>
          <w:p>
            <w:pPr>
              <w:spacing w:after="0" w:line="190" w:lineRule="exact"/>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10.4</w:t>
              </w:r>
            </w:hyperlink>
          </w:p>
        </w:tc>
        <w:tc>
          <w:tcPr>
            <w:tcW w:w="10080" w:type="dxa"/>
            <w:vAlign w:val="bottom"/>
            <w:gridSpan w:val="21"/>
          </w:tcPr>
          <w:p>
            <w:pPr>
              <w:spacing w:after="0" w:line="190"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Written description of Annual Incentive Plan was filed as Exhibit 10.1 of the company’s Form 10-K for the year ended April 28, 2019, filed</w:t>
              </w:r>
            </w:hyperlink>
          </w:p>
        </w:tc>
      </w:tr>
      <w:tr>
        <w:trPr>
          <w:trHeight w:val="196"/>
        </w:trPr>
        <w:tc>
          <w:tcPr>
            <w:tcW w:w="1140" w:type="dxa"/>
            <w:vAlign w:val="bottom"/>
          </w:tcPr>
          <w:p>
            <w:pPr>
              <w:spacing w:after="0"/>
              <w:rPr>
                <w:sz w:val="17"/>
                <w:szCs w:val="17"/>
                <w:color w:val="auto"/>
              </w:rPr>
            </w:pPr>
          </w:p>
        </w:tc>
        <w:tc>
          <w:tcPr>
            <w:tcW w:w="10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July 12, 2019 (Commission File No. 001-12597), and incorporated herein by reference. (*)</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10.5</w:t>
              </w:r>
            </w:hyperlink>
          </w:p>
        </w:tc>
        <w:tc>
          <w:tcPr>
            <w:tcW w:w="91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of Annual Incentive Award Agreement was filed as Exhibit 10.1 to the company’s Form 10-Q dated September 13, 2019</w:t>
              </w:r>
            </w:hyperlink>
          </w:p>
        </w:tc>
        <w:tc>
          <w:tcPr>
            <w:tcW w:w="9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(Commission File No. 001-12597), and incorporated herein by reference. (*)</w:t>
              </w:r>
            </w:hyperlink>
          </w:p>
        </w:tc>
      </w:tr>
      <w:tr>
        <w:trPr>
          <w:trHeight w:val="20"/>
        </w:trPr>
        <w:tc>
          <w:tcPr>
            <w:tcW w:w="1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10.6</w:t>
              </w:r>
            </w:hyperlink>
          </w:p>
        </w:tc>
        <w:tc>
          <w:tcPr>
            <w:tcW w:w="9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Form of restricted stock unit agreement for restricted stock units granted to executive officers pursuant to the 2015 Equity Incentive Plan</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was filed as Exhibit 10.2 to the company’s Form 10-Q dated September 13, 2019 (Commission File No. 001-12597), and incorporated</w:t>
              </w:r>
            </w:hyperlink>
          </w:p>
        </w:tc>
        <w:tc>
          <w:tcPr>
            <w:tcW w:w="4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herein by reference. (*)</w:t>
              </w:r>
            </w:hyperlink>
          </w:p>
        </w:tc>
        <w:tc>
          <w:tcPr>
            <w:tcW w:w="8380" w:type="dxa"/>
            <w:vAlign w:val="bottom"/>
            <w:gridSpan w:val="19"/>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10.7</w:t>
              </w:r>
            </w:hyperlink>
          </w:p>
        </w:tc>
        <w:tc>
          <w:tcPr>
            <w:tcW w:w="10080" w:type="dxa"/>
            <w:vAlign w:val="bottom"/>
            <w:gridSpan w:val="21"/>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Written description of Non-Employee Director Compensation was filed as Exhibit 10.2 to the company’s Form 10-Q dated March 8, 2019</w:t>
              </w:r>
            </w:hyperlink>
          </w:p>
        </w:tc>
      </w:tr>
      <w:tr>
        <w:trPr>
          <w:trHeight w:val="196"/>
        </w:trPr>
        <w:tc>
          <w:tcPr>
            <w:tcW w:w="114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(Commission File No. 001-12597), and incorporated herein by reference.</w:t>
              </w:r>
            </w:hyperlink>
          </w:p>
        </w:tc>
        <w:tc>
          <w:tcPr>
            <w:tcW w:w="4660" w:type="dxa"/>
            <w:vAlign w:val="bottom"/>
            <w:tcBorders>
              <w:top w:val="single" w:sz="8" w:color="0000EE"/>
            </w:tcBorders>
            <w:gridSpan w:val="1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10.8</w:t>
              </w:r>
            </w:hyperlink>
          </w:p>
        </w:tc>
        <w:tc>
          <w:tcPr>
            <w:tcW w:w="9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Form of restricted stock unit agreement for restricted stock units granted to executive officers pursuant to the 2015 Equity Incentive Plan</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was filed as Exhibit 10.1 to the company’s Form 10-Q dated September 8, 2017 (Commission File No. 001-12597), and incorporated herein</w:t>
              </w:r>
            </w:hyperlink>
          </w:p>
        </w:tc>
      </w:tr>
      <w:tr>
        <w:trPr>
          <w:trHeight w:val="196"/>
        </w:trPr>
        <w:tc>
          <w:tcPr>
            <w:tcW w:w="114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by reference. (*)</w:t>
              </w:r>
            </w:hyperlink>
          </w:p>
        </w:tc>
        <w:tc>
          <w:tcPr>
            <w:tcW w:w="8880" w:type="dxa"/>
            <w:vAlign w:val="bottom"/>
            <w:gridSpan w:val="20"/>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10.9</w:t>
              </w:r>
            </w:hyperlink>
          </w:p>
        </w:tc>
        <w:tc>
          <w:tcPr>
            <w:tcW w:w="9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2015 Equity Incentive Plan, filed as Annex A to the company’s 2015 Proxy Statement, filed on August 12, 2015 (Commission File No.</w:t>
              </w:r>
            </w:hyperlink>
          </w:p>
        </w:tc>
        <w:tc>
          <w:tcPr>
            <w:tcW w:w="3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001-12597), and incorporated herein by reference. (*)</w:t>
              </w:r>
            </w:hyperlink>
          </w:p>
        </w:tc>
        <w:tc>
          <w:tcPr>
            <w:tcW w:w="6200" w:type="dxa"/>
            <w:vAlign w:val="bottom"/>
            <w:gridSpan w:val="18"/>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10.10</w:t>
              </w:r>
            </w:hyperlink>
          </w:p>
        </w:tc>
        <w:tc>
          <w:tcPr>
            <w:tcW w:w="9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Culp, Inc. Deferred Compensation Plan For Certain Key Employees Amendment No. 1, was filed as Exhibit 10.2 to the company’s Form</w:t>
              </w:r>
            </w:hyperlink>
          </w:p>
        </w:tc>
        <w:tc>
          <w:tcPr>
            <w:tcW w:w="2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10-K for the year ended May 3, 2015, dated July 17, 2015, and incorporated herein by reference. (*)</w:t>
              </w:r>
            </w:hyperlink>
          </w:p>
        </w:tc>
        <w:tc>
          <w:tcPr>
            <w:tcW w:w="2860" w:type="dxa"/>
            <w:vAlign w:val="bottom"/>
            <w:gridSpan w:val="14"/>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10.11</w:t>
              </w:r>
            </w:hyperlink>
          </w:p>
        </w:tc>
        <w:tc>
          <w:tcPr>
            <w:tcW w:w="9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Form of change in control and noncompetition agreement. This agreement was filed as Exhibit 10.3 to the company’s Form 10-Q for the</w:t>
              </w:r>
            </w:hyperlink>
          </w:p>
        </w:tc>
        <w:tc>
          <w:tcPr>
            <w:tcW w:w="240" w:type="dxa"/>
            <w:vAlign w:val="bottom"/>
            <w:gridSpan w:val="8"/>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080" w:type="dxa"/>
            <w:vAlign w:val="bottom"/>
            <w:gridSpan w:val="21"/>
          </w:tcPr>
          <w:p>
            <w:pPr>
              <w:spacing w:after="0"/>
              <w:rPr>
                <w:rFonts w:ascii="Arial" w:cs="Arial" w:eastAsia="Arial" w:hAnsi="Arial"/>
                <w:sz w:val="18"/>
                <w:szCs w:val="18"/>
                <w:u w:val="single" w:color="auto"/>
                <w:color w:val="0000EE"/>
                <w:w w:val="92"/>
              </w:rPr>
            </w:pPr>
            <w:hyperlink r:id="rId148">
              <w:r>
                <w:rPr>
                  <w:rFonts w:ascii="Arial" w:cs="Arial" w:eastAsia="Arial" w:hAnsi="Arial"/>
                  <w:sz w:val="18"/>
                  <w:szCs w:val="18"/>
                  <w:u w:val="single" w:color="auto"/>
                  <w:color w:val="0000EE"/>
                  <w:w w:val="92"/>
                </w:rPr>
                <w:t>quarter ended October 28, 2007, filed on December 12, 2007 (Commission File No. 001-12597) and incorporated herein by reference. (*)</w:t>
              </w:r>
            </w:hyperlink>
          </w:p>
        </w:tc>
      </w:tr>
      <w:tr>
        <w:trPr>
          <w:trHeight w:val="190"/>
        </w:trPr>
        <w:tc>
          <w:tcPr>
            <w:tcW w:w="1140" w:type="dxa"/>
            <w:vAlign w:val="bottom"/>
          </w:tcPr>
          <w:p>
            <w:pPr>
              <w:spacing w:after="0" w:line="190" w:lineRule="exact"/>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10.12</w:t>
              </w:r>
            </w:hyperlink>
          </w:p>
        </w:tc>
        <w:tc>
          <w:tcPr>
            <w:tcW w:w="1004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Amended and Restated Deferred Compensation Plan for Certain Key Employees was filed as Exhibit 10.1 to the company’s Form 10-Q for</w:t>
              </w:r>
            </w:hyperlink>
          </w:p>
        </w:tc>
        <w:tc>
          <w:tcPr>
            <w:tcW w:w="40" w:type="dxa"/>
            <w:vAlign w:val="bottom"/>
            <w:gridSpan w:val="2"/>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7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the quarter ended January 26, 2014, filed on March 7, 2014, and is incorporated herein by reference. (*)</w:t>
              </w:r>
            </w:hyperlink>
          </w:p>
        </w:tc>
        <w:tc>
          <w:tcPr>
            <w:tcW w:w="2600" w:type="dxa"/>
            <w:vAlign w:val="bottom"/>
            <w:gridSpan w:val="13"/>
          </w:tcPr>
          <w:p>
            <w:pPr>
              <w:spacing w:after="0"/>
              <w:rPr>
                <w:sz w:val="17"/>
                <w:szCs w:val="17"/>
                <w:color w:val="auto"/>
              </w:rPr>
            </w:pPr>
          </w:p>
        </w:tc>
      </w:tr>
      <w:tr>
        <w:trPr>
          <w:trHeight w:val="237"/>
        </w:trPr>
        <w:tc>
          <w:tcPr>
            <w:tcW w:w="114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21</w:t>
              </w:r>
            </w:hyperlink>
          </w:p>
        </w:tc>
        <w:tc>
          <w:tcPr>
            <w:tcW w:w="10080" w:type="dxa"/>
            <w:vAlign w:val="bottom"/>
            <w:gridSpan w:val="21"/>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List of subsidiaries of the company</w:t>
              </w:r>
            </w:hyperlink>
          </w:p>
        </w:tc>
      </w:tr>
    </w:tbl>
    <w:p>
      <w:pPr>
        <w:ind w:left="1140" w:right="180" w:hanging="1132"/>
        <w:spacing w:after="0" w:line="216" w:lineRule="exact"/>
        <w:tabs>
          <w:tab w:leader="none" w:pos="1140" w:val="left"/>
        </w:tabs>
        <w:numPr>
          <w:ilvl w:val="0"/>
          <w:numId w:val="61"/>
        </w:numPr>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Consent of Independent Registered Public Accounting Firm in connection with the registration statements of Culp, Inc. on Form S-8 (File</w:t>
        </w:r>
      </w:hyperlink>
      <w:r>
        <w:rPr>
          <w:rFonts w:ascii="Arial" w:cs="Arial" w:eastAsia="Arial" w:hAnsi="Arial"/>
          <w:sz w:val="18"/>
          <w:szCs w:val="18"/>
          <w:u w:val="single" w:color="auto"/>
          <w:color w:val="0000EE"/>
        </w:rPr>
        <w:t xml:space="preserve"> </w:t>
      </w:r>
      <w:hyperlink w:anchor="page163">
        <w:r>
          <w:rPr>
            <w:rFonts w:ascii="Arial" w:cs="Arial" w:eastAsia="Arial" w:hAnsi="Arial"/>
            <w:sz w:val="18"/>
            <w:szCs w:val="18"/>
            <w:u w:val="single" w:color="auto"/>
            <w:color w:val="0000EE"/>
          </w:rPr>
          <w:t>Nos. 333-207195, 33</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13310, 33-37027, 33-80206).</w:t>
        </w:r>
      </w:hyperlink>
    </w:p>
    <w:tbl>
      <w:tblPr>
        <w:tblLayout w:type="fixed"/>
        <w:tblInd w:w="0" w:type="dxa"/>
        <w:tblCellMar>
          <w:top w:w="0" w:type="dxa"/>
          <w:left w:w="0" w:type="dxa"/>
          <w:bottom w:w="0" w:type="dxa"/>
          <w:right w:w="0" w:type="dxa"/>
        </w:tblCellMar>
      </w:tblPr>
      <w:tr>
        <w:trPr>
          <w:trHeight w:val="202"/>
        </w:trPr>
        <w:tc>
          <w:tcPr>
            <w:tcW w:w="880" w:type="dxa"/>
            <w:vAlign w:val="bottom"/>
          </w:tcPr>
          <w:p>
            <w:pPr>
              <w:spacing w:after="0" w:line="202" w:lineRule="exact"/>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24(a)</w:t>
              </w:r>
            </w:hyperlink>
          </w:p>
        </w:tc>
        <w:tc>
          <w:tcPr>
            <w:tcW w:w="10380" w:type="dxa"/>
            <w:vAlign w:val="bottom"/>
          </w:tcPr>
          <w:p>
            <w:pPr>
              <w:ind w:left="260"/>
              <w:spacing w:after="0" w:line="202" w:lineRule="exact"/>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Power of Attorney of Sharon Decker, dated July 17, 2020</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24(b)</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Power of Attorney of Perry E. Davis, dated July 17, 2020</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24(c)</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Power of Attorney of Kenneth R. Larson, dated July 17, 2020</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24(d)</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Power of Attorney of Fred A. Jackson, dated July 17, 2020</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24(e)</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Power of Attorney of Kenneth W. McAllister, dated July 17, 2020</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31(a)</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Certification of Co-Principal Executive Officer Pursuant to Section 302 of Sarbanes-Oxley Act of 2002.</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31(b)</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Co-Principal Executive Officer Pursuant to Section 302 of Sarbanes-Oxley Act of 2002.</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31(c)</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Certification of Principal Financial Officer Pursuant to Section 302 of Sarbanes-Oxley Act of 2002.</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32(a)</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Certification of Co-Principal Executive Officer Pursuant to Section 906 of Sarbanes-Oxley Act of 2002.</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32(b)</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Certification of Co-Principal Executive Officer Pursuant to Section 906 of Sarbanes-Oxley Act of 2002.</w:t>
              </w:r>
            </w:hyperlink>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32(c)</w:t>
              </w:r>
            </w:hyperlink>
          </w:p>
        </w:tc>
        <w:tc>
          <w:tcPr>
            <w:tcW w:w="10380" w:type="dxa"/>
            <w:vAlign w:val="bottom"/>
          </w:tcPr>
          <w:p>
            <w:pPr>
              <w:ind w:left="26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Certification of Principal Financial Officer Pursuant to Section 906 of Sarbanes-Oxley Act of 2002.</w:t>
              </w:r>
            </w:hyperlink>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8"/>
                <w:szCs w:val="18"/>
                <w:color w:val="auto"/>
              </w:rPr>
              <w:t>107</w:t>
            </w:r>
          </w:p>
        </w:tc>
      </w:tr>
      <w:tr>
        <w:trPr>
          <w:trHeight w:val="115"/>
        </w:trPr>
        <w:tc>
          <w:tcPr>
            <w:tcW w:w="880" w:type="dxa"/>
            <w:vAlign w:val="bottom"/>
            <w:tcBorders>
              <w:bottom w:val="single" w:sz="8" w:color="9A9A9A"/>
            </w:tcBorders>
          </w:tcPr>
          <w:p>
            <w:pPr>
              <w:spacing w:after="0"/>
              <w:rPr>
                <w:sz w:val="10"/>
                <w:szCs w:val="10"/>
                <w:color w:val="auto"/>
              </w:rPr>
            </w:pPr>
          </w:p>
        </w:tc>
        <w:tc>
          <w:tcPr>
            <w:tcW w:w="10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11"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to this Form 10-K are filed at the end of this Form 10-K immediately preceded by an index. A list of the exhibits begins on page 112 under the subheading “Exhibit Index.”</w:t>
      </w:r>
    </w:p>
    <w:p>
      <w:pPr>
        <w:spacing w:after="0" w:line="139"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6"/>
          <w:szCs w:val="16"/>
          <w:b w:val="1"/>
          <w:bCs w:val="1"/>
          <w:u w:val="single" w:color="auto"/>
          <w:color w:val="auto"/>
        </w:rPr>
        <w:t>Exhibit</w:t>
      </w:r>
    </w:p>
    <w:p>
      <w:pPr>
        <w:spacing w:after="0" w:line="256" w:lineRule="exact"/>
        <w:rPr>
          <w:sz w:val="20"/>
          <w:szCs w:val="20"/>
          <w:color w:val="auto"/>
        </w:rPr>
      </w:pPr>
    </w:p>
    <w:p>
      <w:pPr>
        <w:ind w:left="100"/>
        <w:spacing w:after="0"/>
        <w:tabs>
          <w:tab w:leader="none" w:pos="860" w:val="left"/>
        </w:tabs>
        <w:rPr>
          <w:rFonts w:ascii="Arial" w:cs="Arial" w:eastAsia="Arial" w:hAnsi="Arial"/>
          <w:sz w:val="16"/>
          <w:szCs w:val="16"/>
          <w:u w:val="single" w:color="auto"/>
          <w:color w:val="0000EE"/>
        </w:rPr>
      </w:pPr>
      <w:hyperlink w:anchor="page114">
        <w:r>
          <w:rPr>
            <w:rFonts w:ascii="Arial" w:cs="Arial" w:eastAsia="Arial" w:hAnsi="Arial"/>
            <w:sz w:val="18"/>
            <w:szCs w:val="18"/>
            <w:u w:val="single" w:color="auto"/>
            <w:color w:val="034990"/>
          </w:rPr>
          <w:t>4.1</w:t>
        </w:r>
      </w:hyperlink>
      <w:r>
        <w:rPr>
          <w:rFonts w:ascii="Arial" w:cs="Arial" w:eastAsia="Arial" w:hAnsi="Arial"/>
          <w:sz w:val="18"/>
          <w:szCs w:val="18"/>
          <w:u w:val="single" w:color="auto"/>
          <w:color w:val="034990"/>
        </w:rPr>
        <w:tab/>
      </w:r>
      <w:hyperlink w:anchor="page114">
        <w:r>
          <w:rPr>
            <w:rFonts w:ascii="Arial" w:cs="Arial" w:eastAsia="Arial" w:hAnsi="Arial"/>
            <w:sz w:val="16"/>
            <w:szCs w:val="16"/>
            <w:u w:val="single" w:color="auto"/>
            <w:color w:val="0000EE"/>
          </w:rPr>
          <w:t>Description of Capital Stock</w:t>
        </w:r>
      </w:hyperlink>
    </w:p>
    <w:p>
      <w:pPr>
        <w:spacing w:after="0" w:line="144" w:lineRule="exact"/>
        <w:rPr>
          <w:sz w:val="20"/>
          <w:szCs w:val="20"/>
          <w:color w:val="auto"/>
        </w:rPr>
      </w:pPr>
    </w:p>
    <w:p>
      <w:pPr>
        <w:jc w:val="right"/>
        <w:ind w:right="20"/>
        <w:spacing w:after="0" w:line="274" w:lineRule="auto"/>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10.1      Conformed copy of Credit Agreement by and between Culp, Inc. and Wells Fargo Bank, N.A., dated August 3, 2013, consolidating (i) First</w:t>
        </w:r>
      </w:hyperlink>
      <w:r>
        <w:rPr>
          <w:rFonts w:ascii="Arial" w:cs="Arial" w:eastAsia="Arial" w:hAnsi="Arial"/>
          <w:sz w:val="17"/>
          <w:szCs w:val="17"/>
          <w:u w:val="single" w:color="auto"/>
          <w:color w:val="0000EE"/>
        </w:rPr>
        <w:t xml:space="preserve"> </w:t>
      </w:r>
      <w:hyperlink w:anchor="page117">
        <w:r>
          <w:rPr>
            <w:rFonts w:ascii="Arial" w:cs="Arial" w:eastAsia="Arial" w:hAnsi="Arial"/>
            <w:sz w:val="17"/>
            <w:szCs w:val="17"/>
            <w:u w:val="single" w:color="auto"/>
            <w:color w:val="0000EE"/>
          </w:rPr>
          <w:t>Amendment dated as of July 10, 2015, (ii) Second Amendment dated as of March 10, 2016, (iii) Third Amendment dated as of August 1, 2016,</w:t>
        </w:r>
      </w:hyperlink>
    </w:p>
    <w:p>
      <w:pPr>
        <w:jc w:val="both"/>
        <w:ind w:left="880" w:right="20" w:firstLine="5"/>
        <w:spacing w:after="0" w:line="255" w:lineRule="auto"/>
        <w:tabs>
          <w:tab w:leader="none" w:pos="1189" w:val="left"/>
        </w:tabs>
        <w:numPr>
          <w:ilvl w:val="0"/>
          <w:numId w:val="64"/>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Fourth Amendment dated as of September 27, 2016, (v) Fifth Amendment dated as of August 13, 2018, (vi) Sixth Amendment dated as of</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March 27, 2020, and (vii) Seventh Amendment dated as of June 30, 2020. This conformed copy is being filed for ease of reference and</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incorporates each of amendments referenced herein</w:t>
        </w:r>
        <w:r>
          <w:rPr>
            <w:rFonts w:ascii="Arial" w:cs="Arial" w:eastAsia="Arial" w:hAnsi="Arial"/>
            <w:sz w:val="18"/>
            <w:szCs w:val="18"/>
            <w:u w:val="single" w:color="auto"/>
            <w:color w:val="000000"/>
          </w:rPr>
          <w:t>.</w:t>
        </w:r>
      </w:hyperlink>
    </w:p>
    <w:p>
      <w:pPr>
        <w:spacing w:after="0" w:line="95"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hyperlink w:anchor="page146">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146">
        <w:r>
          <w:rPr>
            <w:rFonts w:ascii="Arial" w:cs="Arial" w:eastAsia="Arial" w:hAnsi="Arial"/>
            <w:sz w:val="16"/>
            <w:szCs w:val="16"/>
            <w:u w:val="single" w:color="auto"/>
            <w:color w:val="0000EE"/>
          </w:rPr>
          <w:t>Sixth Amendment to the Credit Agreement dated as of March 27, 2020, by and between Culp, Inc. and Wells Fargo, N.A.</w:t>
        </w:r>
      </w:hyperlink>
    </w:p>
    <w:p>
      <w:pPr>
        <w:spacing w:after="0" w:line="144"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56">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156">
        <w:r>
          <w:rPr>
            <w:rFonts w:ascii="Arial" w:cs="Arial" w:eastAsia="Arial" w:hAnsi="Arial"/>
            <w:sz w:val="16"/>
            <w:szCs w:val="16"/>
            <w:u w:val="single" w:color="auto"/>
            <w:color w:val="0000EE"/>
          </w:rPr>
          <w:t>Seventh Amendment to the Credit Agreement dated as of June 30, 2020, by and between Culp, Inc. and Wells Fargo, N.A.</w:t>
        </w:r>
      </w:hyperlink>
    </w:p>
    <w:p>
      <w:pPr>
        <w:spacing w:after="0" w:line="144" w:lineRule="exact"/>
        <w:rPr>
          <w:sz w:val="20"/>
          <w:szCs w:val="20"/>
          <w:color w:val="auto"/>
        </w:rPr>
      </w:pPr>
    </w:p>
    <w:p>
      <w:pPr>
        <w:ind w:left="100"/>
        <w:spacing w:after="0"/>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21</w:t>
      </w:r>
      <w:r>
        <w:rPr>
          <w:sz w:val="20"/>
          <w:szCs w:val="20"/>
          <w:color w:val="auto"/>
        </w:rPr>
        <w:tab/>
      </w:r>
      <w:hyperlink w:anchor="page162">
        <w:r>
          <w:rPr>
            <w:rFonts w:ascii="Arial" w:cs="Arial" w:eastAsia="Arial" w:hAnsi="Arial"/>
            <w:sz w:val="18"/>
            <w:szCs w:val="18"/>
            <w:u w:val="single" w:color="auto"/>
            <w:color w:val="0000EE"/>
          </w:rPr>
          <w:t>List of subsidiaries of the company</w:t>
        </w:r>
      </w:hyperlink>
    </w:p>
    <w:p>
      <w:pPr>
        <w:spacing w:after="0" w:line="144" w:lineRule="exact"/>
        <w:rPr>
          <w:sz w:val="20"/>
          <w:szCs w:val="20"/>
          <w:color w:val="auto"/>
        </w:rPr>
      </w:pPr>
    </w:p>
    <w:p>
      <w:pPr>
        <w:ind w:left="880" w:right="20" w:hanging="782"/>
        <w:spacing w:after="0" w:line="277" w:lineRule="auto"/>
        <w:tabs>
          <w:tab w:leader="none" w:pos="880" w:val="left"/>
        </w:tabs>
        <w:numPr>
          <w:ilvl w:val="0"/>
          <w:numId w:val="65"/>
        </w:numPr>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Consent of Independent Registered Public Accounting Firm in connection with the registration statements of Culp, Inc. on Form S-8 (File Nos.</w:t>
        </w:r>
      </w:hyperlink>
      <w:r>
        <w:rPr>
          <w:rFonts w:ascii="Arial" w:cs="Arial" w:eastAsia="Arial" w:hAnsi="Arial"/>
          <w:sz w:val="18"/>
          <w:szCs w:val="18"/>
          <w:u w:val="single" w:color="auto"/>
          <w:color w:val="0000EE"/>
        </w:rPr>
        <w:t xml:space="preserve"> </w:t>
      </w:r>
      <w:hyperlink w:anchor="page163">
        <w:r>
          <w:rPr>
            <w:rFonts w:ascii="Arial" w:cs="Arial" w:eastAsia="Arial" w:hAnsi="Arial"/>
            <w:sz w:val="18"/>
            <w:szCs w:val="18"/>
            <w:u w:val="single" w:color="auto"/>
            <w:color w:val="0000EE"/>
          </w:rPr>
          <w:t>333-207195, 33-13310, 33-37027, and 33-80206).</w:t>
        </w:r>
      </w:hyperlink>
    </w:p>
    <w:p>
      <w:pPr>
        <w:spacing w:after="0" w:line="76"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24(a)</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Power of Attorney of Perry E. Davis, dated July 17, 2020</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24(b)</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Power of Attorney of Sharon A. Decker, dated July 17, 2020</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24(c)</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Power of Attorney of Kenneth R. Larson, dated July 17, 2020</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24(d)</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Power of Attorney of Fred A. Jackson, dated July 17, 2020</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24(e)</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Power of Attorney of Kenneth W. McAllister, dated July 17, 2020</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31(a)</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Certification of Co- Principal Executive Officer Pursuant to Section 302 of Sarbanes-Oxley Act of 2002.</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31(b)</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Co-Principal Executive Officer Pursuant to Section 302 of Sarbanes-Oxley Act of 2002.</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31(c)</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Certification of Principal Financial Officer Pursuant to Section 302 of Sarbanes-Oxley Act of 2002.</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32(a)</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Certification of Co-Principal Executive Officer Pursuant to Section 906 of Sarbanes-Oxley Act of 2002.</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32(b)</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Certification of Co-Principal Executive Officer Pursuant to Section 906 of Sarbanes-Oxley Act of 2002.</w:t>
              </w:r>
            </w:hyperlink>
          </w:p>
        </w:tc>
      </w:tr>
      <w:tr>
        <w:trPr>
          <w:trHeight w:val="351"/>
        </w:trPr>
        <w:tc>
          <w:tcPr>
            <w:tcW w:w="780" w:type="dxa"/>
            <w:vAlign w:val="bottom"/>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32(c)</w:t>
              </w:r>
            </w:hyperlink>
          </w:p>
        </w:tc>
        <w:tc>
          <w:tcPr>
            <w:tcW w:w="10480" w:type="dxa"/>
            <w:vAlign w:val="bottom"/>
          </w:tcPr>
          <w:p>
            <w:pPr>
              <w:ind w:left="10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Certification of Principal Financial Officer Pursuant to Section 906 of Sarbanes-Oxley Act of 2002.</w:t>
              </w:r>
            </w:hyperlink>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37"/>
        </w:trPr>
        <w:tc>
          <w:tcPr>
            <w:tcW w:w="78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109</w:t>
            </w:r>
          </w:p>
        </w:tc>
      </w:tr>
      <w:tr>
        <w:trPr>
          <w:trHeight w:val="115"/>
        </w:trPr>
        <w:tc>
          <w:tcPr>
            <w:tcW w:w="78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Pursuant to the requirements of Section 13 of the Securities Exchange Act of 1934, CULP, INC. has caused this report to be signed on its behalf by the undersigned, thereunto duly authorized, on the 17 </w:t>
      </w:r>
      <w:r>
        <w:rPr>
          <w:rFonts w:ascii="Arial" w:cs="Arial" w:eastAsia="Arial" w:hAnsi="Arial"/>
          <w:sz w:val="15"/>
          <w:szCs w:val="15"/>
          <w:color w:val="auto"/>
        </w:rPr>
        <w:t>th</w:t>
      </w:r>
      <w:r>
        <w:rPr>
          <w:rFonts w:ascii="Arial" w:cs="Arial" w:eastAsia="Arial" w:hAnsi="Arial"/>
          <w:sz w:val="18"/>
          <w:szCs w:val="18"/>
          <w:color w:val="auto"/>
        </w:rPr>
        <w:t xml:space="preserve"> day of July 2020.</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CULP, INC.</w:t>
      </w:r>
    </w:p>
    <w:p>
      <w:pPr>
        <w:spacing w:after="0" w:line="131"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8"/>
          <w:szCs w:val="18"/>
          <w:color w:val="auto"/>
        </w:rPr>
        <w:t>By</w:t>
        <w:tab/>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23495</wp:posOffset>
            </wp:positionV>
            <wp:extent cx="32232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G. Culp, IV</w:t>
      </w:r>
    </w:p>
    <w:p>
      <w:pPr>
        <w:spacing w:after="0" w:line="1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1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(co-principal executive officer)</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Pursuant to the requirements of the Securities Exchange Act of 1934, this report has been signed below by the following persons on behalf of the registrant and in the capacities indicated on the 17 </w:t>
      </w:r>
      <w:r>
        <w:rPr>
          <w:rFonts w:ascii="Arial" w:cs="Arial" w:eastAsia="Arial" w:hAnsi="Arial"/>
          <w:sz w:val="15"/>
          <w:szCs w:val="15"/>
          <w:color w:val="auto"/>
        </w:rPr>
        <w:t>th</w:t>
      </w:r>
      <w:r>
        <w:rPr>
          <w:rFonts w:ascii="Arial" w:cs="Arial" w:eastAsia="Arial" w:hAnsi="Arial"/>
          <w:sz w:val="18"/>
          <w:szCs w:val="18"/>
          <w:color w:val="auto"/>
        </w:rPr>
        <w:t xml:space="preserve"> day of July 2020.</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N. Saxon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 Chairman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(co-principal executive officer)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 Kenneth R. Larson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38100</wp:posOffset>
            </wp:positionV>
            <wp:extent cx="3274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Kenneth R. Larson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852"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Kenneth W.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Kenneth W. McAllister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Perry E. Davis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Perry E. Davis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Sharon A. Decker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Fred A. Jackson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Kenneth R. Bowling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Chief Financial Officer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Thomas B.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B. Gallagher, Jr.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 Controller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62" w:lineRule="exact"/>
        <w:rPr>
          <w:sz w:val="20"/>
          <w:szCs w:val="20"/>
          <w:color w:val="auto"/>
        </w:rPr>
      </w:pPr>
    </w:p>
    <w:p>
      <w:pPr>
        <w:ind w:left="5500" w:right="1520" w:hanging="5492"/>
        <w:spacing w:after="0" w:line="809" w:lineRule="auto"/>
        <w:tabs>
          <w:tab w:leader="none" w:pos="5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Kenneth R. Bowling, Attorney-in-Fact, pursuant to Powers of Attorney filed with the Securities and Exchange Commission. 110</w:t>
      </w:r>
    </w:p>
    <w:p>
      <w:pPr>
        <w:sectPr>
          <w:pgSz w:w="11900" w:h="16838" w:orient="portrait"/>
          <w:cols w:equalWidth="0" w:num="1">
            <w:col w:w="11240"/>
          </w:cols>
          <w:pgMar w:left="320" w:top="121" w:right="3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4.1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239" w:lineRule="exact"/>
        <w:rPr>
          <w:sz w:val="20"/>
          <w:szCs w:val="20"/>
          <w:color w:val="auto"/>
        </w:rPr>
      </w:pPr>
    </w:p>
    <w:p>
      <w:pPr>
        <w:ind w:right="40" w:firstLine="864"/>
        <w:spacing w:after="0" w:line="234" w:lineRule="auto"/>
        <w:rPr>
          <w:sz w:val="20"/>
          <w:szCs w:val="20"/>
          <w:color w:val="auto"/>
        </w:rPr>
      </w:pPr>
      <w:r>
        <w:rPr>
          <w:rFonts w:ascii="Arial" w:cs="Arial" w:eastAsia="Arial" w:hAnsi="Arial"/>
          <w:sz w:val="22"/>
          <w:szCs w:val="22"/>
          <w:color w:val="auto"/>
        </w:rPr>
        <w:t>The following summarizes the material terms of the capital stock of Culp, Inc. (“Culp,” “we” or “us”). Culp is a corporation incorporated under the laws of the State of North Carolina, and accordingly its internal corporate affairs are governed by North Carolina law and by its articles of incorporation and bylaws, which are filed as exhibits to our most recent Annual Report on Form 10-K. The following summary is qualified in its entirety by reference to the applicable provisions of North Carolina law and our articles of incorporation and bylaws, which are subject to future amendment in accordance with the provisions thereof. Our common stock is the only class of our securities registered under Section 12 of the 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We are authorized to issue up to 40 million shares of common stock, par value $0.05 per share.</w:t>
      </w:r>
    </w:p>
    <w:p>
      <w:pPr>
        <w:spacing w:after="0" w:line="241" w:lineRule="exact"/>
        <w:rPr>
          <w:sz w:val="20"/>
          <w:szCs w:val="20"/>
          <w:color w:val="auto"/>
        </w:rPr>
      </w:pPr>
    </w:p>
    <w:p>
      <w:pPr>
        <w:ind w:right="100" w:firstLine="864"/>
        <w:spacing w:after="0" w:line="287" w:lineRule="auto"/>
        <w:rPr>
          <w:sz w:val="20"/>
          <w:szCs w:val="20"/>
          <w:color w:val="auto"/>
        </w:rPr>
      </w:pPr>
      <w:r>
        <w:rPr>
          <w:rFonts w:ascii="Arial" w:cs="Arial" w:eastAsia="Arial" w:hAnsi="Arial"/>
          <w:sz w:val="19"/>
          <w:szCs w:val="19"/>
          <w:i w:val="1"/>
          <w:iCs w:val="1"/>
          <w:color w:val="auto"/>
        </w:rPr>
        <w:t>Voting and Other Rights</w:t>
      </w:r>
      <w:r>
        <w:rPr>
          <w:rFonts w:ascii="Arial" w:cs="Arial" w:eastAsia="Arial" w:hAnsi="Arial"/>
          <w:sz w:val="19"/>
          <w:szCs w:val="19"/>
          <w:color w:val="auto"/>
        </w:rPr>
        <w:t>. Subject to the rights of any holders of any class of preferred stock outstanding, holders of our</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are entitled to one vote per share, and, in general, for routine matters a vote in which more shares are voted in favor of a matter than are voted in opposition to the matter will be sufficient to approve the matter. Directors are elected by a plurality of the votes cast, and our shareholders do not have the right to cumulate their votes in the election of directors.</w:t>
      </w:r>
    </w:p>
    <w:p>
      <w:pPr>
        <w:spacing w:after="0" w:line="143" w:lineRule="exact"/>
        <w:rPr>
          <w:sz w:val="20"/>
          <w:szCs w:val="20"/>
          <w:color w:val="auto"/>
        </w:rPr>
      </w:pPr>
    </w:p>
    <w:p>
      <w:pPr>
        <w:ind w:right="880" w:firstLine="864"/>
        <w:spacing w:after="0" w:line="250" w:lineRule="auto"/>
        <w:rPr>
          <w:sz w:val="20"/>
          <w:szCs w:val="20"/>
          <w:color w:val="auto"/>
        </w:rPr>
      </w:pPr>
      <w:r>
        <w:rPr>
          <w:rFonts w:ascii="Arial" w:cs="Arial" w:eastAsia="Arial" w:hAnsi="Arial"/>
          <w:sz w:val="22"/>
          <w:szCs w:val="22"/>
          <w:i w:val="1"/>
          <w:iCs w:val="1"/>
          <w:color w:val="auto"/>
        </w:rPr>
        <w:t>No Preemptive or Conversion Rights</w:t>
      </w:r>
      <w:r>
        <w:rPr>
          <w:rFonts w:ascii="Arial" w:cs="Arial" w:eastAsia="Arial" w:hAnsi="Arial"/>
          <w:sz w:val="22"/>
          <w:szCs w:val="22"/>
          <w:color w:val="auto"/>
        </w:rPr>
        <w:t>. Our common stock does not entitle its holders to any preemptive rights,</w:t>
      </w:r>
      <w:r>
        <w:rPr>
          <w:rFonts w:ascii="Arial" w:cs="Arial" w:eastAsia="Arial" w:hAnsi="Arial"/>
          <w:sz w:val="22"/>
          <w:szCs w:val="22"/>
          <w:i w:val="1"/>
          <w:iCs w:val="1"/>
          <w:color w:val="auto"/>
        </w:rPr>
        <w:t xml:space="preserve"> </w:t>
      </w:r>
      <w:r>
        <w:rPr>
          <w:rFonts w:ascii="Arial" w:cs="Arial" w:eastAsia="Arial" w:hAnsi="Arial"/>
          <w:sz w:val="22"/>
          <w:szCs w:val="22"/>
          <w:color w:val="auto"/>
        </w:rPr>
        <w:t>subscription rights or conversion rights.</w:t>
      </w:r>
    </w:p>
    <w:p>
      <w:pPr>
        <w:spacing w:after="0" w:line="175" w:lineRule="exact"/>
        <w:rPr>
          <w:sz w:val="20"/>
          <w:szCs w:val="20"/>
          <w:color w:val="auto"/>
        </w:rPr>
      </w:pPr>
    </w:p>
    <w:p>
      <w:pPr>
        <w:ind w:right="360" w:firstLine="864"/>
        <w:spacing w:after="0"/>
        <w:rPr>
          <w:sz w:val="20"/>
          <w:szCs w:val="20"/>
          <w:color w:val="auto"/>
        </w:rPr>
      </w:pPr>
      <w:r>
        <w:rPr>
          <w:rFonts w:ascii="Arial" w:cs="Arial" w:eastAsia="Arial" w:hAnsi="Arial"/>
          <w:sz w:val="22"/>
          <w:szCs w:val="22"/>
          <w:i w:val="1"/>
          <w:iCs w:val="1"/>
          <w:color w:val="auto"/>
        </w:rPr>
        <w:t>Assets upon Dissolution</w:t>
      </w:r>
      <w:r>
        <w:rPr>
          <w:rFonts w:ascii="Arial" w:cs="Arial" w:eastAsia="Arial" w:hAnsi="Arial"/>
          <w:sz w:val="22"/>
          <w:szCs w:val="22"/>
          <w:color w:val="auto"/>
        </w:rPr>
        <w:t>. In the event of liquidation, holders of common stock would be entitled to receive</w:t>
      </w:r>
      <w:r>
        <w:rPr>
          <w:rFonts w:ascii="Arial" w:cs="Arial" w:eastAsia="Arial" w:hAnsi="Arial"/>
          <w:sz w:val="22"/>
          <w:szCs w:val="22"/>
          <w:i w:val="1"/>
          <w:iCs w:val="1"/>
          <w:color w:val="auto"/>
        </w:rPr>
        <w:t xml:space="preserve"> </w:t>
      </w:r>
      <w:r>
        <w:rPr>
          <w:rFonts w:ascii="Arial" w:cs="Arial" w:eastAsia="Arial" w:hAnsi="Arial"/>
          <w:sz w:val="22"/>
          <w:szCs w:val="22"/>
          <w:color w:val="auto"/>
        </w:rPr>
        <w:t>proportionately any assets legally available for distribution to shareholders with respect to shares held by them, subject to any prior rights of any of our preferred stock then outstanding.</w:t>
      </w:r>
    </w:p>
    <w:p>
      <w:pPr>
        <w:spacing w:after="0" w:line="186" w:lineRule="exact"/>
        <w:rPr>
          <w:sz w:val="20"/>
          <w:szCs w:val="20"/>
          <w:color w:val="auto"/>
        </w:rPr>
      </w:pPr>
    </w:p>
    <w:p>
      <w:pPr>
        <w:ind w:right="20" w:firstLine="864"/>
        <w:spacing w:after="0" w:line="279" w:lineRule="auto"/>
        <w:rPr>
          <w:sz w:val="20"/>
          <w:szCs w:val="20"/>
          <w:color w:val="auto"/>
        </w:rPr>
      </w:pPr>
      <w:r>
        <w:rPr>
          <w:rFonts w:ascii="Arial" w:cs="Arial" w:eastAsia="Arial" w:hAnsi="Arial"/>
          <w:sz w:val="19"/>
          <w:szCs w:val="19"/>
          <w:i w:val="1"/>
          <w:iCs w:val="1"/>
          <w:color w:val="auto"/>
        </w:rPr>
        <w:t>Distributions</w:t>
      </w:r>
      <w:r>
        <w:rPr>
          <w:rFonts w:ascii="Arial" w:cs="Arial" w:eastAsia="Arial" w:hAnsi="Arial"/>
          <w:sz w:val="19"/>
          <w:szCs w:val="19"/>
          <w:color w:val="auto"/>
        </w:rPr>
        <w:t>. Subject to the rights of holders of any class of preferred stock outstanding, holders of our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are entitled to receive the dividends or distributions that the board of directors may declare out of funds legally available for these payments. Our payment of dividends and distributions is subject to the restrictions of North Carolina law applicable to the declaration of distributions by a corporation. Under North Carolina law, a corporation may not make a distribution if as a result of the distribution the corporation would not be able to pay its debts or would not be able to satisfy any preferential rights preferred shareholders would have if the company were to be dissolved at the time of the distribution.</w:t>
      </w:r>
    </w:p>
    <w:p>
      <w:pPr>
        <w:spacing w:after="0" w:line="150" w:lineRule="exact"/>
        <w:rPr>
          <w:sz w:val="20"/>
          <w:szCs w:val="20"/>
          <w:color w:val="auto"/>
        </w:rPr>
      </w:pPr>
    </w:p>
    <w:p>
      <w:pPr>
        <w:ind w:right="320" w:firstLine="864"/>
        <w:spacing w:after="0" w:line="250" w:lineRule="auto"/>
        <w:rPr>
          <w:sz w:val="20"/>
          <w:szCs w:val="20"/>
          <w:color w:val="auto"/>
        </w:rPr>
      </w:pPr>
      <w:r>
        <w:rPr>
          <w:rFonts w:ascii="Arial" w:cs="Arial" w:eastAsia="Arial" w:hAnsi="Arial"/>
          <w:sz w:val="22"/>
          <w:szCs w:val="22"/>
          <w:i w:val="1"/>
          <w:iCs w:val="1"/>
          <w:color w:val="auto"/>
        </w:rPr>
        <w:t>Antitakeover Provisions</w:t>
      </w:r>
      <w:r>
        <w:rPr>
          <w:rFonts w:ascii="Arial" w:cs="Arial" w:eastAsia="Arial" w:hAnsi="Arial"/>
          <w:sz w:val="22"/>
          <w:szCs w:val="22"/>
          <w:color w:val="auto"/>
        </w:rPr>
        <w:t>. Our articles of incorporation and bylaws contain various provisions that may discourage or</w:t>
      </w:r>
      <w:r>
        <w:rPr>
          <w:rFonts w:ascii="Arial" w:cs="Arial" w:eastAsia="Arial" w:hAnsi="Arial"/>
          <w:sz w:val="22"/>
          <w:szCs w:val="22"/>
          <w:i w:val="1"/>
          <w:iCs w:val="1"/>
          <w:color w:val="auto"/>
        </w:rPr>
        <w:t xml:space="preserve"> </w:t>
      </w:r>
      <w:r>
        <w:rPr>
          <w:rFonts w:ascii="Arial" w:cs="Arial" w:eastAsia="Arial" w:hAnsi="Arial"/>
          <w:sz w:val="22"/>
          <w:szCs w:val="22"/>
          <w:color w:val="auto"/>
        </w:rPr>
        <w:t>delay attempts to gain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ind w:left="880"/>
        <w:spacing w:after="0"/>
        <w:rPr>
          <w:sz w:val="20"/>
          <w:szCs w:val="20"/>
          <w:color w:val="auto"/>
        </w:rPr>
      </w:pPr>
      <w:r>
        <w:rPr>
          <w:rFonts w:ascii="Arial" w:cs="Arial" w:eastAsia="Arial" w:hAnsi="Arial"/>
          <w:sz w:val="22"/>
          <w:szCs w:val="22"/>
          <w:color w:val="auto"/>
        </w:rPr>
        <w:t>Our articles of incorporation include provisions:</w:t>
      </w:r>
    </w:p>
    <w:p>
      <w:pPr>
        <w:spacing w:after="0" w:line="206" w:lineRule="exact"/>
        <w:rPr>
          <w:sz w:val="20"/>
          <w:szCs w:val="20"/>
          <w:color w:val="auto"/>
        </w:rPr>
      </w:pPr>
    </w:p>
    <w:p>
      <w:pPr>
        <w:ind w:left="1300" w:right="220" w:hanging="442"/>
        <w:spacing w:after="0" w:line="279" w:lineRule="auto"/>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requiring that any merger or consolidation with another corporation, or any sale or other disposition of substantially all of our assets, or any similar exchange or sale transaction, be approved by two-thirds (2/3) of the outstanding shares of our capital stock, unless such transaction has been approved by sixty percent (60%) of our directors. In considering such a transaction and determining what is in the best interest of Culp and its shareholders, the directors shall give due consideration to the social and economic effect on our employees, customers, suppliers, and the communities in which we and our subsidiaries operate; and</w:t>
      </w:r>
    </w:p>
    <w:p>
      <w:pPr>
        <w:spacing w:after="0" w:line="150" w:lineRule="exact"/>
        <w:rPr>
          <w:rFonts w:ascii="Arial" w:cs="Arial" w:eastAsia="Arial" w:hAnsi="Arial"/>
          <w:sz w:val="19"/>
          <w:szCs w:val="19"/>
          <w:color w:val="auto"/>
        </w:rPr>
      </w:pPr>
    </w:p>
    <w:p>
      <w:pPr>
        <w:ind w:left="1300" w:hanging="442"/>
        <w:spacing w:after="0" w:line="257" w:lineRule="auto"/>
        <w:tabs>
          <w:tab w:leader="none" w:pos="13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requiring approval by a vote of two-thirds (2/3) of the shares of capital stock entitled to be voted, to alter the above provisions of our articles of incorporation, except that such supermajority shareholder approval would not be required if such amendment is recommended by sixty percent (60%) of our directors.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bylaws include provisions:</w:t>
      </w:r>
    </w:p>
    <w:p>
      <w:pPr>
        <w:spacing w:after="0" w:line="206" w:lineRule="exact"/>
        <w:rPr>
          <w:sz w:val="20"/>
          <w:szCs w:val="20"/>
          <w:color w:val="auto"/>
        </w:rPr>
      </w:pPr>
    </w:p>
    <w:p>
      <w:pPr>
        <w:ind w:left="1300" w:right="40" w:hanging="442"/>
        <w:spacing w:after="0" w:line="252" w:lineRule="auto"/>
        <w:tabs>
          <w:tab w:leader="none" w:pos="13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authorizing the board of directors to fix the size of the board between five and nine directors and authorizing the directors to fill vacancies on the board occurring between shareholder meetings, including vacancies created by an increase in the size of the board, except that upon the removal of a director by the shareholders at a meeting, the shareholders may fill the resulting vacancy at the same meeting;</w:t>
      </w:r>
    </w:p>
    <w:p>
      <w:pPr>
        <w:spacing w:after="0" w:line="173" w:lineRule="exact"/>
        <w:rPr>
          <w:rFonts w:ascii="Arial" w:cs="Arial" w:eastAsia="Arial" w:hAnsi="Arial"/>
          <w:sz w:val="21"/>
          <w:szCs w:val="21"/>
          <w:color w:val="auto"/>
        </w:rPr>
      </w:pPr>
    </w:p>
    <w:p>
      <w:pPr>
        <w:ind w:left="1300" w:right="40" w:hanging="442"/>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permitting the removal of directors by shareholders only by a vote of the holders of a majority of shares entitled to be voted in electing directors, and only if the purpose, or one of the purposes, of the meeting is removal of the director as stated in the notice of meeting; and</w:t>
      </w:r>
    </w:p>
    <w:p>
      <w:pPr>
        <w:spacing w:after="0" w:line="186" w:lineRule="exact"/>
        <w:rPr>
          <w:rFonts w:ascii="Arial" w:cs="Arial" w:eastAsia="Arial" w:hAnsi="Arial"/>
          <w:sz w:val="22"/>
          <w:szCs w:val="22"/>
          <w:color w:val="auto"/>
        </w:rPr>
      </w:pPr>
    </w:p>
    <w:p>
      <w:pPr>
        <w:ind w:left="1300" w:right="220" w:hanging="442"/>
        <w:spacing w:after="0" w:line="250" w:lineRule="auto"/>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authorizing only the board of directors, our Chief Executive Officer, or our President to call a special meeting of shareholders.</w:t>
      </w:r>
    </w:p>
    <w:p>
      <w:pPr>
        <w:spacing w:after="0" w:line="175" w:lineRule="exact"/>
        <w:rPr>
          <w:sz w:val="20"/>
          <w:szCs w:val="20"/>
          <w:color w:val="auto"/>
        </w:rPr>
      </w:pPr>
    </w:p>
    <w:p>
      <w:pPr>
        <w:ind w:right="40" w:firstLine="864"/>
        <w:spacing w:after="0" w:line="234" w:lineRule="auto"/>
        <w:rPr>
          <w:sz w:val="20"/>
          <w:szCs w:val="20"/>
          <w:color w:val="auto"/>
        </w:rPr>
      </w:pPr>
      <w:r>
        <w:rPr>
          <w:rFonts w:ascii="Arial" w:cs="Arial" w:eastAsia="Arial" w:hAnsi="Arial"/>
          <w:sz w:val="22"/>
          <w:szCs w:val="22"/>
          <w:color w:val="auto"/>
        </w:rPr>
        <w:t>North Carolina has two takeover-related statutes: the Shareholder Protection Act and the Control Share Acquisition Act. The Shareholder Protection Act restricts business combination transactions involving a North Carolina public corporation and a beneficial owner of 20% or more of its voting stock. The Control Share Acquisition Act precludes an acquiror of the shares of a North Carolina public corporation who crosses one of three voting thresholds, 20%, 33 1/3% or 50%, from obtaining voting control of the shares unless a majority in interest of the disinterested shareholders of the corporation votes to grant voting power to the shares. Neither of these statutes applies to us because, as permitted by these statutes, we have elected not to be covered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5" w:name="page116"/>
    <w:bookmarkEnd w:id="115"/>
    <w:p>
      <w:pPr>
        <w:ind w:right="20" w:firstLine="864"/>
        <w:spacing w:after="0" w:line="277" w:lineRule="auto"/>
        <w:rPr>
          <w:sz w:val="20"/>
          <w:szCs w:val="20"/>
          <w:color w:val="auto"/>
        </w:rPr>
      </w:pPr>
      <w:r>
        <w:rPr>
          <w:rFonts w:ascii="Arial" w:cs="Arial" w:eastAsia="Arial" w:hAnsi="Arial"/>
          <w:sz w:val="19"/>
          <w:szCs w:val="19"/>
          <w:i w:val="1"/>
          <w:iCs w:val="1"/>
          <w:color w:val="auto"/>
        </w:rPr>
        <w:t>Advance Notice Requirements</w:t>
      </w:r>
      <w:r>
        <w:rPr>
          <w:rFonts w:ascii="Arial" w:cs="Arial" w:eastAsia="Arial" w:hAnsi="Arial"/>
          <w:sz w:val="19"/>
          <w:szCs w:val="19"/>
          <w:color w:val="auto"/>
        </w:rPr>
        <w:t>. Our bylaws include specific conditions governing the conduct of business at annual</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meetings and the nominations of persons for election as directors at annual shareholders’ meetings. Under our bylaws, any shareholder entitled to vote at an annual meeting may bring business before the meeting if the shareholder provides written notice to, and the notice is received by us, to the attention to the Office of Secretary at our principal executive offices, generally not less than 60 nor more than 90 days prior to the date of the meeting (except that if less than 70 days’ notice or public disclosure of the meeting date is given or made, then the notice by the proposing shareholder must be given within 10 days following notice or public disclosure of the meeting date). Each notice must include:</w:t>
      </w:r>
    </w:p>
    <w:p>
      <w:pPr>
        <w:spacing w:after="0" w:line="152" w:lineRule="exact"/>
        <w:rPr>
          <w:sz w:val="20"/>
          <w:szCs w:val="20"/>
          <w:color w:val="auto"/>
        </w:rPr>
      </w:pPr>
    </w:p>
    <w:p>
      <w:pPr>
        <w:ind w:left="1300" w:hanging="442"/>
        <w:spacing w:after="0"/>
        <w:tabs>
          <w:tab w:leader="none" w:pos="13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each matter, a brief description thereof and the reasons for conducting such business at the annual meeting;</w:t>
      </w:r>
    </w:p>
    <w:p>
      <w:pPr>
        <w:spacing w:after="0" w:line="240" w:lineRule="exact"/>
        <w:rPr>
          <w:rFonts w:ascii="Arial" w:cs="Arial" w:eastAsia="Arial" w:hAnsi="Arial"/>
          <w:sz w:val="19"/>
          <w:szCs w:val="19"/>
          <w:color w:val="auto"/>
        </w:rPr>
      </w:pPr>
    </w:p>
    <w:p>
      <w:pPr>
        <w:ind w:left="1300" w:hanging="442"/>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name and address of the shareholder proposing such business;</w:t>
      </w:r>
    </w:p>
    <w:p>
      <w:pPr>
        <w:spacing w:after="0" w:line="206" w:lineRule="exact"/>
        <w:rPr>
          <w:rFonts w:ascii="Arial" w:cs="Arial" w:eastAsia="Arial" w:hAnsi="Arial"/>
          <w:sz w:val="22"/>
          <w:szCs w:val="22"/>
          <w:color w:val="auto"/>
        </w:rPr>
      </w:pPr>
    </w:p>
    <w:p>
      <w:pPr>
        <w:ind w:left="1300" w:hanging="442"/>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information with respect to the shareholder’s direct and indirect Culp stock ownership; and</w:t>
      </w:r>
    </w:p>
    <w:p>
      <w:pPr>
        <w:spacing w:after="0" w:line="206" w:lineRule="exact"/>
        <w:rPr>
          <w:rFonts w:ascii="Arial" w:cs="Arial" w:eastAsia="Arial" w:hAnsi="Arial"/>
          <w:sz w:val="22"/>
          <w:szCs w:val="22"/>
          <w:color w:val="auto"/>
        </w:rPr>
      </w:pPr>
    </w:p>
    <w:p>
      <w:pPr>
        <w:ind w:left="1300" w:hanging="442"/>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material interest of such shareholder in the proposal.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We are authorized to issue up to 10 million shares of preferred stock, $0.05 par value per share. Our board of directors is authorized to issue preferred stock in one or more series, to fix the number of shares in each series, and to determine the rights, preferences and limitations of such stock from time to time. Our ability to issue an indeterminate number of shares of preferred stock with such rights, privileges and preferences as our board of directors may fix, may have the effect of delaying or preventing a takeover or other change in control of Culp.</w:t>
      </w:r>
    </w:p>
    <w:p>
      <w:pPr>
        <w:spacing w:after="0" w:line="187" w:lineRule="exact"/>
        <w:rPr>
          <w:sz w:val="20"/>
          <w:szCs w:val="20"/>
          <w:color w:val="auto"/>
        </w:rPr>
      </w:pPr>
    </w:p>
    <w:p>
      <w:pPr>
        <w:ind w:right="140" w:firstLine="864"/>
        <w:spacing w:after="0" w:line="252" w:lineRule="auto"/>
        <w:rPr>
          <w:sz w:val="20"/>
          <w:szCs w:val="20"/>
          <w:color w:val="auto"/>
        </w:rPr>
      </w:pPr>
      <w:r>
        <w:rPr>
          <w:rFonts w:ascii="Arial" w:cs="Arial" w:eastAsia="Arial" w:hAnsi="Arial"/>
          <w:sz w:val="21"/>
          <w:szCs w:val="21"/>
          <w:color w:val="auto"/>
        </w:rPr>
        <w:t>Our board of directors adopted an amendment to our articles of incorporation in 1999 to create a series of preferred stock designated as Series A Participating Preferred Stock in connection with our adoption of the shareholder rights plan, which has expired. No shares of Series A Participating Preferred Stock have been issued, and all rights to acquire shares of Series A Participating Preferred Stock under such shareholder rights plan have expired.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common stock is listed on the New York Stock Exchange under the ticker symbol “CULP.”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ectPr>
          <w:pgSz w:w="11900" w:h="16838" w:orient="portrait"/>
          <w:cols w:equalWidth="0" w:num="1">
            <w:col w:w="11200"/>
          </w:cols>
          <w:pgMar w:left="320" w:top="361" w:right="379" w:bottom="1440" w:gutter="0" w:footer="0" w:header="0"/>
        </w:sectPr>
      </w:pPr>
    </w:p>
    <w:bookmarkStart w:id="116" w:name="page117"/>
    <w:bookmarkEnd w:id="116"/>
    <w:p>
      <w:pPr>
        <w:ind w:left="10220"/>
        <w:spacing w:after="0"/>
        <w:rPr>
          <w:sz w:val="20"/>
          <w:szCs w:val="20"/>
          <w:color w:val="auto"/>
        </w:rPr>
      </w:pPr>
      <w:r>
        <w:rPr>
          <w:rFonts w:ascii="Arial" w:cs="Arial" w:eastAsia="Arial" w:hAnsi="Arial"/>
          <w:sz w:val="18"/>
          <w:szCs w:val="18"/>
          <w:b w:val="1"/>
          <w:bCs w:val="1"/>
          <w:color w:val="auto"/>
        </w:rPr>
        <w:t>Exhibit 10.1</w:t>
      </w:r>
    </w:p>
    <w:p>
      <w:pPr>
        <w:spacing w:after="0" w:line="246" w:lineRule="exact"/>
        <w:rPr>
          <w:sz w:val="20"/>
          <w:szCs w:val="20"/>
          <w:color w:val="auto"/>
        </w:rPr>
      </w:pPr>
    </w:p>
    <w:p>
      <w:pPr>
        <w:jc w:val="center"/>
        <w:ind w:left="340" w:right="20"/>
        <w:spacing w:after="0" w:line="246" w:lineRule="auto"/>
        <w:rPr>
          <w:sz w:val="20"/>
          <w:szCs w:val="20"/>
          <w:color w:val="auto"/>
        </w:rPr>
      </w:pPr>
      <w:r>
        <w:rPr>
          <w:rFonts w:ascii="Arial" w:cs="Arial" w:eastAsia="Arial" w:hAnsi="Arial"/>
          <w:sz w:val="20"/>
          <w:szCs w:val="20"/>
          <w:color w:val="auto"/>
        </w:rPr>
        <w:t>CONFORMED COPY – Credit Agreement dated as of August 13, 2013, as amended by First Amendment dated as of July 10, 2015, Second Amendment dated as of March 10, 2016, Third Amendment dated as of August 1, 2016, Fourth Amendment dated as of September 27, 2016, Fifth Amendment dated as of August 13, 2018, Sixth Amendment dated as of March 27, 2020, and Seventh Amendment dated as of June 30, 2020.</w:t>
      </w:r>
    </w:p>
    <w:p>
      <w:pPr>
        <w:spacing w:after="0" w:line="200" w:lineRule="exact"/>
        <w:rPr>
          <w:sz w:val="20"/>
          <w:szCs w:val="20"/>
          <w:color w:val="auto"/>
        </w:rPr>
      </w:pPr>
    </w:p>
    <w:p>
      <w:pPr>
        <w:spacing w:after="0" w:line="207"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color w:val="auto"/>
        </w:rPr>
        <w:t>THIS DOCUMENT IS AN UNOFFICIAL COMPOSITE THAT REFLECTS THE CUMULATIVE NET EFFECT OF THE CHANGES MADE BY THE FOREGOING AMENDMENTS AND IS PROVIDED SOLELY FOR EASE OF REVIEW AND CONVENIENCE. THE PARTIES HERETO SHOULD RELY SOLELY ON THEIR REVIEW OF THE CREDIT AGREEMENT AND AMENDMENTS THERETO.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IS NOT A LEGALLY BINDING DOCUMENT.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ind w:right="360" w:firstLine="864"/>
        <w:spacing w:after="0" w:line="260" w:lineRule="auto"/>
        <w:rPr>
          <w:sz w:val="20"/>
          <w:szCs w:val="20"/>
          <w:color w:val="auto"/>
        </w:rPr>
      </w:pPr>
      <w:r>
        <w:rPr>
          <w:rFonts w:ascii="Arial" w:cs="Arial" w:eastAsia="Arial" w:hAnsi="Arial"/>
          <w:sz w:val="20"/>
          <w:szCs w:val="20"/>
          <w:color w:val="auto"/>
        </w:rPr>
        <w:t>THIS CREDIT AGREEMENT (this "Agreement") is entered into as of August 13, 2013 by and between CULP, INC., a North Carolina corporation ("Borrower"), and WELLS FARGO BANK, NATIONAL ASSOCIATION ("Bank").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right="100" w:firstLine="864"/>
        <w:spacing w:after="0" w:line="260" w:lineRule="auto"/>
        <w:rPr>
          <w:sz w:val="20"/>
          <w:szCs w:val="20"/>
          <w:color w:val="auto"/>
        </w:rPr>
      </w:pPr>
      <w:r>
        <w:rPr>
          <w:rFonts w:ascii="Arial" w:cs="Arial" w:eastAsia="Arial" w:hAnsi="Arial"/>
          <w:sz w:val="20"/>
          <w:szCs w:val="20"/>
          <w:color w:val="auto"/>
        </w:rPr>
        <w:t>Borrower has requested that Bank extend or continue credit to Borrower as described below, and Bank has agreed to provide such credit to Borrower on the terms and conditions contained 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valuable consideration, the receipt and sufficiency of which are hereby acknowledged, Bank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Borrower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20"/>
          <w:szCs w:val="20"/>
          <w:u w:val="single" w:color="auto"/>
          <w:color w:val="auto"/>
        </w:rPr>
        <w:t>ARTICLE I</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ind w:right="200" w:firstLine="864"/>
        <w:spacing w:after="0" w:line="260" w:lineRule="auto"/>
        <w:rPr>
          <w:sz w:val="20"/>
          <w:szCs w:val="20"/>
          <w:color w:val="auto"/>
        </w:rPr>
      </w:pPr>
      <w:r>
        <w:rPr>
          <w:rFonts w:ascii="Arial" w:cs="Arial" w:eastAsia="Arial" w:hAnsi="Arial"/>
          <w:sz w:val="20"/>
          <w:szCs w:val="20"/>
          <w:color w:val="auto"/>
        </w:rPr>
        <w:t>As used herein, the following terms shall have the meanings set forth after each, and any other term in this Agreement shall have the meaning set forth at the place defined:</w:t>
      </w:r>
    </w:p>
    <w:p>
      <w:pPr>
        <w:spacing w:after="0" w:line="177" w:lineRule="exact"/>
        <w:rPr>
          <w:sz w:val="20"/>
          <w:szCs w:val="20"/>
          <w:color w:val="auto"/>
        </w:rPr>
      </w:pPr>
    </w:p>
    <w:p>
      <w:pPr>
        <w:jc w:val="both"/>
        <w:ind w:right="40" w:firstLine="872"/>
        <w:spacing w:after="0" w:line="250" w:lineRule="auto"/>
        <w:tabs>
          <w:tab w:leader="none" w:pos="1637"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“Applicable Margin” shall be 1.45% until the first Rate Determination Date (hereafter defined) after May 3, 2020, and as of and after such first Rate Determination Date after May 3, 2020 shall be determined based on the pricing grid set forth below and tied to the Consolidated Total Debt to Consolidated EBITDA ratio determined as set forth in Section 5.9(b):</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00" w:type="dxa"/>
            <w:vAlign w:val="bottom"/>
            <w:tcBorders>
              <w:right w:val="single" w:sz="8" w:color="auto"/>
            </w:tcBorders>
          </w:tcPr>
          <w:p>
            <w:pPr>
              <w:spacing w:after="0"/>
              <w:rPr>
                <w:sz w:val="22"/>
                <w:szCs w:val="22"/>
                <w:color w:val="auto"/>
              </w:rPr>
            </w:pPr>
          </w:p>
        </w:tc>
        <w:tc>
          <w:tcPr>
            <w:tcW w:w="23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7"/>
              </w:rPr>
              <w:t>Price</w:t>
            </w:r>
          </w:p>
        </w:tc>
        <w:tc>
          <w:tcPr>
            <w:tcW w:w="3560" w:type="dxa"/>
            <w:vAlign w:val="bottom"/>
            <w:tcBorders>
              <w:top w:val="single" w:sz="8" w:color="auto"/>
              <w:right w:val="single" w:sz="8" w:color="auto"/>
            </w:tcBorders>
            <w:shd w:val="clear" w:color="auto" w:fill="C0C0C0"/>
          </w:tcPr>
          <w:p>
            <w:pPr>
              <w:ind w:left="800"/>
              <w:spacing w:after="0"/>
              <w:rPr>
                <w:sz w:val="20"/>
                <w:szCs w:val="20"/>
                <w:color w:val="auto"/>
              </w:rPr>
            </w:pPr>
            <w:r>
              <w:rPr>
                <w:rFonts w:ascii="Arial" w:cs="Arial" w:eastAsia="Arial" w:hAnsi="Arial"/>
                <w:sz w:val="20"/>
                <w:szCs w:val="20"/>
                <w:color w:val="auto"/>
              </w:rPr>
              <w:t>Consolidated Total Debt</w:t>
            </w:r>
          </w:p>
        </w:tc>
        <w:tc>
          <w:tcPr>
            <w:tcW w:w="31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3"/>
              </w:rPr>
              <w:t>Applicable Margin</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1100" w:type="dxa"/>
            <w:vAlign w:val="bottom"/>
            <w:tcBorders>
              <w:right w:val="single" w:sz="8" w:color="auto"/>
            </w:tcBorders>
          </w:tcPr>
          <w:p>
            <w:pPr>
              <w:spacing w:after="0"/>
              <w:rPr>
                <w:sz w:val="13"/>
                <w:szCs w:val="13"/>
                <w:color w:val="auto"/>
              </w:rPr>
            </w:pPr>
          </w:p>
        </w:tc>
        <w:tc>
          <w:tcPr>
            <w:tcW w:w="23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1"/>
              </w:rPr>
              <w:t>Level</w:t>
            </w:r>
          </w:p>
        </w:tc>
        <w:tc>
          <w:tcPr>
            <w:tcW w:w="3560" w:type="dxa"/>
            <w:vAlign w:val="bottom"/>
            <w:tcBorders>
              <w:right w:val="single" w:sz="8" w:color="auto"/>
            </w:tcBorders>
            <w:vMerge w:val="restart"/>
            <w:shd w:val="clear" w:color="auto" w:fill="C0C0C0"/>
          </w:tcPr>
          <w:p>
            <w:pPr>
              <w:ind w:left="520"/>
              <w:spacing w:after="0"/>
              <w:rPr>
                <w:sz w:val="20"/>
                <w:szCs w:val="20"/>
                <w:color w:val="auto"/>
              </w:rPr>
            </w:pPr>
            <w:r>
              <w:rPr>
                <w:rFonts w:ascii="Arial" w:cs="Arial" w:eastAsia="Arial" w:hAnsi="Arial"/>
                <w:sz w:val="20"/>
                <w:szCs w:val="20"/>
                <w:color w:val="auto"/>
              </w:rPr>
              <w:t>to Consolidated EBITDA Ratio</w:t>
            </w:r>
          </w:p>
        </w:tc>
        <w:tc>
          <w:tcPr>
            <w:tcW w:w="3160" w:type="dxa"/>
            <w:vAlign w:val="bottom"/>
            <w:tcBorders>
              <w:right w:val="single" w:sz="8" w:color="auto"/>
            </w:tcBorders>
            <w:vMerge w:val="continue"/>
            <w:shd w:val="clear" w:color="auto" w:fill="C0C0C0"/>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vMerge w:val="continue"/>
            <w:shd w:val="clear" w:color="auto" w:fill="C0C0C0"/>
          </w:tcPr>
          <w:p>
            <w:pPr>
              <w:spacing w:after="0"/>
              <w:rPr>
                <w:sz w:val="17"/>
                <w:szCs w:val="17"/>
                <w:color w:val="auto"/>
              </w:rPr>
            </w:pPr>
          </w:p>
        </w:tc>
        <w:tc>
          <w:tcPr>
            <w:tcW w:w="3560" w:type="dxa"/>
            <w:vAlign w:val="bottom"/>
            <w:tcBorders>
              <w:right w:val="single" w:sz="8" w:color="auto"/>
            </w:tcBorders>
            <w:vMerge w:val="continue"/>
            <w:shd w:val="clear" w:color="auto" w:fill="C0C0C0"/>
          </w:tcPr>
          <w:p>
            <w:pPr>
              <w:spacing w:after="0"/>
              <w:rPr>
                <w:sz w:val="17"/>
                <w:szCs w:val="17"/>
                <w:color w:val="auto"/>
              </w:rPr>
            </w:pPr>
          </w:p>
        </w:tc>
        <w:tc>
          <w:tcPr>
            <w:tcW w:w="3160" w:type="dxa"/>
            <w:vAlign w:val="bottom"/>
            <w:tcBorders>
              <w:right w:val="single" w:sz="8" w:color="auto"/>
            </w:tcBorders>
            <w:shd w:val="clear" w:color="auto" w:fill="C0C0C0"/>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00" w:type="dxa"/>
            <w:vAlign w:val="bottom"/>
            <w:tcBorders>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shd w:val="clear" w:color="auto" w:fill="C0C0C0"/>
          </w:tcPr>
          <w:p>
            <w:pPr>
              <w:spacing w:after="0"/>
              <w:rPr>
                <w:sz w:val="11"/>
                <w:szCs w:val="11"/>
                <w:color w:val="auto"/>
              </w:rPr>
            </w:pPr>
          </w:p>
        </w:tc>
        <w:tc>
          <w:tcPr>
            <w:tcW w:w="3560" w:type="dxa"/>
            <w:vAlign w:val="bottom"/>
            <w:tcBorders>
              <w:bottom w:val="single" w:sz="8" w:color="auto"/>
              <w:right w:val="single" w:sz="8" w:color="auto"/>
            </w:tcBorders>
            <w:shd w:val="clear" w:color="auto" w:fill="C0C0C0"/>
          </w:tcPr>
          <w:p>
            <w:pPr>
              <w:spacing w:after="0"/>
              <w:rPr>
                <w:sz w:val="11"/>
                <w:szCs w:val="11"/>
                <w:color w:val="auto"/>
              </w:rPr>
            </w:pPr>
          </w:p>
        </w:tc>
        <w:tc>
          <w:tcPr>
            <w:tcW w:w="3160" w:type="dxa"/>
            <w:vAlign w:val="bottom"/>
            <w:tcBorders>
              <w:bottom w:val="single" w:sz="8" w:color="auto"/>
              <w:right w:val="single" w:sz="8" w:color="auto"/>
            </w:tcBorders>
            <w:shd w:val="clear" w:color="auto" w:fill="C0C0C0"/>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0.75 to 1.00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1.45%</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100" w:type="dxa"/>
            <w:vAlign w:val="bottom"/>
            <w:tcBorders>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0.75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1.90%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1.50 to 1.00</w:t>
            </w:r>
          </w:p>
        </w:tc>
        <w:tc>
          <w:tcPr>
            <w:tcW w:w="316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100" w:type="dxa"/>
            <w:vAlign w:val="bottom"/>
            <w:tcBorders>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1.50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2.35%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2.25 to 1.00</w:t>
            </w:r>
          </w:p>
        </w:tc>
        <w:tc>
          <w:tcPr>
            <w:tcW w:w="316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100" w:type="dxa"/>
            <w:vAlign w:val="bottom"/>
            <w:tcBorders>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IV</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2.25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2.80%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3.00 to 1.00</w:t>
            </w:r>
          </w:p>
        </w:tc>
        <w:tc>
          <w:tcPr>
            <w:tcW w:w="316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100" w:type="dxa"/>
            <w:vAlign w:val="bottom"/>
            <w:tcBorders>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6"/>
        </w:trPr>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560" w:type="dxa"/>
            <w:vAlign w:val="bottom"/>
          </w:tcPr>
          <w:p>
            <w:pPr>
              <w:ind w:left="2020"/>
              <w:spacing w:after="0"/>
              <w:rPr>
                <w:sz w:val="20"/>
                <w:szCs w:val="20"/>
                <w:color w:val="auto"/>
              </w:rPr>
            </w:pPr>
            <w:r>
              <w:rPr>
                <w:rFonts w:ascii="Arial" w:cs="Arial" w:eastAsia="Arial" w:hAnsi="Arial"/>
                <w:sz w:val="20"/>
                <w:szCs w:val="20"/>
                <w:color w:val="auto"/>
              </w:rPr>
              <w:t>-2-</w:t>
            </w: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118" w:name="page119"/>
    <w:bookmarkEnd w:id="118"/>
    <w:p>
      <w:pPr>
        <w:ind w:left="880"/>
        <w:spacing w:after="0"/>
        <w:rPr>
          <w:sz w:val="20"/>
          <w:szCs w:val="20"/>
          <w:color w:val="auto"/>
        </w:rPr>
      </w:pPr>
      <w:r>
        <w:rPr>
          <w:rFonts w:ascii="Arial" w:cs="Arial" w:eastAsia="Arial" w:hAnsi="Arial"/>
          <w:sz w:val="20"/>
          <w:szCs w:val="20"/>
          <w:color w:val="auto"/>
        </w:rPr>
        <w:t>Provided, that, during the Modification Period, Applicable Margin shall be as set forth below:</w:t>
      </w:r>
    </w:p>
    <w:p>
      <w:pPr>
        <w:spacing w:after="0" w:line="239" w:lineRule="exact"/>
        <w:rPr>
          <w:sz w:val="20"/>
          <w:szCs w:val="20"/>
          <w:color w:val="auto"/>
        </w:rPr>
      </w:pPr>
    </w:p>
    <w:tbl>
      <w:tblPr>
        <w:tblLayout w:type="fixed"/>
        <w:tblInd w:w="1090" w:type="dxa"/>
        <w:tblCellMar>
          <w:top w:w="0" w:type="dxa"/>
          <w:left w:w="0" w:type="dxa"/>
          <w:bottom w:w="0" w:type="dxa"/>
          <w:right w:w="0" w:type="dxa"/>
        </w:tblCellMar>
      </w:tblPr>
      <w:tr>
        <w:trPr>
          <w:trHeight w:val="264"/>
        </w:trPr>
        <w:tc>
          <w:tcPr>
            <w:tcW w:w="240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7"/>
              </w:rPr>
              <w:t>Price</w:t>
            </w:r>
          </w:p>
        </w:tc>
        <w:tc>
          <w:tcPr>
            <w:tcW w:w="3560" w:type="dxa"/>
            <w:vAlign w:val="bottom"/>
            <w:tcBorders>
              <w:top w:val="single" w:sz="8" w:color="auto"/>
              <w:right w:val="single" w:sz="8" w:color="auto"/>
            </w:tcBorders>
            <w:shd w:val="clear" w:color="auto" w:fill="C0C0C0"/>
          </w:tcPr>
          <w:p>
            <w:pPr>
              <w:ind w:left="800"/>
              <w:spacing w:after="0"/>
              <w:rPr>
                <w:sz w:val="20"/>
                <w:szCs w:val="20"/>
                <w:color w:val="auto"/>
              </w:rPr>
            </w:pPr>
            <w:r>
              <w:rPr>
                <w:rFonts w:ascii="Arial" w:cs="Arial" w:eastAsia="Arial" w:hAnsi="Arial"/>
                <w:sz w:val="20"/>
                <w:szCs w:val="20"/>
                <w:color w:val="auto"/>
              </w:rPr>
              <w:t>Consolidated Total Debt</w:t>
            </w:r>
          </w:p>
        </w:tc>
        <w:tc>
          <w:tcPr>
            <w:tcW w:w="31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3"/>
              </w:rPr>
              <w:t>Applicable Margin</w:t>
            </w:r>
          </w:p>
        </w:tc>
        <w:tc>
          <w:tcPr>
            <w:tcW w:w="0" w:type="dxa"/>
            <w:vAlign w:val="bottom"/>
          </w:tcPr>
          <w:p>
            <w:pPr>
              <w:spacing w:after="0"/>
              <w:rPr>
                <w:sz w:val="1"/>
                <w:szCs w:val="1"/>
                <w:color w:val="auto"/>
              </w:rPr>
            </w:pPr>
          </w:p>
        </w:tc>
      </w:tr>
      <w:tr>
        <w:trPr>
          <w:trHeight w:val="159"/>
        </w:trPr>
        <w:tc>
          <w:tcPr>
            <w:tcW w:w="2400" w:type="dxa"/>
            <w:vAlign w:val="bottom"/>
            <w:tcBorders>
              <w:left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1"/>
              </w:rPr>
              <w:t>Level</w:t>
            </w:r>
          </w:p>
        </w:tc>
        <w:tc>
          <w:tcPr>
            <w:tcW w:w="3560" w:type="dxa"/>
            <w:vAlign w:val="bottom"/>
            <w:tcBorders>
              <w:right w:val="single" w:sz="8" w:color="auto"/>
            </w:tcBorders>
            <w:vMerge w:val="restart"/>
            <w:shd w:val="clear" w:color="auto" w:fill="C0C0C0"/>
          </w:tcPr>
          <w:p>
            <w:pPr>
              <w:ind w:left="520"/>
              <w:spacing w:after="0"/>
              <w:rPr>
                <w:sz w:val="20"/>
                <w:szCs w:val="20"/>
                <w:color w:val="auto"/>
              </w:rPr>
            </w:pPr>
            <w:r>
              <w:rPr>
                <w:rFonts w:ascii="Arial" w:cs="Arial" w:eastAsia="Arial" w:hAnsi="Arial"/>
                <w:sz w:val="20"/>
                <w:szCs w:val="20"/>
                <w:color w:val="auto"/>
              </w:rPr>
              <w:t>to Consolidated EBITDA Ratio</w:t>
            </w:r>
          </w:p>
        </w:tc>
        <w:tc>
          <w:tcPr>
            <w:tcW w:w="3160" w:type="dxa"/>
            <w:vAlign w:val="bottom"/>
            <w:tcBorders>
              <w:right w:val="single" w:sz="8" w:color="auto"/>
            </w:tcBorders>
            <w:vMerge w:val="continue"/>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00" w:type="dxa"/>
            <w:vAlign w:val="bottom"/>
            <w:tcBorders>
              <w:left w:val="single" w:sz="8" w:color="auto"/>
              <w:right w:val="single" w:sz="8" w:color="auto"/>
            </w:tcBorders>
            <w:vMerge w:val="continue"/>
            <w:shd w:val="clear" w:color="auto" w:fill="C0C0C0"/>
          </w:tcPr>
          <w:p>
            <w:pPr>
              <w:spacing w:after="0"/>
              <w:rPr>
                <w:sz w:val="17"/>
                <w:szCs w:val="17"/>
                <w:color w:val="auto"/>
              </w:rPr>
            </w:pPr>
          </w:p>
        </w:tc>
        <w:tc>
          <w:tcPr>
            <w:tcW w:w="3560" w:type="dxa"/>
            <w:vAlign w:val="bottom"/>
            <w:tcBorders>
              <w:right w:val="single" w:sz="8" w:color="auto"/>
            </w:tcBorders>
            <w:vMerge w:val="continue"/>
            <w:shd w:val="clear" w:color="auto" w:fill="C0C0C0"/>
          </w:tcPr>
          <w:p>
            <w:pPr>
              <w:spacing w:after="0"/>
              <w:rPr>
                <w:sz w:val="17"/>
                <w:szCs w:val="17"/>
                <w:color w:val="auto"/>
              </w:rPr>
            </w:pPr>
          </w:p>
        </w:tc>
        <w:tc>
          <w:tcPr>
            <w:tcW w:w="316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Borders>
              <w:left w:val="single" w:sz="8" w:color="auto"/>
              <w:bottom w:val="single" w:sz="8" w:color="auto"/>
              <w:right w:val="single" w:sz="8" w:color="auto"/>
            </w:tcBorders>
            <w:shd w:val="clear" w:color="auto" w:fill="C0C0C0"/>
          </w:tcPr>
          <w:p>
            <w:pPr>
              <w:spacing w:after="0"/>
              <w:rPr>
                <w:sz w:val="11"/>
                <w:szCs w:val="11"/>
                <w:color w:val="auto"/>
              </w:rPr>
            </w:pPr>
          </w:p>
        </w:tc>
        <w:tc>
          <w:tcPr>
            <w:tcW w:w="3560" w:type="dxa"/>
            <w:vAlign w:val="bottom"/>
            <w:tcBorders>
              <w:bottom w:val="single" w:sz="8" w:color="auto"/>
              <w:right w:val="single" w:sz="8" w:color="auto"/>
            </w:tcBorders>
            <w:shd w:val="clear" w:color="auto" w:fill="C0C0C0"/>
          </w:tcPr>
          <w:p>
            <w:pPr>
              <w:spacing w:after="0"/>
              <w:rPr>
                <w:sz w:val="11"/>
                <w:szCs w:val="11"/>
                <w:color w:val="auto"/>
              </w:rPr>
            </w:pPr>
          </w:p>
        </w:tc>
        <w:tc>
          <w:tcPr>
            <w:tcW w:w="316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0.75 to 1.00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1.60%</w:t>
            </w:r>
          </w:p>
        </w:tc>
        <w:tc>
          <w:tcPr>
            <w:tcW w:w="0" w:type="dxa"/>
            <w:vAlign w:val="bottom"/>
          </w:tcPr>
          <w:p>
            <w:pPr>
              <w:spacing w:after="0"/>
              <w:rPr>
                <w:sz w:val="1"/>
                <w:szCs w:val="1"/>
                <w:color w:val="auto"/>
              </w:rPr>
            </w:pPr>
          </w:p>
        </w:tc>
      </w:tr>
      <w:tr>
        <w:trPr>
          <w:trHeight w:val="128"/>
        </w:trPr>
        <w:tc>
          <w:tcPr>
            <w:tcW w:w="2400" w:type="dxa"/>
            <w:vAlign w:val="bottom"/>
            <w:tcBorders>
              <w:left w:val="single" w:sz="8" w:color="auto"/>
              <w:bottom w:val="single" w:sz="8" w:color="auto"/>
              <w:right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0.75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2.05%</w:t>
            </w:r>
          </w:p>
        </w:tc>
        <w:tc>
          <w:tcPr>
            <w:tcW w:w="0" w:type="dxa"/>
            <w:vAlign w:val="bottom"/>
          </w:tcPr>
          <w:p>
            <w:pPr>
              <w:spacing w:after="0"/>
              <w:rPr>
                <w:sz w:val="1"/>
                <w:szCs w:val="1"/>
                <w:color w:val="auto"/>
              </w:rPr>
            </w:pPr>
          </w:p>
        </w:tc>
      </w:tr>
      <w:tr>
        <w:trPr>
          <w:trHeight w:val="250"/>
        </w:trPr>
        <w:tc>
          <w:tcPr>
            <w:tcW w:w="2400" w:type="dxa"/>
            <w:vAlign w:val="bottom"/>
            <w:tcBorders>
              <w:left w:val="single" w:sz="8" w:color="auto"/>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1.50 to 1.00</w:t>
            </w:r>
          </w:p>
        </w:tc>
        <w:tc>
          <w:tcPr>
            <w:tcW w:w="3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400" w:type="dxa"/>
            <w:vAlign w:val="bottom"/>
            <w:tcBorders>
              <w:left w:val="single" w:sz="8" w:color="auto"/>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1.50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2.50%</w:t>
            </w:r>
          </w:p>
        </w:tc>
        <w:tc>
          <w:tcPr>
            <w:tcW w:w="0" w:type="dxa"/>
            <w:vAlign w:val="bottom"/>
          </w:tcPr>
          <w:p>
            <w:pPr>
              <w:spacing w:after="0"/>
              <w:rPr>
                <w:sz w:val="1"/>
                <w:szCs w:val="1"/>
                <w:color w:val="auto"/>
              </w:rPr>
            </w:pPr>
          </w:p>
        </w:tc>
      </w:tr>
      <w:tr>
        <w:trPr>
          <w:trHeight w:val="250"/>
        </w:trPr>
        <w:tc>
          <w:tcPr>
            <w:tcW w:w="2400" w:type="dxa"/>
            <w:vAlign w:val="bottom"/>
            <w:tcBorders>
              <w:left w:val="single" w:sz="8" w:color="auto"/>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2.25 to 1.00</w:t>
            </w:r>
          </w:p>
        </w:tc>
        <w:tc>
          <w:tcPr>
            <w:tcW w:w="3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400" w:type="dxa"/>
            <w:vAlign w:val="bottom"/>
            <w:tcBorders>
              <w:left w:val="single" w:sz="8" w:color="auto"/>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IV</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2.25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3.00%</w:t>
            </w:r>
          </w:p>
        </w:tc>
        <w:tc>
          <w:tcPr>
            <w:tcW w:w="0" w:type="dxa"/>
            <w:vAlign w:val="bottom"/>
          </w:tcPr>
          <w:p>
            <w:pPr>
              <w:spacing w:after="0"/>
              <w:rPr>
                <w:sz w:val="1"/>
                <w:szCs w:val="1"/>
                <w:color w:val="auto"/>
              </w:rPr>
            </w:pPr>
          </w:p>
        </w:tc>
      </w:tr>
      <w:tr>
        <w:trPr>
          <w:trHeight w:val="250"/>
        </w:trPr>
        <w:tc>
          <w:tcPr>
            <w:tcW w:w="2400" w:type="dxa"/>
            <w:vAlign w:val="bottom"/>
            <w:tcBorders>
              <w:left w:val="single" w:sz="8" w:color="auto"/>
              <w:right w:val="single" w:sz="8" w:color="auto"/>
            </w:tcBorders>
          </w:tcPr>
          <w:p>
            <w:pPr>
              <w:spacing w:after="0"/>
              <w:rPr>
                <w:sz w:val="21"/>
                <w:szCs w:val="21"/>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3.00 to 1.00</w:t>
            </w:r>
          </w:p>
        </w:tc>
        <w:tc>
          <w:tcPr>
            <w:tcW w:w="3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400" w:type="dxa"/>
            <w:vAlign w:val="bottom"/>
            <w:tcBorders>
              <w:left w:val="single" w:sz="8" w:color="auto"/>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firstLine="864"/>
        <w:spacing w:after="0" w:line="269" w:lineRule="auto"/>
        <w:rPr>
          <w:sz w:val="20"/>
          <w:szCs w:val="20"/>
          <w:color w:val="auto"/>
        </w:rPr>
      </w:pPr>
      <w:r>
        <w:rPr>
          <w:rFonts w:ascii="Arial" w:cs="Arial" w:eastAsia="Arial" w:hAnsi="Arial"/>
          <w:sz w:val="18"/>
          <w:szCs w:val="18"/>
          <w:color w:val="auto"/>
        </w:rPr>
        <w:t>The Applicable Margin shall be determined effective as of the date (herein, the “</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which is 10 days after receipt by the Bank of the annual (in the case of the fourth Fiscal Quarter) and quarterly financial statements of the Borrower pursuant to the provisions of Section 5.3 for the Fiscal Quarter as of the end of which the foregoing ratio is being determined, based on such quarterly or annual financial statements, as the case may be, for the Fiscal Quarter then ended, and the Applicable Margin so determined shall remain effective from such Rate Determination Date until the date which is 10 days after receipt by the Bank of the financial statements for the next Fiscal Quarter (which latter date shall be a new Rate Determination Date); provided that if the Borrower shall have failed to deliver to the Bank the financial statements required to be delivered pursuant to the provisions of Section 5.3 with respect to the Fiscal Quarter most recently ended within the time period specified herein, then for the period beginning on the day which is 10 days after the required delivery date of such financial statements and ending on the earlier of (A) 10 days after the date on which the Borrower shall deliver to the Bank the financial statements to be delivered pursuant to the provisions of Section 5.3 with respect to such Fiscal Quarter or any subsequent Fiscal Quarter, or (B) 10 days after the date on which the Borrower shall deliver to the Bank annual financial statements required to be delivered pursuant to the provisions of Section 5.3(a) with respect to the Fiscal Year which includes such Fiscal Quarter or any subsequent Fiscal Year, the Applicable Margin shall be determined at Pricing Level IV set forth above. Any change in the Applicable Margin as of any Rate Determination Date shall result in a corresponding change, effective on and as of such Rate Determination Date, in the interest rate applicable to the Loans outstanding on such Rate Determination Date.</w:t>
      </w:r>
    </w:p>
    <w:p>
      <w:pPr>
        <w:spacing w:after="0" w:line="179" w:lineRule="exact"/>
        <w:rPr>
          <w:sz w:val="20"/>
          <w:szCs w:val="20"/>
          <w:color w:val="auto"/>
        </w:rPr>
      </w:pPr>
    </w:p>
    <w:p>
      <w:pPr>
        <w:ind w:right="700" w:firstLine="872"/>
        <w:spacing w:after="0" w:line="260" w:lineRule="auto"/>
        <w:tabs>
          <w:tab w:leader="none" w:pos="1598" w:val="left"/>
        </w:tabs>
        <w:numPr>
          <w:ilvl w:val="0"/>
          <w:numId w:val="71"/>
        </w:numPr>
        <w:rPr>
          <w:rFonts w:ascii="Arial" w:cs="Arial" w:eastAsia="Arial" w:hAnsi="Arial"/>
          <w:sz w:val="20"/>
          <w:szCs w:val="20"/>
          <w:color w:val="auto"/>
        </w:rPr>
      </w:pPr>
      <w:r>
        <w:rPr>
          <w:rFonts w:ascii="Arial" w:cs="Arial" w:eastAsia="Arial" w:hAnsi="Arial"/>
          <w:sz w:val="20"/>
          <w:szCs w:val="20"/>
          <w:color w:val="auto"/>
        </w:rPr>
        <w:t>"Business Day" means any day except a Saturday, Sunday or any other day on which commercial banks in North Carolina are authorized or required by law to close.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9" w:name="page120"/>
    <w:bookmarkEnd w:id="119"/>
    <w:p>
      <w:pPr>
        <w:ind w:left="-20" w:right="340" w:firstLine="872"/>
        <w:spacing w:after="0" w:line="260" w:lineRule="auto"/>
        <w:tabs>
          <w:tab w:leader="none" w:pos="1567" w:val="left"/>
        </w:tabs>
        <w:numPr>
          <w:ilvl w:val="0"/>
          <w:numId w:val="72"/>
        </w:numPr>
        <w:rPr>
          <w:rFonts w:ascii="Arial" w:cs="Arial" w:eastAsia="Arial" w:hAnsi="Arial"/>
          <w:sz w:val="20"/>
          <w:szCs w:val="20"/>
          <w:color w:val="auto"/>
        </w:rPr>
      </w:pPr>
      <w:r>
        <w:rPr>
          <w:rFonts w:ascii="Arial" w:cs="Arial" w:eastAsia="Arial" w:hAnsi="Arial"/>
          <w:sz w:val="20"/>
          <w:szCs w:val="20"/>
          <w:color w:val="auto"/>
        </w:rPr>
        <w:t>“Capital Stock” means any capital stock of Borrower or any Consolidated Subsidiary (to the extent issued to a Person other than Borrower), whether common or preferred, that is not redeemable at the option of the holder.</w:t>
      </w:r>
    </w:p>
    <w:p>
      <w:pPr>
        <w:spacing w:after="0" w:line="176" w:lineRule="exact"/>
        <w:rPr>
          <w:rFonts w:ascii="Arial" w:cs="Arial" w:eastAsia="Arial" w:hAnsi="Arial"/>
          <w:sz w:val="20"/>
          <w:szCs w:val="20"/>
          <w:color w:val="auto"/>
        </w:rPr>
      </w:pPr>
    </w:p>
    <w:p>
      <w:pPr>
        <w:ind w:left="-20" w:right="220" w:firstLine="872"/>
        <w:spacing w:after="0" w:line="316" w:lineRule="auto"/>
        <w:tabs>
          <w:tab w:leader="none" w:pos="15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“China Subsidiaries” means, collectively, Culp Fabrics (Shanghai) Co., Ltd., Culp Fabrics (Shanghai) International Trading Co., Ltd. and Culp Cut and Sew Co., Ltd. (each of which has been incorporated under the laws of the People’s Republic of China).</w:t>
      </w:r>
    </w:p>
    <w:p>
      <w:pPr>
        <w:spacing w:after="0" w:line="129" w:lineRule="exact"/>
        <w:rPr>
          <w:rFonts w:ascii="Arial" w:cs="Arial" w:eastAsia="Arial" w:hAnsi="Arial"/>
          <w:sz w:val="18"/>
          <w:szCs w:val="18"/>
          <w:color w:val="auto"/>
        </w:rPr>
      </w:pPr>
    </w:p>
    <w:p>
      <w:pPr>
        <w:ind w:left="-20" w:right="60" w:firstLine="872"/>
        <w:spacing w:after="0" w:line="282" w:lineRule="auto"/>
        <w:tabs>
          <w:tab w:leader="none" w:pos="15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EBITDA” means at any time the sum of the following, determined on a consolidated basis for Borrower and its Consolidated Subsidiaries, at the end of each Fiscal Quarter, for the Fiscal Quarter just ended and the three (3) immediately preceding Fiscal Quarters: (i) Consolidated Net Income (exclusive of (y) non-cash charges and (z) restructuring and related cash charges); plus (ii) Consolidated Net Interest Expense; plus (iii) taxes on income; plus (iv) depreciation; plus (v) amortization.</w:t>
      </w:r>
    </w:p>
    <w:p>
      <w:pPr>
        <w:spacing w:after="0" w:line="161" w:lineRule="exact"/>
        <w:rPr>
          <w:rFonts w:ascii="Arial" w:cs="Arial" w:eastAsia="Arial" w:hAnsi="Arial"/>
          <w:sz w:val="18"/>
          <w:szCs w:val="18"/>
          <w:color w:val="auto"/>
        </w:rPr>
      </w:pPr>
    </w:p>
    <w:p>
      <w:pPr>
        <w:jc w:val="both"/>
        <w:ind w:left="-20" w:right="620" w:firstLine="872"/>
        <w:spacing w:after="0" w:line="269" w:lineRule="auto"/>
        <w:tabs>
          <w:tab w:leader="none" w:pos="1545"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“Consolidated Net Income” means, for any period, the Net Income of Borrower and its Consolidated Subsidiaries determined on a consolidated basis, but excluding (i) extraordinary items and other non-recurring items and (ii) any equity interests of Borrower or any Subsidiary in the unremitted earnings of any Person that is not a Subsidiary.</w:t>
      </w:r>
    </w:p>
    <w:p>
      <w:pPr>
        <w:spacing w:after="0" w:line="169" w:lineRule="exact"/>
        <w:rPr>
          <w:rFonts w:ascii="Arial" w:cs="Arial" w:eastAsia="Arial" w:hAnsi="Arial"/>
          <w:sz w:val="19"/>
          <w:szCs w:val="19"/>
          <w:color w:val="auto"/>
        </w:rPr>
      </w:pPr>
    </w:p>
    <w:p>
      <w:pPr>
        <w:ind w:left="-20" w:right="40" w:firstLine="872"/>
        <w:spacing w:after="0" w:line="260" w:lineRule="auto"/>
        <w:tabs>
          <w:tab w:leader="none" w:pos="1578"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“Consolidated Net Interest Expense” for any period means interest, whether expensed or capitalized, in respect of debt of Borrower or any of its Consolidated Subsidiaries outstanding during such period.</w:t>
      </w:r>
    </w:p>
    <w:p>
      <w:pPr>
        <w:spacing w:after="0" w:line="176" w:lineRule="exact"/>
        <w:rPr>
          <w:rFonts w:ascii="Arial" w:cs="Arial" w:eastAsia="Arial" w:hAnsi="Arial"/>
          <w:sz w:val="20"/>
          <w:szCs w:val="20"/>
          <w:color w:val="auto"/>
        </w:rPr>
      </w:pPr>
    </w:p>
    <w:p>
      <w:pPr>
        <w:ind w:left="-20" w:right="160" w:firstLine="872"/>
        <w:spacing w:after="0" w:line="260" w:lineRule="auto"/>
        <w:tabs>
          <w:tab w:leader="none" w:pos="1578"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“Consolidated Net Worth” means, on a consolidated basis and in accordance with generally accepted accounting principles consistently applied, at any time, (i) the sum of (x) the par value (or value stated on the books of Borrower) of Capital Stock (excluding therefrom Redeemable Preferred Stock, treasury stock and capital stock subscribed and unissued) plus (y) the amount of paid-in capital and retained earnings of Borrower and its Subsidiaries, minus (ii) to the extent included in the immediately preceding clause (i), all amounts properly attributable to minority interests, if any, in the stock and surplus of any such Subsidiaries.</w:t>
      </w:r>
    </w:p>
    <w:p>
      <w:pPr>
        <w:spacing w:after="0" w:line="180" w:lineRule="exact"/>
        <w:rPr>
          <w:rFonts w:ascii="Arial" w:cs="Arial" w:eastAsia="Arial" w:hAnsi="Arial"/>
          <w:sz w:val="19"/>
          <w:szCs w:val="19"/>
          <w:color w:val="auto"/>
        </w:rPr>
      </w:pPr>
    </w:p>
    <w:p>
      <w:pPr>
        <w:ind w:left="-20" w:right="320" w:firstLine="872"/>
        <w:spacing w:after="0" w:line="250" w:lineRule="auto"/>
        <w:tabs>
          <w:tab w:leader="none" w:pos="1534"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“Consolidated Subsidiary” means at any date any Subsidiary or other entity the accounts of which, in accordance with generally accepted accounting principles applied on a consistent basis, would be consolidated with those of Borrower in its consolidated financial statements as of such date.</w:t>
      </w:r>
    </w:p>
    <w:p>
      <w:pPr>
        <w:spacing w:after="0" w:line="185" w:lineRule="exact"/>
        <w:rPr>
          <w:rFonts w:ascii="Arial" w:cs="Arial" w:eastAsia="Arial" w:hAnsi="Arial"/>
          <w:sz w:val="20"/>
          <w:szCs w:val="20"/>
          <w:color w:val="auto"/>
        </w:rPr>
      </w:pPr>
    </w:p>
    <w:p>
      <w:pPr>
        <w:ind w:left="-20" w:right="200" w:firstLine="872"/>
        <w:spacing w:after="0" w:line="260" w:lineRule="auto"/>
        <w:tabs>
          <w:tab w:leader="none" w:pos="1534" w:val="left"/>
        </w:tabs>
        <w:numPr>
          <w:ilvl w:val="0"/>
          <w:numId w:val="72"/>
        </w:numPr>
        <w:rPr>
          <w:rFonts w:ascii="Arial" w:cs="Arial" w:eastAsia="Arial" w:hAnsi="Arial"/>
          <w:sz w:val="20"/>
          <w:szCs w:val="20"/>
          <w:color w:val="auto"/>
        </w:rPr>
      </w:pPr>
      <w:r>
        <w:rPr>
          <w:rFonts w:ascii="Arial" w:cs="Arial" w:eastAsia="Arial" w:hAnsi="Arial"/>
          <w:sz w:val="20"/>
          <w:szCs w:val="20"/>
          <w:color w:val="auto"/>
        </w:rPr>
        <w:t>“Culp Europe” means CULP EUROPE Spó</w:t>
      </w:r>
      <w:r>
        <w:rPr>
          <w:rFonts w:ascii="Arial" w:cs="Arial" w:eastAsia="Arial" w:hAnsi="Arial"/>
          <w:sz w:val="18"/>
          <w:szCs w:val="18"/>
          <w:color w:val="auto"/>
        </w:rPr>
        <w:t>ł</w:t>
      </w:r>
      <w:r>
        <w:rPr>
          <w:rFonts w:ascii="Arial" w:cs="Arial" w:eastAsia="Arial" w:hAnsi="Arial"/>
          <w:sz w:val="20"/>
          <w:szCs w:val="20"/>
          <w:color w:val="auto"/>
        </w:rPr>
        <w:t>ka z ograniczoną odpowiedzialnością, a company organized under the laws of the Republic of Poland and a Wholly Owned Subsidiary of Borrower.</w:t>
      </w:r>
    </w:p>
    <w:p>
      <w:pPr>
        <w:spacing w:after="0" w:line="176" w:lineRule="exact"/>
        <w:rPr>
          <w:rFonts w:ascii="Arial" w:cs="Arial" w:eastAsia="Arial" w:hAnsi="Arial"/>
          <w:sz w:val="20"/>
          <w:szCs w:val="20"/>
          <w:color w:val="auto"/>
        </w:rPr>
      </w:pPr>
    </w:p>
    <w:p>
      <w:pPr>
        <w:ind w:left="-20" w:firstLine="872"/>
        <w:spacing w:after="0" w:line="246" w:lineRule="auto"/>
        <w:tabs>
          <w:tab w:leader="none" w:pos="1578" w:val="left"/>
        </w:tabs>
        <w:numPr>
          <w:ilvl w:val="0"/>
          <w:numId w:val="72"/>
        </w:numPr>
        <w:rPr>
          <w:rFonts w:ascii="Arial" w:cs="Arial" w:eastAsia="Arial" w:hAnsi="Arial"/>
          <w:sz w:val="20"/>
          <w:szCs w:val="20"/>
          <w:color w:val="auto"/>
        </w:rPr>
      </w:pPr>
      <w:r>
        <w:rPr>
          <w:rFonts w:ascii="Arial" w:cs="Arial" w:eastAsia="Arial" w:hAnsi="Arial"/>
          <w:sz w:val="20"/>
          <w:szCs w:val="20"/>
          <w:color w:val="auto"/>
        </w:rPr>
        <w:t>“Culp Europe Credit Agreement” means the Amended and Restated Credit Agreement (Multi-Currency Revolving Credit Facility) dated as of January 31, 2014 by and between Culp Europe and Bank providing for a revolving line of credit in the original principal amount of up to One Million Five Hundred Thousand Euros (€</w:t>
      </w:r>
      <w:r>
        <w:rPr>
          <w:rFonts w:ascii="Arial" w:cs="Arial" w:eastAsia="Arial" w:hAnsi="Arial"/>
          <w:sz w:val="18"/>
          <w:szCs w:val="18"/>
          <w:color w:val="auto"/>
        </w:rPr>
        <w:t>1,5</w:t>
      </w:r>
      <w:r>
        <w:rPr>
          <w:rFonts w:ascii="Arial" w:cs="Arial" w:eastAsia="Arial" w:hAnsi="Arial"/>
          <w:sz w:val="20"/>
          <w:szCs w:val="20"/>
          <w:color w:val="auto"/>
        </w:rPr>
        <w:t>00,000.00) or the equivalent in Alternative Currency, as defined therein, as the same may be amended from time to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5" w:right="339" w:bottom="1440" w:gutter="0" w:footer="0" w:header="0"/>
        </w:sectPr>
      </w:pPr>
    </w:p>
    <w:bookmarkStart w:id="120" w:name="page121"/>
    <w:bookmarkEnd w:id="120"/>
    <w:p>
      <w:pPr>
        <w:ind w:right="820" w:firstLine="872"/>
        <w:spacing w:after="0" w:line="260" w:lineRule="auto"/>
        <w:tabs>
          <w:tab w:leader="none" w:pos="1554" w:val="left"/>
        </w:tabs>
        <w:numPr>
          <w:ilvl w:val="0"/>
          <w:numId w:val="73"/>
        </w:numPr>
        <w:rPr>
          <w:rFonts w:ascii="Arial" w:cs="Arial" w:eastAsia="Arial" w:hAnsi="Arial"/>
          <w:sz w:val="20"/>
          <w:szCs w:val="20"/>
          <w:color w:val="auto"/>
        </w:rPr>
      </w:pPr>
      <w:r>
        <w:rPr>
          <w:rFonts w:ascii="Arial" w:cs="Arial" w:eastAsia="Arial" w:hAnsi="Arial"/>
          <w:sz w:val="20"/>
          <w:szCs w:val="20"/>
          <w:color w:val="auto"/>
        </w:rPr>
        <w:t>“Culp Europe Indebtedness” means all indebtedness of Culp Europe to Bank including, without limitation, such indebtedness pursuant to the Culp Europe Loan Documents.</w:t>
      </w:r>
    </w:p>
    <w:p>
      <w:pPr>
        <w:spacing w:after="0" w:line="176" w:lineRule="exact"/>
        <w:rPr>
          <w:rFonts w:ascii="Arial" w:cs="Arial" w:eastAsia="Arial" w:hAnsi="Arial"/>
          <w:sz w:val="20"/>
          <w:szCs w:val="20"/>
          <w:color w:val="auto"/>
        </w:rPr>
      </w:pPr>
    </w:p>
    <w:p>
      <w:pPr>
        <w:ind w:right="700" w:firstLine="872"/>
        <w:spacing w:after="0" w:line="316" w:lineRule="auto"/>
        <w:tabs>
          <w:tab w:leader="none" w:pos="16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“Culp Europe Loan Documents” means the Culp Europe Credit Agreement and all other documents evidencing, securing or executed in connection with the Culp Europe Indebtedness, as the same may be amended from time to time.</w:t>
      </w:r>
    </w:p>
    <w:p>
      <w:pPr>
        <w:spacing w:after="0" w:line="129" w:lineRule="exact"/>
        <w:rPr>
          <w:rFonts w:ascii="Arial" w:cs="Arial" w:eastAsia="Arial" w:hAnsi="Arial"/>
          <w:sz w:val="18"/>
          <w:szCs w:val="18"/>
          <w:color w:val="auto"/>
        </w:rPr>
      </w:pPr>
    </w:p>
    <w:p>
      <w:pPr>
        <w:ind w:right="40" w:firstLine="872"/>
        <w:spacing w:after="0" w:line="250" w:lineRule="auto"/>
        <w:tabs>
          <w:tab w:leader="none" w:pos="1598" w:val="left"/>
        </w:tabs>
        <w:numPr>
          <w:ilvl w:val="0"/>
          <w:numId w:val="73"/>
        </w:numPr>
        <w:rPr>
          <w:rFonts w:ascii="Arial" w:cs="Arial" w:eastAsia="Arial" w:hAnsi="Arial"/>
          <w:sz w:val="20"/>
          <w:szCs w:val="20"/>
          <w:color w:val="auto"/>
        </w:rPr>
      </w:pPr>
      <w:r>
        <w:rPr>
          <w:rFonts w:ascii="Arial" w:cs="Arial" w:eastAsia="Arial" w:hAnsi="Arial"/>
          <w:sz w:val="20"/>
          <w:szCs w:val="20"/>
          <w:color w:val="auto"/>
        </w:rPr>
        <w:t>“Culp Europe Reserve” means an amount as may be required by Bank at any time and from time to time in respect of the Culp Europe Indebtedness including any currency fluctuations in connection therewith, the amount of which reserve is currently $2,400,000.00 but is subject to change by Bank from time in its sole and absolute discretion.</w:t>
      </w:r>
    </w:p>
    <w:p>
      <w:pPr>
        <w:spacing w:after="0" w:line="185" w:lineRule="exact"/>
        <w:rPr>
          <w:rFonts w:ascii="Arial" w:cs="Arial" w:eastAsia="Arial" w:hAnsi="Arial"/>
          <w:sz w:val="20"/>
          <w:szCs w:val="20"/>
          <w:color w:val="auto"/>
        </w:rPr>
      </w:pPr>
    </w:p>
    <w:p>
      <w:pPr>
        <w:ind w:right="240" w:firstLine="872"/>
        <w:spacing w:after="0" w:line="260" w:lineRule="auto"/>
        <w:tabs>
          <w:tab w:leader="none" w:pos="1598" w:val="left"/>
        </w:tabs>
        <w:numPr>
          <w:ilvl w:val="0"/>
          <w:numId w:val="73"/>
        </w:numPr>
        <w:rPr>
          <w:rFonts w:ascii="Arial" w:cs="Arial" w:eastAsia="Arial" w:hAnsi="Arial"/>
          <w:sz w:val="20"/>
          <w:szCs w:val="20"/>
          <w:color w:val="auto"/>
        </w:rPr>
      </w:pPr>
      <w:r>
        <w:rPr>
          <w:rFonts w:ascii="Arial" w:cs="Arial" w:eastAsia="Arial" w:hAnsi="Arial"/>
          <w:sz w:val="20"/>
          <w:szCs w:val="20"/>
          <w:color w:val="auto"/>
        </w:rPr>
        <w:t>“Daily One Month LIBOR” means, for any day, the rate of interest equal to LIBOR then in effect for delivery of funds for a one (1) month period.</w:t>
      </w:r>
    </w:p>
    <w:p>
      <w:pPr>
        <w:spacing w:after="0" w:line="176" w:lineRule="exact"/>
        <w:rPr>
          <w:rFonts w:ascii="Arial" w:cs="Arial" w:eastAsia="Arial" w:hAnsi="Arial"/>
          <w:sz w:val="20"/>
          <w:szCs w:val="20"/>
          <w:color w:val="auto"/>
        </w:rPr>
      </w:pPr>
    </w:p>
    <w:p>
      <w:pPr>
        <w:ind w:left="1600" w:hanging="728"/>
        <w:spacing w:after="0"/>
        <w:tabs>
          <w:tab w:leader="none" w:pos="16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“Existing Letter of Credit” means the existing letter of credit issued by Bank, as issuer, in the face amount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$250,000.00, for the benefit of Great American Insurance, as beneficiary thereunder.</w:t>
      </w:r>
    </w:p>
    <w:p>
      <w:pPr>
        <w:spacing w:after="0" w:line="200" w:lineRule="exact"/>
        <w:rPr>
          <w:sz w:val="20"/>
          <w:szCs w:val="20"/>
          <w:color w:val="auto"/>
        </w:rPr>
      </w:pPr>
    </w:p>
    <w:p>
      <w:pPr>
        <w:ind w:left="1600" w:hanging="728"/>
        <w:spacing w:after="0"/>
        <w:tabs>
          <w:tab w:leader="none" w:pos="1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“Fiscal Quarter” means any fiscal quarter of Borrower.</w:t>
      </w:r>
    </w:p>
    <w:p>
      <w:pPr>
        <w:spacing w:after="0" w:line="215" w:lineRule="exact"/>
        <w:rPr>
          <w:rFonts w:ascii="Arial" w:cs="Arial" w:eastAsia="Arial" w:hAnsi="Arial"/>
          <w:sz w:val="20"/>
          <w:szCs w:val="20"/>
          <w:color w:val="auto"/>
        </w:rPr>
      </w:pPr>
    </w:p>
    <w:p>
      <w:pPr>
        <w:ind w:left="1580" w:hanging="708"/>
        <w:spacing w:after="0"/>
        <w:tabs>
          <w:tab w:leader="none" w:pos="15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“Fiscal Year” means any fiscal year of Borrower, ending on the Sunday closest to April 30 of each year.</w:t>
      </w:r>
    </w:p>
    <w:p>
      <w:pPr>
        <w:spacing w:after="0" w:line="215" w:lineRule="exact"/>
        <w:rPr>
          <w:rFonts w:ascii="Arial" w:cs="Arial" w:eastAsia="Arial" w:hAnsi="Arial"/>
          <w:sz w:val="20"/>
          <w:szCs w:val="20"/>
          <w:color w:val="auto"/>
        </w:rPr>
      </w:pPr>
    </w:p>
    <w:p>
      <w:pPr>
        <w:ind w:right="60" w:firstLine="872"/>
        <w:spacing w:after="0" w:line="278" w:lineRule="auto"/>
        <w:tabs>
          <w:tab w:leader="none" w:pos="15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"LIBOR" means the rate of interest per annum determined by Bank based on the rate for United States dollar deposits for delivery of funds for one (1) month as published by the ICE Benchmark Administration Limited, a United Kingdom company, at approximately 11:00 a.m., London time, or, for any day not a London Business Day, the immediately preceding London Business Day (or if not so published, then as determined by Bank from another recognized source or interbank quotation); provided, however, that if LIBOR determined as provided above would be less than zero percent (0.0%), then LIBOR shall be deemed to be zero percent (0.0%).</w:t>
      </w:r>
    </w:p>
    <w:p>
      <w:pPr>
        <w:spacing w:after="0" w:line="164" w:lineRule="exact"/>
        <w:rPr>
          <w:rFonts w:ascii="Arial" w:cs="Arial" w:eastAsia="Arial" w:hAnsi="Arial"/>
          <w:sz w:val="18"/>
          <w:szCs w:val="18"/>
          <w:color w:val="auto"/>
        </w:rPr>
      </w:pPr>
    </w:p>
    <w:p>
      <w:pPr>
        <w:ind w:left="1560" w:hanging="688"/>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“London Business Day" means any day that is a day for trading by and between banks in dollar deposits in the London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interbank market.”</w:t>
      </w:r>
    </w:p>
    <w:p>
      <w:pPr>
        <w:spacing w:after="0" w:line="199" w:lineRule="exact"/>
        <w:rPr>
          <w:rFonts w:ascii="Arial" w:cs="Arial" w:eastAsia="Arial" w:hAnsi="Arial"/>
          <w:sz w:val="18"/>
          <w:szCs w:val="18"/>
          <w:color w:val="auto"/>
        </w:rPr>
      </w:pPr>
    </w:p>
    <w:p>
      <w:pPr>
        <w:ind w:firstLine="872"/>
        <w:spacing w:after="0" w:line="276" w:lineRule="auto"/>
        <w:tabs>
          <w:tab w:leader="none" w:pos="15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“Material Adverse Effect” or “Material Adverse Change”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(i) the financial condition, operations, business or properties of the Borrower and its Subsidiaries taken as a whole, (ii) the ability of the Borrower to perform its obligations under the Loan Documents, (iii) the legality, validity or enforceability of any Loan Document, or (iv) the rights and remedies of Bank under the Loan Documents.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1" w:name="page122"/>
    <w:bookmarkEnd w:id="121"/>
    <w:p>
      <w:pPr>
        <w:ind w:left="-8" w:right="100" w:firstLine="872"/>
        <w:spacing w:after="0" w:line="250" w:lineRule="auto"/>
        <w:tabs>
          <w:tab w:leader="none" w:pos="1590" w:val="left"/>
        </w:tabs>
        <w:numPr>
          <w:ilvl w:val="0"/>
          <w:numId w:val="75"/>
        </w:numPr>
        <w:rPr>
          <w:rFonts w:ascii="Arial" w:cs="Arial" w:eastAsia="Arial" w:hAnsi="Arial"/>
          <w:sz w:val="20"/>
          <w:szCs w:val="20"/>
          <w:color w:val="auto"/>
        </w:rPr>
      </w:pPr>
      <w:r>
        <w:rPr>
          <w:rFonts w:ascii="Arial" w:cs="Arial" w:eastAsia="Arial" w:hAnsi="Arial"/>
          <w:sz w:val="20"/>
          <w:szCs w:val="20"/>
          <w:color w:val="auto"/>
        </w:rPr>
        <w:t>“Modification Period” means a period of time commencing on June 30, 2020 and terminating upon the Rate Determination Date next following the end of Borrower’s fourth Fiscal Quarter of 2021 (which Fiscal Quarter end is presumed to be May 2, 2021).</w:t>
      </w:r>
    </w:p>
    <w:p>
      <w:pPr>
        <w:spacing w:after="0" w:line="185" w:lineRule="exact"/>
        <w:rPr>
          <w:rFonts w:ascii="Arial" w:cs="Arial" w:eastAsia="Arial" w:hAnsi="Arial"/>
          <w:sz w:val="20"/>
          <w:szCs w:val="20"/>
          <w:color w:val="auto"/>
        </w:rPr>
      </w:pPr>
    </w:p>
    <w:p>
      <w:pPr>
        <w:ind w:left="-8" w:right="100" w:firstLine="872"/>
        <w:spacing w:after="0" w:line="316" w:lineRule="auto"/>
        <w:tabs>
          <w:tab w:leader="none" w:pos="16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Income” means, as applied to any Person for any period, the aggregate amount of net income of such person, after taxes, for such period, as determined in accordance with generally accepted accounting principles applied on a consistent basis.</w:t>
      </w:r>
    </w:p>
    <w:p>
      <w:pPr>
        <w:spacing w:after="0" w:line="129" w:lineRule="exact"/>
        <w:rPr>
          <w:rFonts w:ascii="Arial" w:cs="Arial" w:eastAsia="Arial" w:hAnsi="Arial"/>
          <w:sz w:val="18"/>
          <w:szCs w:val="18"/>
          <w:color w:val="auto"/>
        </w:rPr>
      </w:pPr>
    </w:p>
    <w:p>
      <w:pPr>
        <w:ind w:left="-8" w:firstLine="872"/>
        <w:spacing w:after="0" w:line="250" w:lineRule="auto"/>
        <w:tabs>
          <w:tab w:leader="none" w:pos="1590" w:val="left"/>
        </w:tabs>
        <w:numPr>
          <w:ilvl w:val="0"/>
          <w:numId w:val="75"/>
        </w:numPr>
        <w:rPr>
          <w:rFonts w:ascii="Arial" w:cs="Arial" w:eastAsia="Arial" w:hAnsi="Arial"/>
          <w:sz w:val="20"/>
          <w:szCs w:val="20"/>
          <w:color w:val="auto"/>
        </w:rPr>
      </w:pPr>
      <w:r>
        <w:rPr>
          <w:rFonts w:ascii="Arial" w:cs="Arial" w:eastAsia="Arial" w:hAnsi="Arial"/>
          <w:sz w:val="20"/>
          <w:szCs w:val="20"/>
          <w:color w:val="auto"/>
        </w:rPr>
        <w:t>“Omaha Note Purchase Agreement” means that certain Note Purchase Agreement, dated as of August 11, 2008, among the Borrower, as the Company, and Mutual of Omaha Insurance Company and United of Omaha Life Insurance Company, as Purchasers, and as may be amended in the future.</w:t>
      </w:r>
    </w:p>
    <w:p>
      <w:pPr>
        <w:spacing w:after="0" w:line="185" w:lineRule="exact"/>
        <w:rPr>
          <w:rFonts w:ascii="Arial" w:cs="Arial" w:eastAsia="Arial" w:hAnsi="Arial"/>
          <w:sz w:val="20"/>
          <w:szCs w:val="20"/>
          <w:color w:val="auto"/>
        </w:rPr>
      </w:pPr>
    </w:p>
    <w:p>
      <w:pPr>
        <w:ind w:left="-8" w:right="100" w:firstLine="872"/>
        <w:spacing w:after="0" w:line="250" w:lineRule="auto"/>
        <w:tabs>
          <w:tab w:leader="none" w:pos="1590" w:val="left"/>
        </w:tabs>
        <w:numPr>
          <w:ilvl w:val="0"/>
          <w:numId w:val="75"/>
        </w:numPr>
        <w:rPr>
          <w:rFonts w:ascii="Arial" w:cs="Arial" w:eastAsia="Arial" w:hAnsi="Arial"/>
          <w:sz w:val="20"/>
          <w:szCs w:val="20"/>
          <w:color w:val="auto"/>
        </w:rPr>
      </w:pPr>
      <w:r>
        <w:rPr>
          <w:rFonts w:ascii="Arial" w:cs="Arial" w:eastAsia="Arial" w:hAnsi="Arial"/>
          <w:sz w:val="20"/>
          <w:szCs w:val="20"/>
          <w:color w:val="auto"/>
        </w:rPr>
        <w:t>“Person” means an individual, a corporation, a partnership, a limited liability company, an unincorporated association, a trust or any other entity or organization including, but not limited to, a government or political subdivision or an agency or instrumentality thereof.</w:t>
      </w:r>
    </w:p>
    <w:p>
      <w:pPr>
        <w:spacing w:after="0" w:line="185" w:lineRule="exact"/>
        <w:rPr>
          <w:rFonts w:ascii="Arial" w:cs="Arial" w:eastAsia="Arial" w:hAnsi="Arial"/>
          <w:sz w:val="20"/>
          <w:szCs w:val="20"/>
          <w:color w:val="auto"/>
        </w:rPr>
      </w:pPr>
    </w:p>
    <w:p>
      <w:pPr>
        <w:ind w:left="-8" w:right="40" w:firstLine="872"/>
        <w:spacing w:after="0" w:line="250" w:lineRule="auto"/>
        <w:tabs>
          <w:tab w:leader="none" w:pos="1579"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“Redeemable Preferred Stock” of any Person means any preferred stock issued by such Person which is at any time during the term of the Line of Credit either (i) mandatorily redeemable (by sinking fund or similar payments or otherwise) or (ii) redeemable at the option of the holder thereof.</w:t>
      </w:r>
    </w:p>
    <w:p>
      <w:pPr>
        <w:spacing w:after="0" w:line="186" w:lineRule="exact"/>
        <w:rPr>
          <w:sz w:val="20"/>
          <w:szCs w:val="20"/>
          <w:color w:val="auto"/>
        </w:rPr>
      </w:pPr>
    </w:p>
    <w:p>
      <w:pPr>
        <w:ind w:left="-8" w:right="200" w:firstLine="872"/>
        <w:spacing w:after="0" w:line="250" w:lineRule="auto"/>
        <w:tabs>
          <w:tab w:leader="none" w:pos="1667" w:val="left"/>
        </w:tabs>
        <w:numPr>
          <w:ilvl w:val="0"/>
          <w:numId w:val="76"/>
        </w:numPr>
        <w:rPr>
          <w:rFonts w:ascii="Arial" w:cs="Arial" w:eastAsia="Arial" w:hAnsi="Arial"/>
          <w:sz w:val="20"/>
          <w:szCs w:val="20"/>
          <w:color w:val="auto"/>
        </w:rPr>
      </w:pPr>
      <w:r>
        <w:rPr>
          <w:rFonts w:ascii="Arial" w:cs="Arial" w:eastAsia="Arial" w:hAnsi="Arial"/>
          <w:sz w:val="20"/>
          <w:szCs w:val="20"/>
          <w:color w:val="auto"/>
        </w:rPr>
        <w:t>“Subsidiary” means any corporation or other entity of which securities or other ownership interests having ordinary voting power to elect a majority of the board of directors or other persons performing similar functions are at the time directly or indirectly owned by the Borrower.</w:t>
      </w:r>
    </w:p>
    <w:p>
      <w:pPr>
        <w:spacing w:after="0" w:line="185" w:lineRule="exact"/>
        <w:rPr>
          <w:rFonts w:ascii="Arial" w:cs="Arial" w:eastAsia="Arial" w:hAnsi="Arial"/>
          <w:sz w:val="20"/>
          <w:szCs w:val="20"/>
          <w:color w:val="auto"/>
        </w:rPr>
      </w:pPr>
    </w:p>
    <w:p>
      <w:pPr>
        <w:ind w:left="-8" w:right="400" w:firstLine="872"/>
        <w:spacing w:after="0" w:line="260" w:lineRule="auto"/>
        <w:tabs>
          <w:tab w:leader="none" w:pos="1689" w:val="left"/>
        </w:tabs>
        <w:numPr>
          <w:ilvl w:val="0"/>
          <w:numId w:val="76"/>
        </w:numPr>
        <w:rPr>
          <w:rFonts w:ascii="Arial" w:cs="Arial" w:eastAsia="Arial" w:hAnsi="Arial"/>
          <w:sz w:val="20"/>
          <w:szCs w:val="20"/>
          <w:color w:val="auto"/>
        </w:rPr>
      </w:pPr>
      <w:r>
        <w:rPr>
          <w:rFonts w:ascii="Arial" w:cs="Arial" w:eastAsia="Arial" w:hAnsi="Arial"/>
          <w:sz w:val="20"/>
          <w:szCs w:val="20"/>
          <w:color w:val="auto"/>
        </w:rPr>
        <w:t>“Wholly Owned Subsidiary” means any Subsidiary all of the shares of capital stock or other ownership interests of which (except directors’ qualifying shares) are at the time directly or indirectly owned by the Borrower.</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20"/>
          <w:szCs w:val="20"/>
          <w:u w:val="single" w:color="auto"/>
          <w:color w:val="auto"/>
        </w:rPr>
        <w:t>ARTICLE II</w:t>
      </w: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20"/>
          <w:szCs w:val="20"/>
          <w:u w:val="single" w:color="auto"/>
          <w:color w:val="auto"/>
        </w:rPr>
        <w:t>CREDIT TERMS</w:t>
      </w:r>
    </w:p>
    <w:p>
      <w:pPr>
        <w:spacing w:after="0" w:line="216" w:lineRule="exact"/>
        <w:rPr>
          <w:sz w:val="20"/>
          <w:szCs w:val="20"/>
          <w:color w:val="auto"/>
        </w:rPr>
      </w:pPr>
    </w:p>
    <w:p>
      <w:pPr>
        <w:ind w:left="872"/>
        <w:spacing w:after="0"/>
        <w:tabs>
          <w:tab w:leader="none" w:pos="2532"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color w:val="auto"/>
        </w:rPr>
        <w:t>LINE OF CREDIT.</w:t>
      </w:r>
    </w:p>
    <w:p>
      <w:pPr>
        <w:spacing w:after="0" w:line="216" w:lineRule="exact"/>
        <w:rPr>
          <w:sz w:val="20"/>
          <w:szCs w:val="20"/>
          <w:color w:val="auto"/>
        </w:rPr>
      </w:pPr>
    </w:p>
    <w:p>
      <w:pPr>
        <w:ind w:left="-8" w:right="100" w:firstLine="872"/>
        <w:spacing w:after="0" w:line="268" w:lineRule="auto"/>
        <w:tabs>
          <w:tab w:leader="none" w:pos="1579"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Line of Credit</w:t>
      </w:r>
      <w:r>
        <w:rPr>
          <w:rFonts w:ascii="Arial" w:cs="Arial" w:eastAsia="Arial" w:hAnsi="Arial"/>
          <w:sz w:val="18"/>
          <w:szCs w:val="18"/>
          <w:color w:val="auto"/>
        </w:rPr>
        <w:t>. Subject to the terms and conditions of this Agreement, Bank hereby agrees to make advances to Borrower from time to time up to and including August 15, 2022, not to exceed at any time the aggregate principal amount of THIRTY MILLION AND NO/100 DOLLARS ($30,000,000.00) ("Line of Credit"), the proceeds of which shall be used to provide working capital and for general corporate purposes; provided, however, that no portion of the proceeds of the Line of Credit will be used by the Borrower or any Subsidiary (i) in connection with, whether directly or indirectly, any tender offer for, or other acquisition of, stock of any corporation with a view towards obtaining control of such other corporation, unless such tender offer or other acquisition is to be made on a negotiated basis with the approval of the board of directors of the corporation to be acquired, and the provisions of Section 6.6 would not be violated,</w:t>
      </w:r>
    </w:p>
    <w:p>
      <w:pPr>
        <w:spacing w:after="0" w:line="4" w:lineRule="exact"/>
        <w:rPr>
          <w:rFonts w:ascii="Arial" w:cs="Arial" w:eastAsia="Arial" w:hAnsi="Arial"/>
          <w:sz w:val="18"/>
          <w:szCs w:val="18"/>
          <w:color w:val="auto"/>
        </w:rPr>
      </w:pPr>
    </w:p>
    <w:p>
      <w:pPr>
        <w:ind w:left="-8" w:right="120" w:firstLine="8"/>
        <w:spacing w:after="0" w:line="241" w:lineRule="auto"/>
        <w:tabs>
          <w:tab w:leader="none" w:pos="283" w:val="left"/>
        </w:tabs>
        <w:numPr>
          <w:ilvl w:val="0"/>
          <w:numId w:val="78"/>
        </w:numPr>
        <w:rPr>
          <w:rFonts w:ascii="Arial" w:cs="Arial" w:eastAsia="Arial" w:hAnsi="Arial"/>
          <w:sz w:val="20"/>
          <w:szCs w:val="20"/>
          <w:color w:val="auto"/>
        </w:rPr>
      </w:pPr>
      <w:r>
        <w:rPr>
          <w:rFonts w:ascii="Arial" w:cs="Arial" w:eastAsia="Arial" w:hAnsi="Arial"/>
          <w:sz w:val="20"/>
          <w:szCs w:val="20"/>
          <w:color w:val="auto"/>
        </w:rPr>
        <w:t>directly or indirectly, for the purpose, whether immediate, incidental or ultimate, of purchasing or carrying any Margin Stock (as hereinafter defined), or (iii) for any purpose in violation of any applicable law or regulation. Borrower's obligation to repay advances under the Line of Credit shall be evidenced by a promissory note dated as of the date hereof (as amended from time to time, the "Line of Credit Note"), all terms of which are incorporated herein by this reference.</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555" w:right="379" w:bottom="1440" w:gutter="0" w:footer="0" w:header="0"/>
        </w:sectPr>
      </w:pPr>
    </w:p>
    <w:bookmarkStart w:id="122" w:name="page123"/>
    <w:bookmarkEnd w:id="122"/>
    <w:p>
      <w:pPr>
        <w:ind w:left="-20" w:right="120" w:firstLine="872"/>
        <w:spacing w:after="0" w:line="260" w:lineRule="auto"/>
        <w:tabs>
          <w:tab w:leader="none" w:pos="157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Limitation on Borrowings</w:t>
      </w:r>
      <w:r>
        <w:rPr>
          <w:rFonts w:ascii="Arial" w:cs="Arial" w:eastAsia="Arial" w:hAnsi="Arial"/>
          <w:sz w:val="20"/>
          <w:szCs w:val="20"/>
          <w:color w:val="auto"/>
        </w:rPr>
        <w:t xml:space="preserve">. Outstanding borrowings under the Line of Credit shall not at any time exceed the maximum principal amount set forth above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the amount of the Culp Europe Reserve.</w:t>
      </w:r>
    </w:p>
    <w:p>
      <w:pPr>
        <w:spacing w:after="0" w:line="176" w:lineRule="exact"/>
        <w:rPr>
          <w:rFonts w:ascii="Arial" w:cs="Arial" w:eastAsia="Arial" w:hAnsi="Arial"/>
          <w:sz w:val="20"/>
          <w:szCs w:val="20"/>
          <w:color w:val="auto"/>
        </w:rPr>
      </w:pPr>
    </w:p>
    <w:p>
      <w:pPr>
        <w:ind w:left="-20" w:firstLine="872"/>
        <w:spacing w:after="0" w:line="268" w:lineRule="auto"/>
        <w:tabs>
          <w:tab w:leader="none" w:pos="15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Letter of Credit Subfeature</w:t>
      </w:r>
      <w:r>
        <w:rPr>
          <w:rFonts w:ascii="Arial" w:cs="Arial" w:eastAsia="Arial" w:hAnsi="Arial"/>
          <w:sz w:val="18"/>
          <w:szCs w:val="18"/>
          <w:color w:val="auto"/>
        </w:rPr>
        <w:t xml:space="preserve">. As a subfeature under the Line of Credit, Bank agrees from time to time during the term thereof to issue or cause an affiliate to issue standby letters of credit for the account of Borrower (each, a "New Letter of Credit"; the Existing Letter of Credit and each New Letter of Credit are herein referred to individually as a “Letter of Credit” and collectively as "Letters of Credit"); provided however, that the aggregate undrawn amount of all outstanding Letters of Credit shall not at any time exceed One Million and No/100 Dollars ($1,000,000.00). The form and substance of each Letter of Credit shall be subject to approval by Bank, in its sole discretion. Each Letter of Credit shall be issued for a term not to exceed seven hundred thirty (730) days, as designated by Borrower; provided however, that no Letter of Credit shall be issued with, nor shall Bank be required to renew or (if applicable) allow automatic renewal of any Letter of Credit so that it will have, an expiration date that is subsequent to the maturity date of the Line of Credit (with any such Letter of Credit with an expiration date subsequent to the maturity of the Line of Credit to be referred to as an “Extended Date Letter of Credit”)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Borrower, not less than ninety (90) days prior to the maturity date of the Line of Credit, provides Bank with cash collateral (which may be in addition to or, if agreed by Bank, may be a replacement for, such other collateral that may have been granted by Borrower to Bank, pursuant to this Agreement or otherwise), consisting of a deposit account maintained by Borrower with Bank in an amount that is not less than one hundred five percent (105%) of the undrawn amount of such Extended Date Letter of Credit, as evidenced by and subject to the security agreements and other documents as Bank shall reasonably require, all in form and substance satisfactory to Bank; and provided further, that in no event shall any Extended Date Letter of Credit have a then current expiration date more than three hundred sixty-five (365) days beyond the maturity date of the Line of Credit. The undrawn amount of all Letters of Credit shall be reserved under the Line of Credit and shall not be available for borrowings thereunder. Each Letter of Credit shall be subject to the additional terms and conditions of the Letter of Credit agreements, applications and any related documents required by Bank in connection with the issuance thereof (each, a “Letter of Credit Agreement”). Each drawing paid under a Letter of Credit shall be deemed an advance under the Line of Credit and shall be repaid by Borrower in accordance with the terms and conditions of this Agreement applicable to such advances; provided however, that if advances under the Line of Credit are not available, for any reason, at the time any drawing is paid, then Borrower shall immediately pay to Bank the full amount drawn, together with interest thereon from the date such drawing is paid to the date such amount is fully repaid by Borrower, at the rate of interest applicable to advances under the Line of Credit. In such event Borrower agrees that Bank, in its sole discretion, may debit any account maintained by Borrower with Bank for the amount of any such drawing.</w:t>
      </w:r>
    </w:p>
    <w:p>
      <w:pPr>
        <w:spacing w:after="0" w:line="176" w:lineRule="exact"/>
        <w:rPr>
          <w:rFonts w:ascii="Arial" w:cs="Arial" w:eastAsia="Arial" w:hAnsi="Arial"/>
          <w:sz w:val="18"/>
          <w:szCs w:val="18"/>
          <w:color w:val="auto"/>
        </w:rPr>
      </w:pPr>
    </w:p>
    <w:p>
      <w:pPr>
        <w:ind w:left="-20" w:right="120" w:firstLine="872"/>
        <w:spacing w:after="0" w:line="246" w:lineRule="auto"/>
        <w:tabs>
          <w:tab w:leader="none" w:pos="157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Borrowing and Repayment</w:t>
      </w:r>
      <w:r>
        <w:rPr>
          <w:rFonts w:ascii="Arial" w:cs="Arial" w:eastAsia="Arial" w:hAnsi="Arial"/>
          <w:sz w:val="20"/>
          <w:szCs w:val="20"/>
          <w:color w:val="auto"/>
        </w:rPr>
        <w:t>. Borrower may from time to time during the term of the Line of Credit borrow, partially or wholly repay its outstanding borrowings, and reborrow, subject to all of the limitations, terms and conditions contained herein or in the Line of Credit Note; provided however, that the total outstanding borrowings under the Line of Credit shall not at any time exceed the maximum principal amount available thereunder, as set forth above.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555" w:right="359" w:bottom="1440" w:gutter="0" w:footer="0" w:header="0"/>
        </w:sectPr>
      </w:pPr>
    </w:p>
    <w:bookmarkStart w:id="123" w:name="page124"/>
    <w:bookmarkEnd w:id="123"/>
    <w:p>
      <w:pPr>
        <w:ind w:left="880"/>
        <w:spacing w:after="0"/>
        <w:tabs>
          <w:tab w:leader="none" w:pos="254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color w:val="auto"/>
        </w:rPr>
        <w:t>INTEREST/FEES.</w:t>
      </w:r>
    </w:p>
    <w:p>
      <w:pPr>
        <w:spacing w:after="0" w:line="216" w:lineRule="exact"/>
        <w:rPr>
          <w:sz w:val="20"/>
          <w:szCs w:val="20"/>
          <w:color w:val="auto"/>
        </w:rPr>
      </w:pPr>
    </w:p>
    <w:p>
      <w:pPr>
        <w:ind w:right="60" w:firstLine="872"/>
        <w:spacing w:after="0" w:line="243" w:lineRule="auto"/>
        <w:tabs>
          <w:tab w:leader="none" w:pos="158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The outstanding principal balance of the Line of Credit shall bear interest, and the amount of each drawing paid under any Letter of Credit shall bear interest from the date such drawing is paid to the date such amount is fully repaid by Borrower, at a fluctuating rate per annum equal to the Daily One Month LIBOR in effect from time to time plus the Applicable Margin. Bank is hereby authorized to note the date and interest rate applicable to the Line of Credit and any payments made thereon on Bank's books and records (either manually or by electronic entry) and/or on any schedule attached to the Line of Credit Note, which notations shall be prima facie evidence of the accuracy of the information noted.</w:t>
      </w:r>
    </w:p>
    <w:p>
      <w:pPr>
        <w:spacing w:after="0" w:line="195" w:lineRule="exact"/>
        <w:rPr>
          <w:rFonts w:ascii="Arial" w:cs="Arial" w:eastAsia="Arial" w:hAnsi="Arial"/>
          <w:sz w:val="20"/>
          <w:szCs w:val="20"/>
          <w:color w:val="auto"/>
        </w:rPr>
      </w:pPr>
    </w:p>
    <w:p>
      <w:pPr>
        <w:ind w:firstLine="872"/>
        <w:spacing w:after="0" w:line="241" w:lineRule="auto"/>
        <w:tabs>
          <w:tab w:leader="none" w:pos="159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Taxes and Regulatory Costs</w:t>
      </w:r>
      <w:r>
        <w:rPr>
          <w:rFonts w:ascii="Arial" w:cs="Arial" w:eastAsia="Arial" w:hAnsi="Arial"/>
          <w:sz w:val="19"/>
          <w:szCs w:val="19"/>
          <w:color w:val="auto"/>
        </w:rPr>
        <w:t>. Borrower shall pay to Bank immediately upon demand, in addition to any other amounts due or to become due hereunder, any and all (i) withholdings, interest equalization taxes, stamp taxes or other taxes (except income and franchise taxes) imposed by any domestic or foreign governmental authority and related in any manner to LIBOR, and (ii) costs, expenses and liabilities arising from or in connection with reserve percentages prescribed by the Board of Governors of the Federal Reserve System (or any successor) for "Eurocurrency Liabilities" (as defined in Regulation D of the Federal Reserve Board, as amended), assessment rates imposed by the Federal Deposit Insurance Corporation, or similar requirements or costs imposed by any domestic or foreign governmental authority or resulting from compliance by Bank with any request or directive (whether or not having the force of law) from any central bank or other governmental authority and related in any manner to LIBOR. In determining which of the foregoing are attributable to any LIBOR option available to Borrower hereunder, any reasonable allocation made by Bank among its operations shall be conclusive and binding upon Borrower.</w:t>
      </w:r>
    </w:p>
    <w:p>
      <w:pPr>
        <w:spacing w:after="0" w:line="182" w:lineRule="exact"/>
        <w:rPr>
          <w:rFonts w:ascii="Arial" w:cs="Arial" w:eastAsia="Arial" w:hAnsi="Arial"/>
          <w:sz w:val="19"/>
          <w:szCs w:val="19"/>
          <w:color w:val="auto"/>
        </w:rPr>
      </w:pPr>
    </w:p>
    <w:p>
      <w:pPr>
        <w:ind w:right="100" w:firstLine="872"/>
        <w:spacing w:after="0" w:line="260" w:lineRule="auto"/>
        <w:tabs>
          <w:tab w:leader="none" w:pos="158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Computation and Payment</w:t>
      </w:r>
      <w:r>
        <w:rPr>
          <w:rFonts w:ascii="Arial" w:cs="Arial" w:eastAsia="Arial" w:hAnsi="Arial"/>
          <w:sz w:val="20"/>
          <w:szCs w:val="20"/>
          <w:color w:val="auto"/>
        </w:rPr>
        <w:t>. Interest shall be computed on the basis of a 360-day year, actual days elapsed. Interest shall be payable at the times and place set forth in the Line of Credit Note.</w:t>
      </w:r>
    </w:p>
    <w:p>
      <w:pPr>
        <w:spacing w:after="0" w:line="176" w:lineRule="exact"/>
        <w:rPr>
          <w:rFonts w:ascii="Arial" w:cs="Arial" w:eastAsia="Arial" w:hAnsi="Arial"/>
          <w:sz w:val="20"/>
          <w:szCs w:val="20"/>
          <w:color w:val="auto"/>
        </w:rPr>
      </w:pPr>
    </w:p>
    <w:p>
      <w:pPr>
        <w:ind w:right="280" w:firstLine="872"/>
        <w:spacing w:after="0" w:line="287" w:lineRule="auto"/>
        <w:tabs>
          <w:tab w:leader="none" w:pos="159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Borrower shall pay to Bank a non-refundable commitment fee for the Line of Credit equal to Forty Thousand and No/100 Dollars ($40,000.00), which fee shall be due and payable in full on the date of this Agreement.</w:t>
      </w:r>
    </w:p>
    <w:p>
      <w:pPr>
        <w:spacing w:after="0" w:line="152" w:lineRule="exact"/>
        <w:rPr>
          <w:rFonts w:ascii="Arial" w:cs="Arial" w:eastAsia="Arial" w:hAnsi="Arial"/>
          <w:sz w:val="19"/>
          <w:szCs w:val="19"/>
          <w:color w:val="auto"/>
        </w:rPr>
      </w:pPr>
    </w:p>
    <w:p>
      <w:pPr>
        <w:ind w:right="60" w:firstLine="872"/>
        <w:spacing w:after="0" w:line="244" w:lineRule="auto"/>
        <w:tabs>
          <w:tab w:leader="none" w:pos="158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Borrower shall pay to Bank (i) fees upon the issuance of each Letter of Credit equal to (x) the face amount thereof multiplied by (y) the Applicable Margin on an annualized basis, and (ii) fees upon the payment or negotiation of each drawing under any Letter of Credit and fees upon the occurrence of any other activity with respect to any Letter of Credit (including without limitation, the transfer, amendment or cancellation of any Letter of Credit) determined in accordance with Bank's standard fees and charges then in effect for such activity.</w:t>
      </w:r>
    </w:p>
    <w:p>
      <w:pPr>
        <w:spacing w:after="0" w:line="194" w:lineRule="exact"/>
        <w:rPr>
          <w:sz w:val="20"/>
          <w:szCs w:val="20"/>
          <w:color w:val="auto"/>
        </w:rPr>
      </w:pPr>
    </w:p>
    <w:p>
      <w:pPr>
        <w:ind w:right="20" w:firstLine="864"/>
        <w:spacing w:after="0" w:line="246" w:lineRule="auto"/>
        <w:rPr>
          <w:sz w:val="20"/>
          <w:szCs w:val="20"/>
          <w:color w:val="auto"/>
        </w:rPr>
      </w:pPr>
      <w:r>
        <w:rPr>
          <w:rFonts w:ascii="Arial" w:cs="Arial" w:eastAsia="Arial" w:hAnsi="Arial"/>
          <w:sz w:val="20"/>
          <w:szCs w:val="20"/>
          <w:color w:val="auto"/>
        </w:rPr>
        <w:t>SECTION 2.3. COLLECTION OF PAYMENTS. Borrower authorizes Bank to collect all principal, interest and fees due hereunder by charging Borrower's deposit account number 2040230014183 with Bank, or any other deposit account maintained by Borrower with Bank, for the full amount thereof. Should there be insufficient funds in any such deposit account to pay all such sums when due, the full amount of such deficiency shall be immediately due and payable by Borrower.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4" w:name="page125"/>
    <w:bookmarkEnd w:id="124"/>
    <w:p>
      <w:pPr>
        <w:ind w:right="20" w:firstLine="864"/>
        <w:spacing w:after="0" w:line="250" w:lineRule="auto"/>
        <w:rPr>
          <w:sz w:val="20"/>
          <w:szCs w:val="20"/>
          <w:color w:val="auto"/>
        </w:rPr>
      </w:pPr>
      <w:r>
        <w:rPr>
          <w:rFonts w:ascii="Arial" w:cs="Arial" w:eastAsia="Arial" w:hAnsi="Arial"/>
          <w:sz w:val="20"/>
          <w:szCs w:val="20"/>
          <w:color w:val="auto"/>
        </w:rPr>
        <w:t>SECTION 2.4. BENCHMARK REPLACEMENT PROVISIONS. Notwithstanding anything to the contrary contained in this Agreement, in the Line of Credit Note or in any related Loan Document (for the purposes of these Benchmark Replacement Provisions, a Swap Agreement is not a Loan Document):</w:t>
      </w:r>
    </w:p>
    <w:p>
      <w:pPr>
        <w:spacing w:after="0" w:line="186" w:lineRule="exact"/>
        <w:rPr>
          <w:sz w:val="20"/>
          <w:szCs w:val="20"/>
          <w:color w:val="auto"/>
        </w:rPr>
      </w:pPr>
    </w:p>
    <w:p>
      <w:pPr>
        <w:jc w:val="both"/>
        <w:ind w:firstLine="872"/>
        <w:spacing w:after="0" w:line="246" w:lineRule="auto"/>
        <w:tabs>
          <w:tab w:leader="none" w:pos="1587"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If a Benchmark Transition Event or an Early Opt-in Election, as applicable, occurs, the applicable Benchmark Replacement will replace the then-current Benchmark for all purposes under this Agreement, the Line of Credit Note or any related Loan Document. Any Benchmark Replacement will become effective on the applicable Benchmark Replacement Date without any further action or consent of Borrower.</w:t>
      </w:r>
    </w:p>
    <w:p>
      <w:pPr>
        <w:spacing w:after="0" w:line="191" w:lineRule="exact"/>
        <w:rPr>
          <w:rFonts w:ascii="Arial" w:cs="Arial" w:eastAsia="Arial" w:hAnsi="Arial"/>
          <w:sz w:val="20"/>
          <w:szCs w:val="20"/>
          <w:color w:val="auto"/>
        </w:rPr>
      </w:pPr>
    </w:p>
    <w:p>
      <w:pPr>
        <w:jc w:val="both"/>
        <w:ind w:firstLine="872"/>
        <w:spacing w:after="0" w:line="250" w:lineRule="auto"/>
        <w:tabs>
          <w:tab w:leader="none" w:pos="1598"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Bank will have the right to make Benchmark Replacement Conforming Changes from time to time, and any amendments implementing such Benchmark Replacement Conforming Changes will become effective without any further action or consent of Borrower.</w:t>
      </w:r>
    </w:p>
    <w:p>
      <w:pPr>
        <w:spacing w:after="0" w:line="185" w:lineRule="exact"/>
        <w:rPr>
          <w:rFonts w:ascii="Arial" w:cs="Arial" w:eastAsia="Arial" w:hAnsi="Arial"/>
          <w:sz w:val="20"/>
          <w:szCs w:val="20"/>
          <w:color w:val="auto"/>
        </w:rPr>
      </w:pPr>
    </w:p>
    <w:p>
      <w:pPr>
        <w:jc w:val="both"/>
        <w:ind w:firstLine="872"/>
        <w:spacing w:after="0" w:line="276" w:lineRule="auto"/>
        <w:tabs>
          <w:tab w:leader="none" w:pos="158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Bank will promptly notify Borrower of (i) any occurrence of a Benchmark Transition Event or an Early Opt-in Election, as applicable, (ii) the implementation of any Benchmark Replacement, and (iii) the effectiveness of any Benchmark Replacement Conforming Changes. Any determination, decision or election that may be made by Bank pursuant to these Benchmark Replacement Provisions, including any determination with respect to a tenor, rate or adjustment or of the occurrence or non-occurrence of an event, circumstance or date and any decision to take or refrain from taking any action or any selection, will be conclusive and binding absent manifest error and will be made in its sole discretion and without Borrower consent.</w:t>
      </w:r>
    </w:p>
    <w:p>
      <w:pPr>
        <w:spacing w:after="0" w:line="164" w:lineRule="exact"/>
        <w:rPr>
          <w:rFonts w:ascii="Arial" w:cs="Arial" w:eastAsia="Arial" w:hAnsi="Arial"/>
          <w:sz w:val="18"/>
          <w:szCs w:val="18"/>
          <w:color w:val="auto"/>
        </w:rPr>
      </w:pPr>
    </w:p>
    <w:p>
      <w:pPr>
        <w:ind w:left="1600" w:hanging="728"/>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Note, each of the following capitalized terms has the meaning given to such term</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below:</w:t>
      </w:r>
    </w:p>
    <w:p>
      <w:pPr>
        <w:spacing w:after="0" w:line="199" w:lineRule="exact"/>
        <w:rPr>
          <w:rFonts w:ascii="Arial" w:cs="Arial" w:eastAsia="Arial" w:hAnsi="Arial"/>
          <w:sz w:val="18"/>
          <w:szCs w:val="18"/>
          <w:color w:val="auto"/>
        </w:rPr>
      </w:pPr>
    </w:p>
    <w:p>
      <w:pPr>
        <w:jc w:val="both"/>
        <w:ind w:firstLine="1735"/>
        <w:spacing w:after="0" w:line="246" w:lineRule="auto"/>
        <w:tabs>
          <w:tab w:leader="none" w:pos="2418" w:val="left"/>
        </w:tabs>
        <w:numPr>
          <w:ilvl w:val="1"/>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LIBOR (including Daily One Month LIBOR, if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w:t>
      </w:r>
      <w:r>
        <w:rPr>
          <w:rFonts w:ascii="Arial" w:cs="Arial" w:eastAsia="Arial" w:hAnsi="Arial"/>
          <w:sz w:val="20"/>
          <w:szCs w:val="20"/>
          <w:color w:val="auto"/>
        </w:rPr>
        <w:t>r, that if a Benchmark Transition Event or an Early Opt-in Election, as applicable, has occurred with respect to LIBOR or the then-current Benchmark, then “Benchmark” means the applicable Benchmark Replacement to the extent that such Benchmark Replacement has become effective pursuant to the provisions of this Agreement.</w:t>
      </w:r>
    </w:p>
    <w:p>
      <w:pPr>
        <w:spacing w:after="0" w:line="191" w:lineRule="exact"/>
        <w:rPr>
          <w:rFonts w:ascii="Arial" w:cs="Arial" w:eastAsia="Arial" w:hAnsi="Arial"/>
          <w:sz w:val="20"/>
          <w:szCs w:val="20"/>
          <w:color w:val="auto"/>
        </w:rPr>
      </w:pPr>
    </w:p>
    <w:p>
      <w:pPr>
        <w:jc w:val="both"/>
        <w:ind w:firstLine="1735"/>
        <w:spacing w:after="0" w:line="250" w:lineRule="auto"/>
        <w:tabs>
          <w:tab w:leader="none" w:pos="2473" w:val="left"/>
        </w:tabs>
        <w:numPr>
          <w:ilvl w:val="1"/>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Administrator</w:t>
      </w:r>
      <w:r>
        <w:rPr>
          <w:rFonts w:ascii="Arial" w:cs="Arial" w:eastAsia="Arial" w:hAnsi="Arial"/>
          <w:sz w:val="20"/>
          <w:szCs w:val="20"/>
          <w:color w:val="auto"/>
        </w:rPr>
        <w:t>” means, initially, ICE Benchmark Administration Limited, a United Kingdom company, or any successor administrator of the then-current Benchmark or any insolvency or resolution official with authority over such administrator.</w:t>
      </w:r>
    </w:p>
    <w:p>
      <w:pPr>
        <w:spacing w:after="0" w:line="185" w:lineRule="exact"/>
        <w:rPr>
          <w:rFonts w:ascii="Arial" w:cs="Arial" w:eastAsia="Arial" w:hAnsi="Arial"/>
          <w:sz w:val="20"/>
          <w:szCs w:val="20"/>
          <w:color w:val="auto"/>
        </w:rPr>
      </w:pPr>
    </w:p>
    <w:p>
      <w:pPr>
        <w:ind w:firstLine="1735"/>
        <w:spacing w:after="0" w:line="260" w:lineRule="auto"/>
        <w:tabs>
          <w:tab w:leader="none" w:pos="2528" w:val="left"/>
        </w:tabs>
        <w:numPr>
          <w:ilvl w:val="1"/>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the first alternative set forth in the order below that can be determined by Bank as of the applicable Benchmark Replacement Date:</w:t>
      </w:r>
    </w:p>
    <w:p>
      <w:pPr>
        <w:spacing w:after="0" w:line="176" w:lineRule="exact"/>
        <w:rPr>
          <w:rFonts w:ascii="Arial" w:cs="Arial" w:eastAsia="Arial" w:hAnsi="Arial"/>
          <w:sz w:val="20"/>
          <w:szCs w:val="20"/>
          <w:color w:val="auto"/>
        </w:rPr>
      </w:pPr>
    </w:p>
    <w:p>
      <w:pPr>
        <w:jc w:val="both"/>
        <w:ind w:firstLine="2600"/>
        <w:spacing w:after="0" w:line="243" w:lineRule="auto"/>
        <w:tabs>
          <w:tab w:leader="none" w:pos="3386" w:val="left"/>
        </w:tabs>
        <w:numPr>
          <w:ilvl w:val="2"/>
          <w:numId w:val="81"/>
        </w:numPr>
        <w:rPr>
          <w:rFonts w:ascii="Arial" w:cs="Arial" w:eastAsia="Arial" w:hAnsi="Arial"/>
          <w:sz w:val="20"/>
          <w:szCs w:val="20"/>
          <w:color w:val="auto"/>
        </w:rPr>
      </w:pPr>
      <w:r>
        <w:rPr>
          <w:rFonts w:ascii="Arial" w:cs="Arial" w:eastAsia="Arial" w:hAnsi="Arial"/>
          <w:sz w:val="20"/>
          <w:szCs w:val="20"/>
          <w:color w:val="auto"/>
        </w:rPr>
        <w:t xml:space="preserve">the sum of: (A) Term SOFR or, if Bank determines that Term SOFR for the Corresponding Tenor cannot be determined, Term SOFR for the longest tenor that can be determined by Bank that is shorter than the Corresponding Tenor, and (B) the spread adjustment, or method for calculating or determining such spread adjustment (which may be a positive or negative value or zero) that has been selected or recommended by the Relevant Governmental Body for Term SOFR;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clause (1) shall not apply (i) to any borrowings under the Line of Credit if a Swap Agreement is in effect with respect to all or any portion of the Line of Credit as of the Benchmark Transition Event or Early Opt-in Election, and (ii) to any borrowings under the Line of Credit that bear interest at Daily One Month LIBOR;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5" w:name="page126"/>
    <w:bookmarkEnd w:id="125"/>
    <w:p>
      <w:pPr>
        <w:jc w:val="both"/>
        <w:ind w:firstLine="2600"/>
        <w:spacing w:after="0" w:line="282" w:lineRule="auto"/>
        <w:tabs>
          <w:tab w:leader="none" w:pos="33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sum of: (A) the alternate rate of interest that has been selected by Bank as the replacement for the then-current Benchmark for the Corresponding Tenor (which, without limitation, may be compounded SOFR in arrears, term SOFR, Bank’s Prime Rate, or another benchmark selected by Bank); and (B) the applicable spread adjustment or method for calculating or determining such spread adjustment, (which may be a positive or negative value or zero) that has been selected by Bank.</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respect to Bank’s decisions under this paragraph (2):</w:t>
      </w:r>
    </w:p>
    <w:p>
      <w:pPr>
        <w:spacing w:after="0" w:line="216" w:lineRule="exact"/>
        <w:rPr>
          <w:sz w:val="20"/>
          <w:szCs w:val="20"/>
          <w:color w:val="auto"/>
        </w:rPr>
      </w:pPr>
    </w:p>
    <w:p>
      <w:pPr>
        <w:jc w:val="both"/>
        <w:ind w:firstLine="3464"/>
        <w:spacing w:after="0" w:line="278" w:lineRule="auto"/>
        <w:tabs>
          <w:tab w:leader="none" w:pos="41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 Swap Agreement relating to a portion of the line of Credit is in effect as of the Benchmark Transition Event or Early Opt-in Election, then Bank may without limitation, select (i) the benchmark referenced in the Swap Agreement, which may be the sum of a fallback rate and spread adjustment, for the entire balance of the Line of Credit, or (ii) the benchmark referenced in the Swap Agreement, which may be the sum of a fallback rate and spread adjustment, for the hedged portion of the Line of Credit, and the applicable Benchmark Replacement for the remaining non-hedged portion of the Line of Credit; and</w:t>
      </w:r>
    </w:p>
    <w:p>
      <w:pPr>
        <w:spacing w:after="0" w:line="164" w:lineRule="exact"/>
        <w:rPr>
          <w:rFonts w:ascii="Arial" w:cs="Arial" w:eastAsia="Arial" w:hAnsi="Arial"/>
          <w:sz w:val="18"/>
          <w:szCs w:val="18"/>
          <w:color w:val="auto"/>
        </w:rPr>
      </w:pPr>
    </w:p>
    <w:p>
      <w:pPr>
        <w:ind w:left="4200" w:hanging="736"/>
        <w:spacing w:after="0"/>
        <w:tabs>
          <w:tab w:leader="none" w:pos="42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case of a replacement rate for Daily One Month LIBOR, Bank may, without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limitation, select SOFR notwithstanding the availability or feasibility of determining a daily one month SOFR; and</w:t>
      </w:r>
    </w:p>
    <w:p>
      <w:pPr>
        <w:spacing w:after="0" w:line="199" w:lineRule="exact"/>
        <w:rPr>
          <w:rFonts w:ascii="Arial" w:cs="Arial" w:eastAsia="Arial" w:hAnsi="Arial"/>
          <w:sz w:val="19"/>
          <w:szCs w:val="19"/>
          <w:color w:val="auto"/>
        </w:rPr>
      </w:pPr>
    </w:p>
    <w:p>
      <w:pPr>
        <w:jc w:val="both"/>
        <w:ind w:firstLine="3464"/>
        <w:spacing w:after="0" w:line="243" w:lineRule="auto"/>
        <w:tabs>
          <w:tab w:leader="none" w:pos="41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Bank’s selection of any applicable Benchmark Replacement shall give due consideration to (i) any selection or recommendation by the Relevant Governmental Body at such time for a replacement rate, the mechanism for determining such a rate, the methodology or conventions applicable to such rate, or the spread adjustment, or method for calculating or determining such spread adjustment, for such rate, or (ii) any evolving or then-prevailing market convention for determining a rate of interest as a replacement to the then-current Benchmark, the methodology or conventions applicable to such rate, or the spread adjustment, or method for calculating or determining such spread adjustment, for such alternate rate for U.S. dollar-denominated syndicated or bilateral credit facilities at such time.</w:t>
      </w:r>
    </w:p>
    <w:p>
      <w:pPr>
        <w:spacing w:after="0" w:line="193"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w:t>
      </w:r>
      <w:r>
        <w:rPr>
          <w:rFonts w:ascii="Arial" w:cs="Arial" w:eastAsia="Arial" w:hAnsi="Arial"/>
          <w:sz w:val="20"/>
          <w:szCs w:val="20"/>
          <w:color w:val="auto"/>
        </w:rPr>
        <w:t>r, during any period of time that the Benchmark Replacement would be less than zero percent (0.0%), the Benchmark Replacement shall be deemed to be zero percent (0.0%) for the purposes of this Agreement, the Line of Credit Note and the related Loan Documents, subject to any applicable floor rate provision.</w:t>
      </w:r>
    </w:p>
    <w:p>
      <w:pPr>
        <w:spacing w:after="0" w:line="186" w:lineRule="exact"/>
        <w:rPr>
          <w:sz w:val="20"/>
          <w:szCs w:val="20"/>
          <w:color w:val="auto"/>
        </w:rPr>
      </w:pPr>
    </w:p>
    <w:p>
      <w:pPr>
        <w:jc w:val="both"/>
        <w:ind w:right="20" w:firstLine="2600"/>
        <w:spacing w:after="0" w:line="282" w:lineRule="auto"/>
        <w:tabs>
          <w:tab w:leader="none" w:pos="3382"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any technical, administrative or operational changes (including, without limitation, changes to the definition of “Interest Period,” timing and frequency of determining rates and making payments of interest, prepayment provisions and other administrative matters) that Bank decides may be appropriate to reflect the adoption and implementation of such Benchmark Replacement and to permit the administration thereof by Bank.</w:t>
      </w:r>
    </w:p>
    <w:p>
      <w:pPr>
        <w:spacing w:after="0" w:line="161" w:lineRule="exact"/>
        <w:rPr>
          <w:rFonts w:ascii="Arial" w:cs="Arial" w:eastAsia="Arial" w:hAnsi="Arial"/>
          <w:sz w:val="18"/>
          <w:szCs w:val="18"/>
          <w:color w:val="auto"/>
        </w:rPr>
      </w:pPr>
    </w:p>
    <w:p>
      <w:pPr>
        <w:ind w:firstLine="2600"/>
        <w:spacing w:after="0" w:line="260" w:lineRule="auto"/>
        <w:tabs>
          <w:tab w:leader="none" w:pos="3327"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date specified by Bank in a notice to Borrower following a Benchmark Transition Event or Early Opt-in Election.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6" w:name="page127"/>
    <w:bookmarkEnd w:id="126"/>
    <w:p>
      <w:pPr>
        <w:jc w:val="both"/>
        <w:ind w:firstLine="2600"/>
        <w:spacing w:after="0" w:line="282" w:lineRule="auto"/>
        <w:tabs>
          <w:tab w:leader="none" w:pos="3382"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then-current Benchmark: a public statement or publication of information by or on behalf of the Benchmark Administrator or a regulatory supervisor for the Benchmark Administrator announcing that (A) the Benchmark Administrator has ceased or will cease to provide the Benchmark permanently or indefinitely or (B) the Benchmark is no longer representative of underlying markets.</w:t>
      </w:r>
    </w:p>
    <w:p>
      <w:pPr>
        <w:spacing w:after="0" w:line="161" w:lineRule="exact"/>
        <w:rPr>
          <w:rFonts w:ascii="Arial" w:cs="Arial" w:eastAsia="Arial" w:hAnsi="Arial"/>
          <w:sz w:val="18"/>
          <w:szCs w:val="18"/>
          <w:color w:val="auto"/>
        </w:rPr>
      </w:pPr>
    </w:p>
    <w:p>
      <w:pPr>
        <w:ind w:left="3440" w:hanging="840"/>
        <w:spacing w:after="0"/>
        <w:tabs>
          <w:tab w:leader="none" w:pos="34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means a tenor having approximately the same length as the Interest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Period, provided, however, that the Corresponding Tenor for Daily One Month LIBOR shall be one day.</w:t>
      </w:r>
    </w:p>
    <w:p>
      <w:pPr>
        <w:spacing w:after="0" w:line="199" w:lineRule="exact"/>
        <w:rPr>
          <w:rFonts w:ascii="Arial" w:cs="Arial" w:eastAsia="Arial" w:hAnsi="Arial"/>
          <w:sz w:val="19"/>
          <w:szCs w:val="19"/>
          <w:color w:val="auto"/>
        </w:rPr>
      </w:pPr>
    </w:p>
    <w:p>
      <w:pPr>
        <w:jc w:val="both"/>
        <w:ind w:firstLine="2600"/>
        <w:spacing w:after="0" w:line="244" w:lineRule="auto"/>
        <w:tabs>
          <w:tab w:leader="none" w:pos="3492"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xml:space="preserve">” means the election by Bank to declare that the Benchmark will be replaced prior to the occurrence of a Benchmark Transition Event and the provision by Bank of written notice of such election to Borrower indicating that at least five (5) currently outstanding U.S. dollar-denominated syndicated credit facilities at such time contain (as a result of amendment or as originally executed) Term 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 spread adjustment that has been selected or recommended by the Relevant Governmental Body.</w:t>
      </w:r>
    </w:p>
    <w:p>
      <w:pPr>
        <w:spacing w:after="0" w:line="194" w:lineRule="exact"/>
        <w:rPr>
          <w:rFonts w:ascii="Arial" w:cs="Arial" w:eastAsia="Arial" w:hAnsi="Arial"/>
          <w:sz w:val="20"/>
          <w:szCs w:val="20"/>
          <w:color w:val="auto"/>
        </w:rPr>
      </w:pPr>
    </w:p>
    <w:p>
      <w:pPr>
        <w:ind w:firstLine="2600"/>
        <w:spacing w:after="0" w:line="260" w:lineRule="auto"/>
        <w:tabs>
          <w:tab w:leader="none" w:pos="338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initially, the applicable LIBOR interest period, and if a Benchmark Replacement is applicable, the tenor of the Benchmark Replacement.</w:t>
      </w:r>
    </w:p>
    <w:p>
      <w:pPr>
        <w:spacing w:after="0" w:line="176" w:lineRule="exact"/>
        <w:rPr>
          <w:rFonts w:ascii="Arial" w:cs="Arial" w:eastAsia="Arial" w:hAnsi="Arial"/>
          <w:sz w:val="20"/>
          <w:szCs w:val="20"/>
          <w:color w:val="auto"/>
        </w:rPr>
      </w:pPr>
    </w:p>
    <w:p>
      <w:pPr>
        <w:jc w:val="both"/>
        <w:ind w:firstLine="2600"/>
        <w:spacing w:after="0" w:line="250" w:lineRule="auto"/>
        <w:tabs>
          <w:tab w:leader="none" w:pos="33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85" w:lineRule="exact"/>
        <w:rPr>
          <w:rFonts w:ascii="Arial" w:cs="Arial" w:eastAsia="Arial" w:hAnsi="Arial"/>
          <w:sz w:val="20"/>
          <w:szCs w:val="20"/>
          <w:color w:val="auto"/>
        </w:rPr>
      </w:pPr>
    </w:p>
    <w:p>
      <w:pPr>
        <w:ind w:left="3380" w:hanging="780"/>
        <w:spacing w:after="0"/>
        <w:tabs>
          <w:tab w:leader="none" w:pos="3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day by the Federal Reserve Bank of New York, as the administrator thereof, (or a successor administrator) on its website.</w:t>
      </w:r>
    </w:p>
    <w:p>
      <w:pPr>
        <w:ind w:left="3440" w:hanging="840"/>
        <w:spacing w:after="0"/>
        <w:tabs>
          <w:tab w:leader="none" w:pos="3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means a swap agreement by and between Borrower and Bank or its affiliates.</w:t>
      </w:r>
    </w:p>
    <w:p>
      <w:pPr>
        <w:spacing w:after="0" w:line="222" w:lineRule="exact"/>
        <w:rPr>
          <w:rFonts w:ascii="Arial" w:cs="Arial" w:eastAsia="Arial" w:hAnsi="Arial"/>
          <w:sz w:val="18"/>
          <w:szCs w:val="18"/>
          <w:color w:val="auto"/>
        </w:rPr>
      </w:pPr>
    </w:p>
    <w:p>
      <w:pPr>
        <w:ind w:firstLine="2600"/>
        <w:spacing w:after="0" w:line="260" w:lineRule="auto"/>
        <w:tabs>
          <w:tab w:leader="none" w:pos="3492"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the Corresponding Tenor based on SOFR that has been selected or recommended by the Relevant Governmental Body.”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III</w:t>
      </w: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Borrower represents and warrants to Bank as follows:</w:t>
      </w:r>
    </w:p>
    <w:p>
      <w:pPr>
        <w:spacing w:after="0" w:line="216" w:lineRule="exact"/>
        <w:rPr>
          <w:sz w:val="20"/>
          <w:szCs w:val="20"/>
          <w:color w:val="auto"/>
        </w:rPr>
      </w:pPr>
    </w:p>
    <w:p>
      <w:pPr>
        <w:ind w:right="300" w:firstLine="864"/>
        <w:spacing w:after="0" w:line="263" w:lineRule="auto"/>
        <w:rPr>
          <w:sz w:val="20"/>
          <w:szCs w:val="20"/>
          <w:color w:val="auto"/>
        </w:rPr>
      </w:pPr>
      <w:r>
        <w:rPr>
          <w:rFonts w:ascii="Arial" w:cs="Arial" w:eastAsia="Arial" w:hAnsi="Arial"/>
          <w:sz w:val="19"/>
          <w:szCs w:val="19"/>
          <w:color w:val="auto"/>
        </w:rPr>
        <w:t>SECTION 3.1. LEGAL STATUS. Borrower is a corporation, duly organized and existing and in good standing under the laws of North Carolina, and is qualified or licensed to do business (and is in good standing as a foreign corporation, if applicable) in all jurisdictions in which such qualification or licensing is required except for any jurisdictions in which the failure to so qualify or to be so licensed does not have and would not reasonably be expected to cause a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7" w:name="page128"/>
    <w:bookmarkEnd w:id="127"/>
    <w:p>
      <w:pPr>
        <w:jc w:val="both"/>
        <w:ind w:right="40" w:firstLine="864"/>
        <w:spacing w:after="0" w:line="282" w:lineRule="auto"/>
        <w:rPr>
          <w:sz w:val="20"/>
          <w:szCs w:val="20"/>
          <w:color w:val="auto"/>
        </w:rPr>
      </w:pPr>
      <w:r>
        <w:rPr>
          <w:rFonts w:ascii="Arial" w:cs="Arial" w:eastAsia="Arial" w:hAnsi="Arial"/>
          <w:sz w:val="18"/>
          <w:szCs w:val="18"/>
          <w:color w:val="auto"/>
        </w:rPr>
        <w:t>SECTION 3.2. AUTHORIZATION AND VALIDITY. This Agreement and each promissory note, contract, instrument and other document required hereby or at any time hereafter delivered to Bank in connection herewith (collectively, the "Loan Documents") have been duly authorized, and upon their execution and delivery in accordance with the provisions hereof will constitute legal, valid and binding agreements and obligations of Borrower or the party which executes the same, enforceable in accordance with their respective terms.</w:t>
      </w:r>
    </w:p>
    <w:p>
      <w:pPr>
        <w:spacing w:after="0" w:line="161" w:lineRule="exact"/>
        <w:rPr>
          <w:sz w:val="20"/>
          <w:szCs w:val="20"/>
          <w:color w:val="auto"/>
        </w:rPr>
      </w:pPr>
    </w:p>
    <w:p>
      <w:pPr>
        <w:ind w:right="20" w:firstLine="864"/>
        <w:spacing w:after="0" w:line="246" w:lineRule="auto"/>
        <w:rPr>
          <w:sz w:val="20"/>
          <w:szCs w:val="20"/>
          <w:color w:val="auto"/>
        </w:rPr>
      </w:pPr>
      <w:r>
        <w:rPr>
          <w:rFonts w:ascii="Arial" w:cs="Arial" w:eastAsia="Arial" w:hAnsi="Arial"/>
          <w:sz w:val="20"/>
          <w:szCs w:val="20"/>
          <w:color w:val="auto"/>
        </w:rPr>
        <w:t>SECTION 3.3. NO VIOLATION. The execution, delivery and performance by Borrower of each of the Loan Documents do not violate any provision of any law or regulation, or contravene any provision of the Articles of Incorporation or By-Laws of Borrower, or result in any breach of or default under any contract, obligation, indenture or other instrument to which Borrower is a party or by which Borrower may be bound.</w:t>
      </w:r>
    </w:p>
    <w:p>
      <w:pPr>
        <w:spacing w:after="0" w:line="191" w:lineRule="exact"/>
        <w:rPr>
          <w:sz w:val="20"/>
          <w:szCs w:val="20"/>
          <w:color w:val="auto"/>
        </w:rPr>
      </w:pPr>
    </w:p>
    <w:p>
      <w:pPr>
        <w:ind w:right="120" w:firstLine="864"/>
        <w:spacing w:after="0" w:line="246" w:lineRule="auto"/>
        <w:rPr>
          <w:sz w:val="20"/>
          <w:szCs w:val="20"/>
          <w:color w:val="auto"/>
        </w:rPr>
      </w:pPr>
      <w:r>
        <w:rPr>
          <w:rFonts w:ascii="Arial" w:cs="Arial" w:eastAsia="Arial" w:hAnsi="Arial"/>
          <w:sz w:val="20"/>
          <w:szCs w:val="20"/>
          <w:color w:val="auto"/>
        </w:rPr>
        <w:t>SECTION 3.4. LITIGATION. There are no pending, or to the best of Borrower's knowledge threatened, actions, claims, investigations, suits or proceedings by or before any governmental authority, arbitrator, court or administrative agency which could have a Material Adverse Effect on the financial condition or operation of Borrower other than those disclosed by Borrower to Bank in writing prior to the date hereof.</w:t>
      </w:r>
    </w:p>
    <w:p>
      <w:pPr>
        <w:spacing w:after="0" w:line="191" w:lineRule="exact"/>
        <w:rPr>
          <w:sz w:val="20"/>
          <w:szCs w:val="20"/>
          <w:color w:val="auto"/>
        </w:rPr>
      </w:pPr>
    </w:p>
    <w:p>
      <w:pPr>
        <w:ind w:firstLine="864"/>
        <w:spacing w:after="0" w:line="271" w:lineRule="auto"/>
        <w:rPr>
          <w:sz w:val="20"/>
          <w:szCs w:val="20"/>
          <w:color w:val="auto"/>
        </w:rPr>
      </w:pPr>
      <w:r>
        <w:rPr>
          <w:rFonts w:ascii="Arial" w:cs="Arial" w:eastAsia="Arial" w:hAnsi="Arial"/>
          <w:sz w:val="18"/>
          <w:szCs w:val="18"/>
          <w:color w:val="auto"/>
        </w:rPr>
        <w:t>SECTION 3.5. CORRECTNESS OF FINANCIAL STATEMENTS. The consolidated balance sheet of Borrower and its Consolidated Subsidiaries as of April 28, 2013, and the related consolidated statements of income, shareholders’ equity and cash flows for the fiscal year then ended, reported on by Grant Thornton LLP, true copies of which have been delivered by Borrower to Bank prior to the date hereof, (a) are complete and correct and present fairly the consolidated financial condition of Borrower and its Consolidated Subsidiaries as of such dates and their consolidated results of operations and cash flows for such periods stated, (b) disclose all liabilities of Borrower and its Consolidated Subsidiaries that are required to be reflected or reserved against under generally accepted accounting principles, whether liquidated or unliquidated, fixed or contingent, and (c) have been prepared in accordance with generally accepted accounting principles consistently applied. Since the dates of such financial statements there has been no Material Adverse Change in the financial condition of Borrower, nor has Borrower mortgaged, pledged, granted a security interest in or otherwise encumbered any of its assets or properties except in favor of Bank or as otherwise permitted by Bank in writing.</w:t>
      </w:r>
    </w:p>
    <w:p>
      <w:pPr>
        <w:spacing w:after="0" w:line="174" w:lineRule="exact"/>
        <w:rPr>
          <w:sz w:val="20"/>
          <w:szCs w:val="20"/>
          <w:color w:val="auto"/>
        </w:rPr>
      </w:pPr>
    </w:p>
    <w:p>
      <w:pPr>
        <w:ind w:right="200" w:firstLine="864"/>
        <w:spacing w:after="0" w:line="260" w:lineRule="auto"/>
        <w:rPr>
          <w:sz w:val="20"/>
          <w:szCs w:val="20"/>
          <w:color w:val="auto"/>
        </w:rPr>
      </w:pPr>
      <w:r>
        <w:rPr>
          <w:rFonts w:ascii="Arial" w:cs="Arial" w:eastAsia="Arial" w:hAnsi="Arial"/>
          <w:sz w:val="20"/>
          <w:szCs w:val="20"/>
          <w:color w:val="auto"/>
        </w:rPr>
        <w:t>SECTION 3.6. INCOME TAX RETURNS. Borrower has no knowledge of any pending assessments or adjustments of its income tax payable with respect to any year.</w:t>
      </w:r>
    </w:p>
    <w:p>
      <w:pPr>
        <w:spacing w:after="0" w:line="177" w:lineRule="exact"/>
        <w:rPr>
          <w:sz w:val="20"/>
          <w:szCs w:val="20"/>
          <w:color w:val="auto"/>
        </w:rPr>
      </w:pPr>
    </w:p>
    <w:p>
      <w:pPr>
        <w:ind w:right="40" w:firstLine="864"/>
        <w:spacing w:after="0" w:line="250" w:lineRule="auto"/>
        <w:rPr>
          <w:sz w:val="20"/>
          <w:szCs w:val="20"/>
          <w:color w:val="auto"/>
        </w:rPr>
      </w:pPr>
      <w:r>
        <w:rPr>
          <w:rFonts w:ascii="Arial" w:cs="Arial" w:eastAsia="Arial" w:hAnsi="Arial"/>
          <w:sz w:val="20"/>
          <w:szCs w:val="20"/>
          <w:color w:val="auto"/>
        </w:rPr>
        <w:t>SECTION 3.7. NO SUBORDINATION. There is no agreement, indenture, contract or instrument to which Borrower is a party or by which Borrower may be bound that requires the subordination in right of payment of any of Borrower's obligations subject to this Agreement to any other obligation of Borrower.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128" w:name="page129"/>
    <w:bookmarkEnd w:id="128"/>
    <w:p>
      <w:pPr>
        <w:ind w:right="40" w:firstLine="864"/>
        <w:spacing w:after="0" w:line="328" w:lineRule="auto"/>
        <w:rPr>
          <w:sz w:val="20"/>
          <w:szCs w:val="20"/>
          <w:color w:val="auto"/>
        </w:rPr>
      </w:pPr>
      <w:r>
        <w:rPr>
          <w:rFonts w:ascii="Arial" w:cs="Arial" w:eastAsia="Arial" w:hAnsi="Arial"/>
          <w:sz w:val="16"/>
          <w:szCs w:val="16"/>
          <w:color w:val="auto"/>
        </w:rPr>
        <w:t>SECTION 3.8. PERMITS, FRANCHISES. Borrower possesses, and will hereafter possess, all permits, consents, approvals, franchises and licenses required and rights to all trademarks, trade names, patents, and fictitious names, if any, necessary to enable it to conduct the business in which it is now engaged in compliance with applicable law, except for any such permits, consents, approvals, franchises and licenses the failure to possess which does not have and would not reasonably be expected to cause a Material Adverse Effect.</w:t>
      </w:r>
    </w:p>
    <w:p>
      <w:pPr>
        <w:spacing w:after="0" w:line="128" w:lineRule="exact"/>
        <w:rPr>
          <w:sz w:val="20"/>
          <w:szCs w:val="20"/>
          <w:color w:val="auto"/>
        </w:rPr>
      </w:pPr>
    </w:p>
    <w:p>
      <w:pPr>
        <w:ind w:firstLine="864"/>
        <w:spacing w:after="0" w:line="271" w:lineRule="auto"/>
        <w:rPr>
          <w:sz w:val="20"/>
          <w:szCs w:val="20"/>
          <w:color w:val="auto"/>
        </w:rPr>
      </w:pPr>
      <w:r>
        <w:rPr>
          <w:rFonts w:ascii="Arial" w:cs="Arial" w:eastAsia="Arial" w:hAnsi="Arial"/>
          <w:sz w:val="18"/>
          <w:szCs w:val="18"/>
          <w:color w:val="auto"/>
        </w:rPr>
        <w:t>SECTION 3.9. ERISA. Borrower and each member of the Controlled Group is in compliance in all material respects with all applicable provisions of the Employee Retirement Income Security Act of 1974, as amended or recodified from time to time ("ERISA"); Borrower and each member of the Controlled Group has not violated any provision of any defined employee pension benefit plan (as defined in ERISA) maintained or contributed to by Borrower or such member of the Controlled Group (each, a "Plan"); no Reportable Event as defined in ERISA has occurred and is continuing with respect to any Plan initiated by Borrower and any member of the Controlled Group; Borrower and each member of the Controlled Group has met its minimum funding requirements under ERISA with respect to each Plan; and each Plan will be able to fulfill its benefit obligations as they come due in accordance with the Plan documents and under generally accepted accounting principles. “Controlled Group” means all members of a controlled group of corporations and all trades or businesses (whether or not incorporated) under common control which, together with Borrower, are treated as a single employer under Section 414 of the Internal Revenue Code (including any amendments thereto or successors thereof).</w:t>
      </w:r>
    </w:p>
    <w:p>
      <w:pPr>
        <w:spacing w:after="0" w:line="174" w:lineRule="exact"/>
        <w:rPr>
          <w:sz w:val="20"/>
          <w:szCs w:val="20"/>
          <w:color w:val="auto"/>
        </w:rPr>
      </w:pPr>
    </w:p>
    <w:p>
      <w:pPr>
        <w:jc w:val="both"/>
        <w:ind w:right="140" w:firstLine="864"/>
        <w:spacing w:after="0" w:line="291" w:lineRule="auto"/>
        <w:rPr>
          <w:sz w:val="20"/>
          <w:szCs w:val="20"/>
          <w:color w:val="auto"/>
        </w:rPr>
      </w:pPr>
      <w:r>
        <w:rPr>
          <w:rFonts w:ascii="Arial" w:cs="Arial" w:eastAsia="Arial" w:hAnsi="Arial"/>
          <w:sz w:val="18"/>
          <w:szCs w:val="18"/>
          <w:color w:val="auto"/>
        </w:rPr>
        <w:t>SECTION 3.10. OTHER OBLIGATIONS. Neither Borrower nor any of its Consolidated Subsidiaries is in default on any obligation for borrowed money, any purchase money obligation or any other material lease, commitment, contract, instrument or obligation, except for any such default that does not have and would not reasonably be expected to cause a Material Adverse Effect.</w:t>
      </w:r>
    </w:p>
    <w:p>
      <w:pPr>
        <w:spacing w:after="0" w:line="152" w:lineRule="exact"/>
        <w:rPr>
          <w:sz w:val="20"/>
          <w:szCs w:val="20"/>
          <w:color w:val="auto"/>
        </w:rPr>
      </w:pPr>
    </w:p>
    <w:p>
      <w:pPr>
        <w:ind w:right="20" w:firstLine="864"/>
        <w:spacing w:after="0" w:line="269" w:lineRule="auto"/>
        <w:rPr>
          <w:sz w:val="20"/>
          <w:szCs w:val="20"/>
          <w:color w:val="auto"/>
        </w:rPr>
      </w:pPr>
      <w:r>
        <w:rPr>
          <w:rFonts w:ascii="Arial" w:cs="Arial" w:eastAsia="Arial" w:hAnsi="Arial"/>
          <w:sz w:val="18"/>
          <w:szCs w:val="18"/>
          <w:color w:val="auto"/>
        </w:rPr>
        <w:t>SECTION 3.11. ENVIRONMENTAL MATTERS. Except as disclosed by Borrower to Bank in writing prior to the date hereof, Borrower and its Subsidiaries are in compliance in all material respects with all applicable federal or state environmental, hazardous waste, health and safety statutes, and any rules or regulations adopted pursuant thereto, which govern or affect any of Borrower's and/or its Subsidiaries’ operations and/or properties, including without limitation, the Comprehensive Environmental Response, Compensation and Liability Act of 1980, the Superfund Amendments and Reauthorization Act of 1986, the Federal Resource Conservation and Recovery Act of 1976, and the Federal Toxic Substances Control Act, as any of the same may be amended, modified or supplemented from time to</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time. None of the operations of Borrower or its Subsidiaries is the subject of any federal or state investigation evaluating whether any remedial action involving a material expenditure is needed to respond to a release of any toxic or hazardous waste or substance into the environment. Neither Borrower nor any Subsidiary of Borrower has any material contingent liability in connection with any release of any toxic or hazardous waste or substance into the environment.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9" w:name="page130"/>
    <w:bookmarkEnd w:id="129"/>
    <w:p>
      <w:pPr>
        <w:ind w:left="880"/>
        <w:spacing w:after="0"/>
        <w:tabs>
          <w:tab w:leader="none" w:pos="264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color w:val="auto"/>
        </w:rPr>
        <w:t>SUBSIDIARIES. Each of the Borrower’s Subsidiaries is a corporation duly organized, validly existing and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good standing under the laws of its jurisdiction of incorporation, is duly qualified or licensed to do business (and is in good standing as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corporation, if applicable) in all jurisdictions in which such qualification or licensing is required except for any jurisdictions in which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failure to so qualify or to be so licensed does not have and would not reasonably be expected to cause a Material Adverse Effect, and has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all corporate powers and governmental licenses, authorizations, consents and approvals required to carry on its business as now</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conducted. The Borrower has no Subsidiaries except for those Subsidiaries listed on </w:t>
      </w:r>
      <w:r>
        <w:rPr>
          <w:rFonts w:ascii="Arial" w:cs="Arial" w:eastAsia="Arial" w:hAnsi="Arial"/>
          <w:sz w:val="18"/>
          <w:szCs w:val="18"/>
          <w:b w:val="1"/>
          <w:bCs w:val="1"/>
          <w:color w:val="auto"/>
        </w:rPr>
        <w:t>Schedule 3.12</w:t>
      </w:r>
      <w:r>
        <w:rPr>
          <w:rFonts w:ascii="Arial" w:cs="Arial" w:eastAsia="Arial" w:hAnsi="Arial"/>
          <w:sz w:val="18"/>
          <w:szCs w:val="18"/>
          <w:color w:val="auto"/>
        </w:rPr>
        <w:t xml:space="preserve"> (and any new Subsidiaries created after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hereof as to which Bank has been notified in writing) which schedule accurately sets forth each such Subsidiary’s complete name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jurisdiction of incorporation as of the date hereof.</w:t>
      </w:r>
    </w:p>
    <w:p>
      <w:pPr>
        <w:spacing w:after="0" w:line="200" w:lineRule="exact"/>
        <w:rPr>
          <w:sz w:val="20"/>
          <w:szCs w:val="20"/>
          <w:color w:val="auto"/>
        </w:rPr>
      </w:pPr>
    </w:p>
    <w:p>
      <w:pPr>
        <w:ind w:right="460" w:firstLine="864"/>
        <w:spacing w:after="0" w:line="260" w:lineRule="auto"/>
        <w:rPr>
          <w:sz w:val="20"/>
          <w:szCs w:val="20"/>
          <w:color w:val="auto"/>
        </w:rPr>
      </w:pPr>
      <w:r>
        <w:rPr>
          <w:rFonts w:ascii="Arial" w:cs="Arial" w:eastAsia="Arial" w:hAnsi="Arial"/>
          <w:sz w:val="20"/>
          <w:szCs w:val="20"/>
          <w:color w:val="auto"/>
        </w:rPr>
        <w:t>SECTION 3.13. INVESTMENT COMPANY ACT. Neither the Borrower nor any of its Subsidiaries is an “investment company” within the meaning of the Investment Company Act of 1940, as amended.</w:t>
      </w:r>
    </w:p>
    <w:p>
      <w:pPr>
        <w:spacing w:after="0" w:line="177" w:lineRule="exact"/>
        <w:rPr>
          <w:sz w:val="20"/>
          <w:szCs w:val="20"/>
          <w:color w:val="auto"/>
        </w:rPr>
      </w:pPr>
    </w:p>
    <w:p>
      <w:pPr>
        <w:ind w:right="360" w:firstLine="864"/>
        <w:spacing w:after="0" w:line="269" w:lineRule="auto"/>
        <w:rPr>
          <w:sz w:val="20"/>
          <w:szCs w:val="20"/>
          <w:color w:val="auto"/>
        </w:rPr>
      </w:pPr>
      <w:r>
        <w:rPr>
          <w:rFonts w:ascii="Arial" w:cs="Arial" w:eastAsia="Arial" w:hAnsi="Arial"/>
          <w:sz w:val="19"/>
          <w:szCs w:val="19"/>
          <w:color w:val="auto"/>
        </w:rPr>
        <w:t>SECTION 3.14. PUBLIC UTILITY HOLDING COMPANY ACT. Neither the Borrower nor any of its Subsidiaries is a “holding company”, or a “subsidiary company” of a “holding company”, or an “affiliate” of a “holding company” or of a “subsidiary company” of a “holding company”, as such terms are defined in the Public Utility Holding Company Act of 1935, as amended.</w:t>
      </w:r>
    </w:p>
    <w:p>
      <w:pPr>
        <w:spacing w:after="0" w:line="170" w:lineRule="exact"/>
        <w:rPr>
          <w:sz w:val="20"/>
          <w:szCs w:val="20"/>
          <w:color w:val="auto"/>
        </w:rPr>
      </w:pPr>
    </w:p>
    <w:p>
      <w:pPr>
        <w:ind w:firstLine="864"/>
        <w:spacing w:after="0" w:line="243" w:lineRule="auto"/>
        <w:rPr>
          <w:sz w:val="20"/>
          <w:szCs w:val="20"/>
          <w:color w:val="auto"/>
        </w:rPr>
      </w:pPr>
      <w:r>
        <w:rPr>
          <w:rFonts w:ascii="Arial" w:cs="Arial" w:eastAsia="Arial" w:hAnsi="Arial"/>
          <w:sz w:val="20"/>
          <w:szCs w:val="20"/>
          <w:color w:val="auto"/>
        </w:rPr>
        <w:t>SECTION 3.15. CAPITAL STOCK. All Capital Stock, debentures, bonds, notes and all other securities of Borrower and its Subsidiaries presently issued and outstanding are validly and properly issued in accordance with all applicable laws, including but not limited to, “Blue Sky” laws of all applicable states and the federal securities laws. The issued shares of Capital Stock of Borrower’s Wholly Owned Subsidiaries are owned by Borrower free and clear of any lien or adverse claim. At least a majority of the issued shares of capital stock of each of Borrower’s other Subsidiaries (other than Wholly Owned Subsidiaries) is owned by Borrower free and clear of any lien or adverse claim.</w:t>
      </w:r>
    </w:p>
    <w:p>
      <w:pPr>
        <w:spacing w:after="0" w:line="196" w:lineRule="exact"/>
        <w:rPr>
          <w:sz w:val="20"/>
          <w:szCs w:val="20"/>
          <w:color w:val="auto"/>
        </w:rPr>
      </w:pPr>
    </w:p>
    <w:p>
      <w:pPr>
        <w:ind w:right="180" w:firstLine="864"/>
        <w:spacing w:after="0" w:line="243" w:lineRule="auto"/>
        <w:rPr>
          <w:sz w:val="20"/>
          <w:szCs w:val="20"/>
          <w:color w:val="auto"/>
        </w:rPr>
      </w:pPr>
      <w:r>
        <w:rPr>
          <w:rFonts w:ascii="Arial" w:cs="Arial" w:eastAsia="Arial" w:hAnsi="Arial"/>
          <w:sz w:val="20"/>
          <w:szCs w:val="20"/>
          <w:color w:val="auto"/>
        </w:rPr>
        <w:t>SECTION 3.16. MARGIN STOCK. Neither Borrower nor any of its Subsidiaries is engaged principally, or as one of its important activities, in the business of purchasing or carrying any Margin Stock, and no part of the proceeds of the Line of Credit will be used to purchase or carry any Margin Stock or to extend credit to others for the purpose of purchasing or carrying Margin Stock, or be used for any purpose which violates, or which is inconsistent with, the provisions of Regulation T, U or X of the Board of Governors of the Federal Reserve System, as in effect from time to time, together with all official rulings and interpretations issued thereunder. “Margin Stock” means “margin stock” as defined in said Regulations T, U or X.</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ARTICLE IV</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ind w:right="560" w:firstLine="864"/>
        <w:spacing w:after="0" w:line="260" w:lineRule="auto"/>
        <w:rPr>
          <w:sz w:val="20"/>
          <w:szCs w:val="20"/>
          <w:color w:val="auto"/>
        </w:rPr>
      </w:pPr>
      <w:r>
        <w:rPr>
          <w:rFonts w:ascii="Arial" w:cs="Arial" w:eastAsia="Arial" w:hAnsi="Arial"/>
          <w:sz w:val="20"/>
          <w:szCs w:val="20"/>
          <w:color w:val="auto"/>
        </w:rPr>
        <w:t>SECTION 4.1. CONDITIONS OF INITIAL EXTENSION OF CREDIT. The obligation of Bank to extend any credit contemplated by this Agreement is subject to the fulfillment to Bank's satisfaction of all of the following conditions:</w:t>
      </w:r>
    </w:p>
    <w:p>
      <w:pPr>
        <w:spacing w:after="0" w:line="177" w:lineRule="exact"/>
        <w:rPr>
          <w:sz w:val="20"/>
          <w:szCs w:val="20"/>
          <w:color w:val="auto"/>
        </w:rPr>
      </w:pPr>
    </w:p>
    <w:p>
      <w:pPr>
        <w:ind w:left="1600" w:hanging="728"/>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Approval of Bank Counsel</w:t>
      </w:r>
      <w:r>
        <w:rPr>
          <w:rFonts w:ascii="Arial" w:cs="Arial" w:eastAsia="Arial" w:hAnsi="Arial"/>
          <w:sz w:val="18"/>
          <w:szCs w:val="18"/>
          <w:color w:val="auto"/>
        </w:rPr>
        <w:t>. All legal matters incidental to the extension of credit by Bank shall be satisfactory to Bank's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counsel.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130" w:name="page131"/>
    <w:bookmarkEnd w:id="130"/>
    <w:p>
      <w:pPr>
        <w:ind w:left="1600" w:hanging="728"/>
        <w:spacing w:after="0"/>
        <w:tabs>
          <w:tab w:leader="none" w:pos="160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Documentation</w:t>
      </w:r>
      <w:r>
        <w:rPr>
          <w:rFonts w:ascii="Arial" w:cs="Arial" w:eastAsia="Arial" w:hAnsi="Arial"/>
          <w:sz w:val="19"/>
          <w:szCs w:val="19"/>
          <w:color w:val="auto"/>
        </w:rPr>
        <w:t>. Bank shall have received, in form and substance satisfactory to Bank, each of the following, duly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executed:</w:t>
      </w:r>
    </w:p>
    <w:p>
      <w:pPr>
        <w:spacing w:after="0" w:line="200" w:lineRule="exact"/>
        <w:rPr>
          <w:sz w:val="20"/>
          <w:szCs w:val="20"/>
          <w:color w:val="auto"/>
        </w:rPr>
      </w:pPr>
    </w:p>
    <w:p>
      <w:pPr>
        <w:ind w:left="2420" w:hanging="685"/>
        <w:spacing w:after="0"/>
        <w:tabs>
          <w:tab w:leader="none" w:pos="24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This Agreement and each promissory note or other instrument or document required hereby.</w:t>
      </w:r>
    </w:p>
    <w:p>
      <w:pPr>
        <w:spacing w:after="0" w:line="215" w:lineRule="exact"/>
        <w:rPr>
          <w:rFonts w:ascii="Arial" w:cs="Arial" w:eastAsia="Arial" w:hAnsi="Arial"/>
          <w:sz w:val="20"/>
          <w:szCs w:val="20"/>
          <w:color w:val="auto"/>
        </w:rPr>
      </w:pPr>
    </w:p>
    <w:p>
      <w:pPr>
        <w:ind w:left="2480" w:hanging="745"/>
        <w:spacing w:after="0"/>
        <w:tabs>
          <w:tab w:leader="none" w:pos="2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Certificates of corporate resolutions and incumbency with respect to this Agreement and the Culp Europe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200" w:lineRule="exact"/>
        <w:rPr>
          <w:sz w:val="20"/>
          <w:szCs w:val="20"/>
          <w:color w:val="auto"/>
        </w:rPr>
      </w:pPr>
    </w:p>
    <w:p>
      <w:pPr>
        <w:ind w:right="20" w:firstLine="872"/>
        <w:spacing w:after="0" w:line="250" w:lineRule="auto"/>
        <w:tabs>
          <w:tab w:leader="none" w:pos="158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Financial Condition</w:t>
      </w:r>
      <w:r>
        <w:rPr>
          <w:rFonts w:ascii="Arial" w:cs="Arial" w:eastAsia="Arial" w:hAnsi="Arial"/>
          <w:sz w:val="20"/>
          <w:szCs w:val="20"/>
          <w:color w:val="auto"/>
        </w:rPr>
        <w:t>. There shall have been no Material Adverse Change, as determined by Bank, in the financial condition or business of Borrower, nor any material decline, as determined by Bank, in the market value of any collateral required hereunder or a substantial or material portion of the assets of Borrower.</w:t>
      </w:r>
    </w:p>
    <w:p>
      <w:pPr>
        <w:spacing w:after="0" w:line="185" w:lineRule="exact"/>
        <w:rPr>
          <w:rFonts w:ascii="Arial" w:cs="Arial" w:eastAsia="Arial" w:hAnsi="Arial"/>
          <w:sz w:val="20"/>
          <w:szCs w:val="20"/>
          <w:color w:val="auto"/>
        </w:rPr>
      </w:pPr>
    </w:p>
    <w:p>
      <w:pPr>
        <w:ind w:right="180" w:firstLine="872"/>
        <w:spacing w:after="0" w:line="260" w:lineRule="auto"/>
        <w:tabs>
          <w:tab w:leader="none" w:pos="1598"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Borrower shall have delivered to Bank evidence of insurance coverage on all Borrower's property, in form, substance, amounts, covering risks and issued by companies satisfactory to Bank.</w:t>
      </w:r>
    </w:p>
    <w:p>
      <w:pPr>
        <w:spacing w:after="0" w:line="177" w:lineRule="exact"/>
        <w:rPr>
          <w:sz w:val="20"/>
          <w:szCs w:val="20"/>
          <w:color w:val="auto"/>
        </w:rPr>
      </w:pPr>
    </w:p>
    <w:p>
      <w:pPr>
        <w:ind w:right="200" w:firstLine="864"/>
        <w:spacing w:after="0" w:line="287" w:lineRule="auto"/>
        <w:rPr>
          <w:sz w:val="20"/>
          <w:szCs w:val="20"/>
          <w:color w:val="auto"/>
        </w:rPr>
      </w:pPr>
      <w:r>
        <w:rPr>
          <w:rFonts w:ascii="Arial" w:cs="Arial" w:eastAsia="Arial" w:hAnsi="Arial"/>
          <w:sz w:val="19"/>
          <w:szCs w:val="19"/>
          <w:color w:val="auto"/>
        </w:rPr>
        <w:t>SECTION 4.2. CONDITIONS OF EACH EXTENSION OF CREDIT. The obligation of Bank to make each extension of credit requested by Borrower hereunder shall be subject to the fulfillment to Bank's satisfaction of each of the following conditions:</w:t>
      </w:r>
    </w:p>
    <w:p>
      <w:pPr>
        <w:spacing w:after="0" w:line="152" w:lineRule="exact"/>
        <w:rPr>
          <w:sz w:val="20"/>
          <w:szCs w:val="20"/>
          <w:color w:val="auto"/>
        </w:rPr>
      </w:pPr>
    </w:p>
    <w:p>
      <w:pPr>
        <w:ind w:firstLine="872"/>
        <w:spacing w:after="0" w:line="259" w:lineRule="auto"/>
        <w:tabs>
          <w:tab w:leader="none" w:pos="1587"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The representations and warranties contained herein and in each of the other Loan Documents shall be true on and as of the date of each such extension of credit by Bank pursuant hereto, with the same effect as though such representations and warranties had been made on and as of each such date (except to the extent any such representation or warranty related to a specific date, in which case each such representation or warranty shall be true and correct as of such date), and on each such date, no Event of Default as defined herein, and no condition, event or act which with the giving of notice or the passage of time or both would constitute such an Event of Default, shall have occurred and be continuing or shall exist.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ARTICLE V</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ind w:right="240" w:firstLine="864"/>
        <w:spacing w:after="0" w:line="291" w:lineRule="auto"/>
        <w:rPr>
          <w:sz w:val="20"/>
          <w:szCs w:val="20"/>
          <w:color w:val="auto"/>
        </w:rPr>
      </w:pPr>
      <w:r>
        <w:rPr>
          <w:rFonts w:ascii="Arial" w:cs="Arial" w:eastAsia="Arial" w:hAnsi="Arial"/>
          <w:sz w:val="18"/>
          <w:szCs w:val="18"/>
          <w:color w:val="auto"/>
        </w:rPr>
        <w:t>Borrower covenants that so long as Bank remains committed to extend credit to Borrower pursuant hereto, or any liabilities (whether direct or contingent, liquidated or unliquidated) of Borrower to Bank under any of the Loan Documents remain outstanding, and until payment in full of all obligations of Borrower subject hereto, Borrower shall, unless Bank otherwise consents in writing:</w:t>
      </w:r>
    </w:p>
    <w:p>
      <w:pPr>
        <w:spacing w:after="0" w:line="152" w:lineRule="exact"/>
        <w:rPr>
          <w:sz w:val="20"/>
          <w:szCs w:val="20"/>
          <w:color w:val="auto"/>
        </w:rPr>
      </w:pPr>
    </w:p>
    <w:p>
      <w:pPr>
        <w:ind w:right="200" w:firstLine="864"/>
        <w:spacing w:after="0" w:line="260" w:lineRule="auto"/>
        <w:rPr>
          <w:sz w:val="20"/>
          <w:szCs w:val="20"/>
          <w:color w:val="auto"/>
        </w:rPr>
      </w:pPr>
      <w:r>
        <w:rPr>
          <w:rFonts w:ascii="Arial" w:cs="Arial" w:eastAsia="Arial" w:hAnsi="Arial"/>
          <w:sz w:val="20"/>
          <w:szCs w:val="20"/>
          <w:color w:val="auto"/>
        </w:rPr>
        <w:t>SECTION 5.1. PUNCTUAL PAYMENTS. Punctually pay all principal, interest, fees or other liabilities due under any of the Loan Documents at the times and place and in the manner specified therein.</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5" w:right="419" w:bottom="1440" w:gutter="0" w:footer="0" w:header="0"/>
        </w:sectPr>
      </w:pPr>
    </w:p>
    <w:bookmarkStart w:id="131" w:name="page132"/>
    <w:bookmarkEnd w:id="131"/>
    <w:p>
      <w:pPr>
        <w:ind w:right="140" w:firstLine="864"/>
        <w:spacing w:after="0" w:line="246" w:lineRule="auto"/>
        <w:rPr>
          <w:sz w:val="20"/>
          <w:szCs w:val="20"/>
          <w:color w:val="auto"/>
        </w:rPr>
      </w:pPr>
      <w:r>
        <w:rPr>
          <w:rFonts w:ascii="Arial" w:cs="Arial" w:eastAsia="Arial" w:hAnsi="Arial"/>
          <w:sz w:val="20"/>
          <w:szCs w:val="20"/>
          <w:color w:val="auto"/>
        </w:rPr>
        <w:t>SECTION 5.2. ACCOUNTING RECORDS. Maintain, and cause each Subsidiary to maintain, adequate books and records in accordance with generally accepted accounting principles consistently applied, and permit any representative of Bank, at any reasonable time and upon reasonable prior notice, to inspect, audit and examine such books and records, to make copies of the same, and to inspect the properties of Borrower and each Subsidiary.</w:t>
      </w:r>
    </w:p>
    <w:p>
      <w:pPr>
        <w:spacing w:after="0" w:line="191"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color w:val="auto"/>
        </w:rPr>
        <w:t>FINANCIAL STATEMENTS. Provide to Bank all of the following, in form and detail satisfactory to Bank:</w:t>
      </w:r>
    </w:p>
    <w:p>
      <w:pPr>
        <w:spacing w:after="0" w:line="216" w:lineRule="exact"/>
        <w:rPr>
          <w:sz w:val="20"/>
          <w:szCs w:val="20"/>
          <w:color w:val="auto"/>
        </w:rPr>
      </w:pPr>
    </w:p>
    <w:p>
      <w:pPr>
        <w:ind w:firstLine="872"/>
        <w:spacing w:after="0" w:line="278" w:lineRule="auto"/>
        <w:tabs>
          <w:tab w:leader="none" w:pos="15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later than ninety (90) days after and as of the end of each Fiscal Year, a consolidated (and consolidating, if requested by Bank) balance sheet of Borrower and its Consolidated Subsidiaries as of the end of such Fiscal Year and the related consolidated (and consolidating, if requested by Bank) statements of income, shareholders’ equity and cash flows for such Fiscal Year, setting forth in each case in comparative form the figures for the previous fiscal year, all certified by Grant Thornton LLP or other independent public accountants of nationally recognized standing, with such certification to be free of exceptions and qualifications not reasonably acceptable to Bank;</w:t>
      </w:r>
    </w:p>
    <w:p>
      <w:pPr>
        <w:spacing w:after="0" w:line="164" w:lineRule="exact"/>
        <w:rPr>
          <w:rFonts w:ascii="Arial" w:cs="Arial" w:eastAsia="Arial" w:hAnsi="Arial"/>
          <w:sz w:val="18"/>
          <w:szCs w:val="18"/>
          <w:color w:val="auto"/>
        </w:rPr>
      </w:pPr>
    </w:p>
    <w:p>
      <w:pPr>
        <w:ind w:right="100" w:firstLine="872"/>
        <w:spacing w:after="0" w:line="274" w:lineRule="auto"/>
        <w:tabs>
          <w:tab w:leader="none" w:pos="1598"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later than forty-five (45) days after and as of the end of each of the first three (3) Fiscal Quarters of each Fiscal Year, a consolidated balance sheet of the Borrower and its Consolidated Subsidiaries (broken down by business unit, if requested by Bank) as of the end of such Fiscal Quarter and the related consolidated statement of income and statement of cash flows (broken down by business unit, if requested by Bank) for such Fiscal Quarter and for the portion of the Fiscal Year ended at the end of such Fiscal Quarter, setting forth in each case in comparative form the figures for the corresponding fiscal quarter and the corresponding portion of the previous fiscal year, all certified (subject to normal year-end adjustments) as to fairness of presentation in accordance with generally accepted accounting principles applied on a consistent basis by the chief financial officer or the chief accounting officer of Borrower;</w:t>
      </w:r>
    </w:p>
    <w:p>
      <w:pPr>
        <w:spacing w:after="0" w:line="168" w:lineRule="exact"/>
        <w:rPr>
          <w:rFonts w:ascii="Arial" w:cs="Arial" w:eastAsia="Arial" w:hAnsi="Arial"/>
          <w:sz w:val="18"/>
          <w:szCs w:val="18"/>
          <w:color w:val="auto"/>
        </w:rPr>
      </w:pPr>
    </w:p>
    <w:p>
      <w:pPr>
        <w:ind w:right="360" w:firstLine="872"/>
        <w:spacing w:after="0" w:line="259" w:lineRule="auto"/>
        <w:tabs>
          <w:tab w:leader="none" w:pos="1587"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contemporaneously with the delivery of each set of financial statements referred to in paragraphs (a) and (b) above, a certificate,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“Compliance Certificate”), of the chief financial officer or chief accounting officer of Borrower (i) setting forth in reasonable detail the calculations required to establish whether the Borrower was in compliance with the requirements of Sections 5.9, 6.2, 6.3, 6.4 and 6.6 hereof on the date of such financial statements, and (ii) stating whether any Event of Default exists on the date of such certificate and, if any Event of Default then exists, setting forth the details thereof and the action which Borrower is taking or proposes to take with respect thereto;</w:t>
      </w:r>
    </w:p>
    <w:p>
      <w:pPr>
        <w:spacing w:after="0" w:line="178" w:lineRule="exact"/>
        <w:rPr>
          <w:rFonts w:ascii="Arial" w:cs="Arial" w:eastAsia="Arial" w:hAnsi="Arial"/>
          <w:sz w:val="19"/>
          <w:szCs w:val="19"/>
          <w:color w:val="auto"/>
        </w:rPr>
      </w:pPr>
    </w:p>
    <w:p>
      <w:pPr>
        <w:jc w:val="both"/>
        <w:ind w:right="100" w:firstLine="872"/>
        <w:spacing w:after="0" w:line="246" w:lineRule="auto"/>
        <w:tabs>
          <w:tab w:leader="none" w:pos="1598"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contemporaneously with the delivery of each set of annual financial statements referred to in paragraph (a) above, a statement from the firm of independent public accountants which reported on such statements to the effect that nothing has come to their attention to cause them to believe that any Event of Default existed under Sections 5.4, 5.5, 5.6, 5.7, 5.8 and 5.9 and Article VI hereof on the date of such financial statements;</w:t>
      </w:r>
    </w:p>
    <w:p>
      <w:pPr>
        <w:spacing w:after="0" w:line="191" w:lineRule="exact"/>
        <w:rPr>
          <w:rFonts w:ascii="Arial" w:cs="Arial" w:eastAsia="Arial" w:hAnsi="Arial"/>
          <w:sz w:val="20"/>
          <w:szCs w:val="20"/>
          <w:color w:val="auto"/>
        </w:rPr>
      </w:pPr>
    </w:p>
    <w:p>
      <w:pPr>
        <w:ind w:right="240" w:firstLine="872"/>
        <w:spacing w:after="0" w:line="260" w:lineRule="auto"/>
        <w:tabs>
          <w:tab w:leader="none" w:pos="1587" w:val="left"/>
        </w:tabs>
        <w:numPr>
          <w:ilvl w:val="0"/>
          <w:numId w:val="91"/>
        </w:numPr>
        <w:rPr>
          <w:rFonts w:ascii="Arial" w:cs="Arial" w:eastAsia="Arial" w:hAnsi="Arial"/>
          <w:sz w:val="20"/>
          <w:szCs w:val="20"/>
          <w:color w:val="auto"/>
        </w:rPr>
      </w:pPr>
      <w:r>
        <w:rPr>
          <w:rFonts w:ascii="Arial" w:cs="Arial" w:eastAsia="Arial" w:hAnsi="Arial"/>
          <w:sz w:val="20"/>
          <w:szCs w:val="20"/>
          <w:color w:val="auto"/>
        </w:rPr>
        <w:t>promptly upon the mailing thereof to the shareholders of Borrower generally, copies of all financial statements, reports and proxy statements so mailed;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2" w:name="page133"/>
    <w:bookmarkEnd w:id="132"/>
    <w:p>
      <w:pPr>
        <w:ind w:right="60" w:firstLine="872"/>
        <w:spacing w:after="0" w:line="250" w:lineRule="auto"/>
        <w:tabs>
          <w:tab w:leader="none" w:pos="1565" w:val="left"/>
        </w:tabs>
        <w:numPr>
          <w:ilvl w:val="0"/>
          <w:numId w:val="92"/>
        </w:numPr>
        <w:rPr>
          <w:rFonts w:ascii="Arial" w:cs="Arial" w:eastAsia="Arial" w:hAnsi="Arial"/>
          <w:sz w:val="20"/>
          <w:szCs w:val="20"/>
          <w:color w:val="auto"/>
        </w:rPr>
      </w:pPr>
      <w:r>
        <w:rPr>
          <w:rFonts w:ascii="Arial" w:cs="Arial" w:eastAsia="Arial" w:hAnsi="Arial"/>
          <w:sz w:val="20"/>
          <w:szCs w:val="20"/>
          <w:color w:val="auto"/>
        </w:rPr>
        <w:t>promptly upon the filing thereof, copies of all registration statements (other than the exhibits thereto and any registration statements on Form S-8 or its equivalent or any filings under Section 16 of the Securities and Exchange Act) and annual, quarterly or monthly reports which Borrower shall have filed with the Securities and Exchange Commission; and</w:t>
      </w:r>
    </w:p>
    <w:p>
      <w:pPr>
        <w:spacing w:after="0" w:line="185" w:lineRule="exact"/>
        <w:rPr>
          <w:rFonts w:ascii="Arial" w:cs="Arial" w:eastAsia="Arial" w:hAnsi="Arial"/>
          <w:sz w:val="20"/>
          <w:szCs w:val="20"/>
          <w:color w:val="auto"/>
        </w:rPr>
      </w:pPr>
    </w:p>
    <w:p>
      <w:pPr>
        <w:ind w:left="1600" w:hanging="728"/>
        <w:spacing w:after="0"/>
        <w:tabs>
          <w:tab w:leader="none" w:pos="16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from time to time such other information as Bank may reasonably request.</w:t>
      </w:r>
    </w:p>
    <w:p>
      <w:pPr>
        <w:spacing w:after="0" w:line="216" w:lineRule="exact"/>
        <w:rPr>
          <w:sz w:val="20"/>
          <w:szCs w:val="20"/>
          <w:color w:val="auto"/>
        </w:rPr>
      </w:pPr>
    </w:p>
    <w:p>
      <w:pPr>
        <w:ind w:firstLine="864"/>
        <w:spacing w:after="0" w:line="274" w:lineRule="auto"/>
        <w:rPr>
          <w:sz w:val="20"/>
          <w:szCs w:val="20"/>
          <w:color w:val="auto"/>
        </w:rPr>
      </w:pPr>
      <w:r>
        <w:rPr>
          <w:rFonts w:ascii="Arial" w:cs="Arial" w:eastAsia="Arial" w:hAnsi="Arial"/>
          <w:sz w:val="18"/>
          <w:szCs w:val="18"/>
          <w:color w:val="auto"/>
        </w:rPr>
        <w:t>SECTION 5.4. COMPLIANCE. Preserve and maintain, and cause each Subsidiary to preserve and maintain, all licenses, permits, governmental approvals, rights, privileges and franchises necessary for the conduct of its business, except for such licenses, permits, governmental approvals, rights, privileges and franchises the failure to maintain which does not have and would not reasonably be expected to cause a Material Adverse Effect; and comply, and cause each Subsidiary to comply, with the provisions of all articles of incorporation, by-laws, and similar formation and corporate governance documents of Borrower and its Subsidiaries and with the requirements of all laws, rules, regulations and orders of any governmental authority applicable to Borrower, each Subsidiary and/or their respective businesses, except where such non-compliance does not have and would not reasonably be expected to cause a Material Adverse Effect.</w:t>
      </w:r>
    </w:p>
    <w:p>
      <w:pPr>
        <w:spacing w:after="0" w:line="168" w:lineRule="exact"/>
        <w:rPr>
          <w:sz w:val="20"/>
          <w:szCs w:val="20"/>
          <w:color w:val="auto"/>
        </w:rPr>
      </w:pPr>
    </w:p>
    <w:p>
      <w:pPr>
        <w:ind w:right="80" w:firstLine="864"/>
        <w:spacing w:after="0" w:line="278" w:lineRule="auto"/>
        <w:rPr>
          <w:sz w:val="20"/>
          <w:szCs w:val="20"/>
          <w:color w:val="auto"/>
        </w:rPr>
      </w:pPr>
      <w:r>
        <w:rPr>
          <w:rFonts w:ascii="Arial" w:cs="Arial" w:eastAsia="Arial" w:hAnsi="Arial"/>
          <w:sz w:val="18"/>
          <w:szCs w:val="18"/>
          <w:color w:val="auto"/>
        </w:rPr>
        <w:t>SECTION 5.5. INSURANCE. Maintain and keep in force for each business in which Borrower is engaged, and cause each Subsidiary to maintain and keep in force for each business in which it is engaged, insurance of the types and in amounts customarily carried in similar lines of business, including but not limited to fire, extended coverage, public liability, flood, property damage and workers' compensation, with all such insurance carried with companies and in amounts satisfactory to Bank, and deliver to Bank from time to time at Bank's request, made upon reasonable notice, schedules setting forth all insurance then in effect.</w:t>
      </w:r>
    </w:p>
    <w:p>
      <w:pPr>
        <w:spacing w:after="0" w:line="165" w:lineRule="exact"/>
        <w:rPr>
          <w:sz w:val="20"/>
          <w:szCs w:val="20"/>
          <w:color w:val="auto"/>
        </w:rPr>
      </w:pPr>
    </w:p>
    <w:p>
      <w:pPr>
        <w:ind w:right="40" w:firstLine="864"/>
        <w:spacing w:after="0" w:line="260" w:lineRule="auto"/>
        <w:rPr>
          <w:sz w:val="20"/>
          <w:szCs w:val="20"/>
          <w:color w:val="auto"/>
        </w:rPr>
      </w:pPr>
      <w:r>
        <w:rPr>
          <w:rFonts w:ascii="Arial" w:cs="Arial" w:eastAsia="Arial" w:hAnsi="Arial"/>
          <w:sz w:val="20"/>
          <w:szCs w:val="20"/>
          <w:color w:val="auto"/>
        </w:rPr>
        <w:t>SECTION 5.6. FACILITIES. Keep, and cause each Subsidiary to keep, its properties in good condition, repair and working order, reasonable wear and tear excepted.</w:t>
      </w:r>
    </w:p>
    <w:p>
      <w:pPr>
        <w:spacing w:after="0" w:line="177" w:lineRule="exact"/>
        <w:rPr>
          <w:sz w:val="20"/>
          <w:szCs w:val="20"/>
          <w:color w:val="auto"/>
        </w:rPr>
      </w:pPr>
    </w:p>
    <w:p>
      <w:pPr>
        <w:ind w:right="120" w:firstLine="864"/>
        <w:spacing w:after="0" w:line="243" w:lineRule="auto"/>
        <w:rPr>
          <w:sz w:val="20"/>
          <w:szCs w:val="20"/>
          <w:color w:val="auto"/>
        </w:rPr>
      </w:pPr>
      <w:r>
        <w:rPr>
          <w:rFonts w:ascii="Arial" w:cs="Arial" w:eastAsia="Arial" w:hAnsi="Arial"/>
          <w:sz w:val="20"/>
          <w:szCs w:val="20"/>
          <w:color w:val="auto"/>
        </w:rPr>
        <w:t>SECTION 5.7. TAXES. Pay and cause each of its Subsidiaries to pay promptly when due all taxes (including without limitation federal and state income taxes and state and local property taxes), assessments, governmental charges, claims for labor, supplies, rent and other obligations which, if unpaid, might become a lien against the property of Borrower or any Subsidiary, except (a) such as Borrower and/or such Subsidiary may in good faith contest or as to which a bona fide dispute may arise, and (b) for which Borrower and/or such Subsidiary has made provision, to Bank's reasonable satisfaction, for eventual payment thereof in the event Borrower and/or such Subsidiary is obligated to make such payment.</w:t>
      </w:r>
    </w:p>
    <w:p>
      <w:pPr>
        <w:spacing w:after="0" w:line="196" w:lineRule="exact"/>
        <w:rPr>
          <w:sz w:val="20"/>
          <w:szCs w:val="20"/>
          <w:color w:val="auto"/>
        </w:rPr>
      </w:pPr>
    </w:p>
    <w:p>
      <w:pPr>
        <w:ind w:right="520" w:firstLine="864"/>
        <w:spacing w:after="0" w:line="260" w:lineRule="auto"/>
        <w:rPr>
          <w:sz w:val="20"/>
          <w:szCs w:val="20"/>
          <w:color w:val="auto"/>
        </w:rPr>
      </w:pPr>
      <w:r>
        <w:rPr>
          <w:rFonts w:ascii="Arial" w:cs="Arial" w:eastAsia="Arial" w:hAnsi="Arial"/>
          <w:sz w:val="20"/>
          <w:szCs w:val="20"/>
          <w:color w:val="auto"/>
        </w:rPr>
        <w:t>SECTION 5.8. LITIGATION. Promptly give notice in writing to Bank of any litigation pending or threatened against Borrower with a claim in excess of $5,000,000.00.</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5" w:right="399" w:bottom="1440" w:gutter="0" w:footer="0" w:header="0"/>
        </w:sectPr>
      </w:pPr>
    </w:p>
    <w:bookmarkStart w:id="133" w:name="page134"/>
    <w:bookmarkEnd w:id="133"/>
    <w:p>
      <w:pPr>
        <w:ind w:firstLine="864"/>
        <w:spacing w:after="0" w:line="316" w:lineRule="auto"/>
        <w:rPr>
          <w:sz w:val="20"/>
          <w:szCs w:val="20"/>
          <w:color w:val="auto"/>
        </w:rPr>
      </w:pPr>
      <w:r>
        <w:rPr>
          <w:rFonts w:ascii="Arial" w:cs="Arial" w:eastAsia="Arial" w:hAnsi="Arial"/>
          <w:sz w:val="18"/>
          <w:szCs w:val="18"/>
          <w:color w:val="auto"/>
        </w:rPr>
        <w:t>SECTION 5.9. FINANCIAL CONDITION. Maintain Borrower's financial condition as follows using generally accepted accounting principles consistently applied and used consistently with prior practices (except to the extent modified by the definitions herein):</w:t>
      </w:r>
    </w:p>
    <w:p>
      <w:pPr>
        <w:spacing w:after="0" w:line="130" w:lineRule="exact"/>
        <w:rPr>
          <w:sz w:val="20"/>
          <w:szCs w:val="20"/>
          <w:color w:val="auto"/>
        </w:rPr>
      </w:pPr>
    </w:p>
    <w:p>
      <w:pPr>
        <w:ind w:right="80" w:firstLine="872"/>
        <w:spacing w:after="0" w:line="263" w:lineRule="auto"/>
        <w:tabs>
          <w:tab w:leader="none" w:pos="158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Liquidity</w:t>
      </w:r>
      <w:r>
        <w:rPr>
          <w:rFonts w:ascii="Arial" w:cs="Arial" w:eastAsia="Arial" w:hAnsi="Arial"/>
          <w:sz w:val="19"/>
          <w:szCs w:val="19"/>
          <w:color w:val="auto"/>
        </w:rPr>
        <w:t>. Unencumbered Liquid Assets with an aggregate fair market value not at any time less than Ten Million and No/100 Dollars ($10,000,000.00). As used herein, “Unencumbered Liquid Assets” shall mean cash, cash equivalents and/or publicly traded marketable securities acceptable to Bank in its sole discretion, free of any lien or other encumbrance. Retirement account assets held in a fiduciary capacity by Borrower shall not qualify as Unencumbered Liquid Assets.</w:t>
      </w:r>
    </w:p>
    <w:p>
      <w:pPr>
        <w:spacing w:after="0" w:line="176" w:lineRule="exact"/>
        <w:rPr>
          <w:rFonts w:ascii="Arial" w:cs="Arial" w:eastAsia="Arial" w:hAnsi="Arial"/>
          <w:sz w:val="19"/>
          <w:szCs w:val="19"/>
          <w:color w:val="auto"/>
        </w:rPr>
      </w:pPr>
    </w:p>
    <w:p>
      <w:pPr>
        <w:ind w:right="140" w:firstLine="872"/>
        <w:spacing w:after="0" w:line="269" w:lineRule="auto"/>
        <w:tabs>
          <w:tab w:leader="none" w:pos="159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Consolidated Total Debt/Consolidated EBITDA Ratio</w:t>
      </w:r>
      <w:r>
        <w:rPr>
          <w:rFonts w:ascii="Arial" w:cs="Arial" w:eastAsia="Arial" w:hAnsi="Arial"/>
          <w:sz w:val="19"/>
          <w:szCs w:val="19"/>
          <w:color w:val="auto"/>
        </w:rPr>
        <w:t xml:space="preserve">. Ratio of Consolidated Total Debt to Consolidated EBITDA not greater than 3.00 to 1.00 as of each Fiscal Quarter end, determined on a rolling 4-quarter basis,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the Modification Period, the ratio of Consolidated Total Debt to Consolidated EBITDA shall be determined on the following basis:</w:t>
      </w:r>
    </w:p>
    <w:p>
      <w:pPr>
        <w:spacing w:after="0" w:line="170" w:lineRule="exact"/>
        <w:rPr>
          <w:sz w:val="20"/>
          <w:szCs w:val="20"/>
          <w:color w:val="auto"/>
        </w:rPr>
      </w:pPr>
    </w:p>
    <w:p>
      <w:pPr>
        <w:jc w:val="both"/>
        <w:ind w:left="1200" w:right="820"/>
        <w:spacing w:after="0" w:line="250" w:lineRule="auto"/>
        <w:rPr>
          <w:sz w:val="20"/>
          <w:szCs w:val="20"/>
          <w:color w:val="auto"/>
        </w:rPr>
      </w:pPr>
      <w:r>
        <w:rPr>
          <w:rFonts w:ascii="Arial" w:cs="Arial" w:eastAsia="Arial" w:hAnsi="Arial"/>
          <w:sz w:val="20"/>
          <w:szCs w:val="20"/>
          <w:color w:val="auto"/>
        </w:rPr>
        <w:t>For the Fiscal Quarter ending nearest to July 31, 2020 (i.e., first Fiscal Quarter of 2021), the ratio shall be determined using EBITDA from the first, second and third Fiscal Quarters of 2020 and the first Fiscal Quarter of 2021.</w:t>
      </w:r>
    </w:p>
    <w:p>
      <w:pPr>
        <w:spacing w:after="0" w:line="186" w:lineRule="exact"/>
        <w:rPr>
          <w:sz w:val="20"/>
          <w:szCs w:val="20"/>
          <w:color w:val="auto"/>
        </w:rPr>
      </w:pPr>
    </w:p>
    <w:p>
      <w:pPr>
        <w:jc w:val="both"/>
        <w:ind w:left="1200" w:right="800"/>
        <w:spacing w:after="0" w:line="250" w:lineRule="auto"/>
        <w:rPr>
          <w:sz w:val="20"/>
          <w:szCs w:val="20"/>
          <w:color w:val="auto"/>
        </w:rPr>
      </w:pPr>
      <w:r>
        <w:rPr>
          <w:rFonts w:ascii="Arial" w:cs="Arial" w:eastAsia="Arial" w:hAnsi="Arial"/>
          <w:sz w:val="20"/>
          <w:szCs w:val="20"/>
          <w:color w:val="auto"/>
        </w:rPr>
        <w:t>For the Fiscal Quarter ending nearest to October 31, 2020 (i.e., second Fiscal Quarter of 2021), the ratio shall be determined using EBITDA from the second and third Fiscal Quarters of 2020 and the first and second Fiscal Quarters of 2021.</w:t>
      </w:r>
    </w:p>
    <w:p>
      <w:pPr>
        <w:spacing w:after="0" w:line="186" w:lineRule="exact"/>
        <w:rPr>
          <w:sz w:val="20"/>
          <w:szCs w:val="20"/>
          <w:color w:val="auto"/>
        </w:rPr>
      </w:pPr>
    </w:p>
    <w:p>
      <w:pPr>
        <w:jc w:val="both"/>
        <w:ind w:left="1200" w:right="800"/>
        <w:spacing w:after="0" w:line="250" w:lineRule="auto"/>
        <w:rPr>
          <w:sz w:val="20"/>
          <w:szCs w:val="20"/>
          <w:color w:val="auto"/>
        </w:rPr>
      </w:pPr>
      <w:r>
        <w:rPr>
          <w:rFonts w:ascii="Arial" w:cs="Arial" w:eastAsia="Arial" w:hAnsi="Arial"/>
          <w:sz w:val="20"/>
          <w:szCs w:val="20"/>
          <w:color w:val="auto"/>
        </w:rPr>
        <w:t>For the Fiscal Quarter ending nearest to January 31, 2021 (i.e., third Fiscal Quarter of 2021), the ratio shall be determined using EBITDA from the third Fiscal Quarter of 2020 and the first, second and third Fiscal Quarters of 2021.</w:t>
      </w:r>
    </w:p>
    <w:p>
      <w:pPr>
        <w:spacing w:after="0" w:line="186" w:lineRule="exact"/>
        <w:rPr>
          <w:sz w:val="20"/>
          <w:szCs w:val="20"/>
          <w:color w:val="auto"/>
        </w:rPr>
      </w:pPr>
    </w:p>
    <w:p>
      <w:pPr>
        <w:jc w:val="both"/>
        <w:ind w:left="1200" w:right="820"/>
        <w:spacing w:after="0" w:line="260" w:lineRule="auto"/>
        <w:rPr>
          <w:sz w:val="20"/>
          <w:szCs w:val="20"/>
          <w:color w:val="auto"/>
        </w:rPr>
      </w:pPr>
      <w:r>
        <w:rPr>
          <w:rFonts w:ascii="Arial" w:cs="Arial" w:eastAsia="Arial" w:hAnsi="Arial"/>
          <w:sz w:val="20"/>
          <w:szCs w:val="20"/>
          <w:color w:val="auto"/>
        </w:rPr>
        <w:t>For the Fiscal Quarter ending nearest to April 30, 2021 (i.e., fourth Fiscal Quarter of 2021), the ratio shall be determined using EBITDA from the first, second, third and fourth Fiscal Quarters of 2021.</w:t>
      </w:r>
    </w:p>
    <w:p>
      <w:pPr>
        <w:spacing w:after="0" w:line="177" w:lineRule="exact"/>
        <w:rPr>
          <w:sz w:val="20"/>
          <w:szCs w:val="20"/>
          <w:color w:val="auto"/>
        </w:rPr>
      </w:pPr>
    </w:p>
    <w:p>
      <w:pPr>
        <w:ind w:right="120" w:firstLine="864"/>
        <w:spacing w:after="0" w:line="246" w:lineRule="auto"/>
        <w:rPr>
          <w:sz w:val="20"/>
          <w:szCs w:val="20"/>
          <w:color w:val="auto"/>
        </w:rPr>
      </w:pPr>
      <w:r>
        <w:rPr>
          <w:rFonts w:ascii="Arial" w:cs="Arial" w:eastAsia="Arial" w:hAnsi="Arial"/>
          <w:sz w:val="20"/>
          <w:szCs w:val="20"/>
          <w:color w:val="auto"/>
        </w:rPr>
        <w:t>The term “Consolidated Total Debt” as used in this Section 5.9(b) shall have the definition given such terms in the Omaha Note Purchase Agreement (but excluding for purposes of this Section 5.9(b) any future amendments thereto not made with the written consent of Bank), which definitions shall survive for purposes of this Agreement notwithstanding the termination of the Omaha Note Purchase Agreement or the repayment in full of the Borrower’s obligations thereunder.</w:t>
      </w:r>
    </w:p>
    <w:p>
      <w:pPr>
        <w:spacing w:after="0" w:line="191" w:lineRule="exact"/>
        <w:rPr>
          <w:sz w:val="20"/>
          <w:szCs w:val="20"/>
          <w:color w:val="auto"/>
        </w:rPr>
      </w:pPr>
    </w:p>
    <w:p>
      <w:pPr>
        <w:ind w:right="240" w:firstLine="872"/>
        <w:spacing w:after="0" w:line="316" w:lineRule="auto"/>
        <w:tabs>
          <w:tab w:leader="none" w:pos="158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Consolidated EBITDA/Consolidated Net Interest Expense Ratio</w:t>
      </w:r>
      <w:r>
        <w:rPr>
          <w:rFonts w:ascii="Arial" w:cs="Arial" w:eastAsia="Arial" w:hAnsi="Arial"/>
          <w:sz w:val="18"/>
          <w:szCs w:val="18"/>
          <w:color w:val="auto"/>
        </w:rPr>
        <w:t>. Ratio of Consolidated EBITDA to Consolidated Net Interest Expense not less than 3.00 to 1.00 as of each Fiscal Quarter end, determined on a rolling 4-quarter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5" w:right="399" w:bottom="1440" w:gutter="0" w:footer="0" w:header="0"/>
        </w:sectPr>
      </w:pPr>
    </w:p>
    <w:bookmarkStart w:id="134" w:name="page135"/>
    <w:bookmarkEnd w:id="134"/>
    <w:p>
      <w:pPr>
        <w:ind w:right="100" w:firstLine="864"/>
        <w:spacing w:after="0" w:line="256" w:lineRule="auto"/>
        <w:rPr>
          <w:sz w:val="20"/>
          <w:szCs w:val="20"/>
          <w:color w:val="auto"/>
        </w:rPr>
      </w:pPr>
      <w:r>
        <w:rPr>
          <w:rFonts w:ascii="Arial" w:cs="Arial" w:eastAsia="Arial" w:hAnsi="Arial"/>
          <w:sz w:val="19"/>
          <w:szCs w:val="19"/>
          <w:color w:val="auto"/>
        </w:rPr>
        <w:t>SECTION 5.10. NOTICE TO BANK. Promptly (but in no event more than five (5) Business Days after Borrower becomes aware of the occurrence of each such event or matter) give written notice to Bank in reasonable detail of: (a) the occurrence of any Event of Default, or any condition, event or act which with the giving of notice or the passage of time or both would constitute an Event of Default, together with the details of any action which Borrower is taking or proposes to take with respect thereto; (b) any change in the name, jurisdiction of organization or location of the chief executive office of Borrower or any of its Subsidiaries; (c) the occurrence and nature of any Reportable Event or Prohibited Transaction, each as defined in ERISA, or any funding deficiency with respect to any Plan; or (d) any termination or cancellation (without replacement therefor by Borrower) of any insurance policy which Borrower is required to maintain, or any uninsured or partially uninsured loss through liability or property damage, or through fire, theft or any other cause affecting a material portion of Borrower's property.</w:t>
      </w:r>
    </w:p>
    <w:p>
      <w:pPr>
        <w:spacing w:after="0" w:line="184" w:lineRule="exact"/>
        <w:rPr>
          <w:sz w:val="20"/>
          <w:szCs w:val="20"/>
          <w:color w:val="auto"/>
        </w:rPr>
      </w:pPr>
    </w:p>
    <w:p>
      <w:pPr>
        <w:ind w:right="400" w:firstLine="864"/>
        <w:spacing w:after="0" w:line="260" w:lineRule="auto"/>
        <w:rPr>
          <w:sz w:val="20"/>
          <w:szCs w:val="20"/>
          <w:color w:val="auto"/>
        </w:rPr>
      </w:pPr>
      <w:r>
        <w:rPr>
          <w:rFonts w:ascii="Arial" w:cs="Arial" w:eastAsia="Arial" w:hAnsi="Arial"/>
          <w:sz w:val="20"/>
          <w:szCs w:val="20"/>
          <w:color w:val="auto"/>
        </w:rPr>
        <w:t>SECTION 5.11. DEPOSIT ACCOUNTS. Maintain Borrower’s principal deposit accounts and other traditional banking relationships with Bank.</w:t>
      </w:r>
    </w:p>
    <w:p>
      <w:pPr>
        <w:spacing w:after="0" w:line="177" w:lineRule="exact"/>
        <w:rPr>
          <w:sz w:val="20"/>
          <w:szCs w:val="20"/>
          <w:color w:val="auto"/>
        </w:rPr>
      </w:pPr>
    </w:p>
    <w:p>
      <w:pPr>
        <w:ind w:right="260" w:firstLine="864"/>
        <w:spacing w:after="0" w:line="250" w:lineRule="auto"/>
        <w:rPr>
          <w:sz w:val="20"/>
          <w:szCs w:val="20"/>
          <w:color w:val="auto"/>
        </w:rPr>
      </w:pPr>
      <w:r>
        <w:rPr>
          <w:rFonts w:ascii="Arial" w:cs="Arial" w:eastAsia="Arial" w:hAnsi="Arial"/>
          <w:sz w:val="20"/>
          <w:szCs w:val="20"/>
          <w:color w:val="auto"/>
        </w:rPr>
        <w:t>SECTION 5.12. MAINTENANCE OF EXISTENCE. Maintain, and cause each Subsidiary to maintain, its corporate existence and carry on its business in substantially the same manner and in substantially the same fields as such business is now carried on and maintained.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ind w:firstLine="864"/>
        <w:spacing w:after="0" w:line="291" w:lineRule="auto"/>
        <w:rPr>
          <w:sz w:val="20"/>
          <w:szCs w:val="20"/>
          <w:color w:val="auto"/>
        </w:rPr>
      </w:pPr>
      <w:r>
        <w:rPr>
          <w:rFonts w:ascii="Arial" w:cs="Arial" w:eastAsia="Arial" w:hAnsi="Arial"/>
          <w:sz w:val="18"/>
          <w:szCs w:val="18"/>
          <w:color w:val="auto"/>
        </w:rPr>
        <w:t>Borrower further covenants that so long as Bank remains committed to extend credit to Borrower pursuant hereto, or any liabilities (whether direct or contingent, liquidated or unliquidated) of Borrower to Bank under any of the Loan Documents remain outstanding, and until payment in full of all obligations of Borrower subject hereto, Borrower will not without Bank's prior written consent:</w:t>
      </w:r>
    </w:p>
    <w:p>
      <w:pPr>
        <w:spacing w:after="0" w:line="15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SECTION 6.1. USE OF FUNDS. Use any of the proceeds of any credit extended hereunder except for the purposes stated in Article II hereof.</w:t>
      </w:r>
    </w:p>
    <w:p>
      <w:pPr>
        <w:spacing w:after="0" w:line="177" w:lineRule="exact"/>
        <w:rPr>
          <w:sz w:val="20"/>
          <w:szCs w:val="20"/>
          <w:color w:val="auto"/>
        </w:rPr>
      </w:pPr>
    </w:p>
    <w:p>
      <w:pPr>
        <w:ind w:right="380" w:firstLine="864"/>
        <w:spacing w:after="0" w:line="269" w:lineRule="auto"/>
        <w:rPr>
          <w:sz w:val="20"/>
          <w:szCs w:val="20"/>
          <w:color w:val="auto"/>
        </w:rPr>
      </w:pPr>
      <w:r>
        <w:rPr>
          <w:rFonts w:ascii="Arial" w:cs="Arial" w:eastAsia="Arial" w:hAnsi="Arial"/>
          <w:sz w:val="19"/>
          <w:szCs w:val="19"/>
          <w:color w:val="auto"/>
        </w:rPr>
        <w:t>SECTION 6.2. CAPITAL EXPENDITURES. Make, and will not permit any of its Subsidiaries to make, capital expenditures in excess of (i) $10,000,000 in the aggregate (combined for Borrower and its Subsidiaries) during Fiscal Year 2021, and (ii) $15,000,000.00 in the aggregate (combined for Borrower and its Subsidiaries) during any Fiscal Year thereafter.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5" w:name="page136"/>
    <w:bookmarkEnd w:id="135"/>
    <w:p>
      <w:pPr>
        <w:ind w:left="880"/>
        <w:spacing w:after="0"/>
        <w:tabs>
          <w:tab w:leader="none" w:pos="254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8"/>
          <w:szCs w:val="18"/>
          <w:color w:val="auto"/>
        </w:rPr>
        <w:t>LIENS AND OTHER INDEBTEDNESS. Create, incur, assume or permit to exist, nor shall any</w:t>
      </w:r>
    </w:p>
    <w:p>
      <w:pPr>
        <w:spacing w:after="0" w:line="1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Consolidated Subsidiary create, incur, assume or permit to exist, any lien on any asset now owned or hereafter acquired by it, and Borrower shall not incur and shall not permit any Subsidiary to incur any indebtedness or liabilities resulting from borrowings, loans or advances, whether secured or unsecured, matured or unmatured, liquidated or unliquidated, joint or several, other than any liabilities of Subsidiaries existing as of, and disclosed to Bank prior to, the date hereof and listed on </w:t>
      </w:r>
      <w:r>
        <w:rPr>
          <w:rFonts w:ascii="Arial" w:cs="Arial" w:eastAsia="Arial" w:hAnsi="Arial"/>
          <w:sz w:val="18"/>
          <w:szCs w:val="18"/>
          <w:b w:val="1"/>
          <w:bCs w:val="1"/>
          <w:color w:val="auto"/>
        </w:rPr>
        <w:t>Schedule 6.3</w:t>
      </w:r>
      <w:r>
        <w:rPr>
          <w:rFonts w:ascii="Arial" w:cs="Arial" w:eastAsia="Arial" w:hAnsi="Arial"/>
          <w:sz w:val="18"/>
          <w:szCs w:val="18"/>
          <w:color w:val="auto"/>
        </w:rPr>
        <w:t xml:space="preserve">, and except for (a) any lien existing on any specific fixed asset of any corporation at the time such corporation becomes a Consolidated Subsidiary and not created in contemplation of such event; (b) any lien on any specific fixed asset securing debt incurred or assumed for the purpose of financing all or any part of the cost of acquiring or constructing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attaches to such asset concurrently or within 18 months after the acquisition or completion of construction thereof; (c) any lien on any specific fixed asset of any corporation existing at the time such corporation is merged or consolidated with or into Borrower or a Consolidated Subsidiary and not created in contemplation of such event; (d) any lien existing on any specific fixed asset prior to the acquisition thereof by Borrower or a Consolidated Subsidiary and not created in contemplation of such acquisition; (e) liens securing debt owed by a Subsidiary to Borrower; (f) any lien arising out of the refinancing, extension, renewal or refunding of any debt secured by any lien permitted by any of the foregoing clauses (a) through (e),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debt is not secured by any additional assets, and the amount of such debt secured by any such lien is not increased; (g) mechanics, warehousemen, carrier, landlord and other statutory liens which arise in the ordinary course of Borrower's or a Consolidated Subsidiary’s business for amounts not yet due, and liens in security deposits made in the ordinary course of Borrower's or a Consolidated Subsidiary’s business; (h) liens which (x) are incurred in connection with the purchase of looms, (y) secure debt consisting only of the deferred purchase price of such looms, and no other debt, which deferred purchase price debt is non-interest bearing and payable in no more than two (2) years from the date of purchase, and (z) encumber only the looms so purchased, and not any other assets; (i) debt owing to Borrower or another Subsidiary; and (j) additional unsecured debt (other than the Line of Credit) of Borrower and its Subsidiaries;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sum of (A) the aggregate amount of debt secured by liens permitted by the foregoing clauses (a) through (h), plus (B) debt of Borrower and its Subsidiaries permitted by clause (j) shall not exceed an aggregate amount equal to 5% of Consolidated Net Worth.</w:t>
      </w:r>
    </w:p>
    <w:p>
      <w:pPr>
        <w:spacing w:after="0" w:line="184"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 xml:space="preserve">SECTION 6.4. MERGER, CONSOLIDATION, TRANSFER OF ASSETS. Merge into or consolidate with any other entity; or discontinue or eliminate any business line or segment; acquire all or substantially all of the assets of any other entity; nor sell, lease, transfer or otherwise dispose of all or a substantial or material portion of its assets, nor shall Borrower permit any Subsidiary to do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Borrower may merge with another person if (i) such person was organized under the laws of the United States of America or one of its states, (ii) Borrower is the corporation surviving such merger, and (iii) immediately after giving effect to such merger no Event of Default shall have occurred and be continuing; (b) Subsidiaries of Borrower may merge with each other; and (c) the foregoing limitation on the sale, lease or other transfer of assets and on the discontinuation or elimination of a business line or segment shall not prohibit, during any Fiscal Quarter, a transfer of assets or the discontinuance or elimination of a business line or segment (in a single transaction or in a series of related transactions) unless the aggregate assets to be so transferred or utilized in a business line or segment to be so discontinued, when combined with all other assets transferred, and all other assets utilized in all other business lines or segments discontinued, during such Fiscal Quarter and the immediately preceding three (3) Fiscal Quarters, contributed more than 10% of Consolidated EBITDA during the four (4) Fiscal Quarters immediately preceding such Fiscal Quarter.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136" w:name="page137"/>
    <w:bookmarkEnd w:id="136"/>
    <w:p>
      <w:pPr>
        <w:ind w:right="100" w:firstLine="864"/>
        <w:spacing w:after="0" w:line="282" w:lineRule="auto"/>
        <w:rPr>
          <w:sz w:val="20"/>
          <w:szCs w:val="20"/>
          <w:color w:val="auto"/>
        </w:rPr>
      </w:pPr>
      <w:r>
        <w:rPr>
          <w:rFonts w:ascii="Arial" w:cs="Arial" w:eastAsia="Arial" w:hAnsi="Arial"/>
          <w:sz w:val="18"/>
          <w:szCs w:val="18"/>
          <w:color w:val="auto"/>
        </w:rPr>
        <w:t>SECTION 6.5. GUARANTIES. Guarantee or become liable in any way as surety, endorser (other than as endorser of negotiable instruments for deposit or collection in the ordinary course of business), accommodation endorser or otherwise for, nor pledge or hypothecate any assets of Borrower as security for, any liabilities or obligations of any other person or entity, except (a) any of the foregoing in favor of Bank, and (b) additional unsecured guaranties in amounts not to exceed an aggregate of $2,000,000.00 at any time outstanding.</w:t>
      </w:r>
    </w:p>
    <w:p>
      <w:pPr>
        <w:spacing w:after="0" w:line="161" w:lineRule="exact"/>
        <w:rPr>
          <w:sz w:val="20"/>
          <w:szCs w:val="20"/>
          <w:color w:val="auto"/>
        </w:rPr>
      </w:pPr>
    </w:p>
    <w:p>
      <w:pPr>
        <w:ind w:firstLine="864"/>
        <w:spacing w:after="0" w:line="268" w:lineRule="auto"/>
        <w:rPr>
          <w:sz w:val="20"/>
          <w:szCs w:val="20"/>
          <w:color w:val="auto"/>
        </w:rPr>
      </w:pPr>
      <w:r>
        <w:rPr>
          <w:rFonts w:ascii="Arial" w:cs="Arial" w:eastAsia="Arial" w:hAnsi="Arial"/>
          <w:sz w:val="18"/>
          <w:szCs w:val="18"/>
          <w:color w:val="auto"/>
        </w:rPr>
        <w:t xml:space="preserve">SECTION 6.6. LOANS, ADVANCES, INVESTMENTS. Make any loans or advances to or investments in any Person, nor shall any Subsidiary make any loans or advances to or investments in any Person, except any of the foregoing existing as of, and disclosed to Bank prior to, the date hereof and listed on </w:t>
      </w:r>
      <w:r>
        <w:rPr>
          <w:rFonts w:ascii="Arial" w:cs="Arial" w:eastAsia="Arial" w:hAnsi="Arial"/>
          <w:sz w:val="18"/>
          <w:szCs w:val="18"/>
          <w:b w:val="1"/>
          <w:bCs w:val="1"/>
          <w:color w:val="auto"/>
        </w:rPr>
        <w:t>Schedule 6.6</w:t>
      </w:r>
      <w:r>
        <w:rPr>
          <w:rFonts w:ascii="Arial" w:cs="Arial" w:eastAsia="Arial" w:hAnsi="Arial"/>
          <w:sz w:val="18"/>
          <w:szCs w:val="18"/>
          <w:color w:val="auto"/>
        </w:rPr>
        <w:t xml:space="preserve">, and except for (a) loans or advances to employees not exceeding $5,000,000.00 in the aggregate principal amount outstanding at any time, in each case made in the ordinary course of business and consistent with practices existing on the date hereof; (b) deposits required by government agencies or public utilities; (c) loans and advances made prior to the date hereof to Rayonese Textile, Inc., and additional loans and advances after the date hereof to Culp Europe and the China Subsidiaries; (d) other loans and advances in an amount which, together with investments permitted by clause (m) below, does not exceed 10% of Consolidated Net Worth; (e) investments in direct obligations of the United States Government maturing within one year; (f) investments in certificates of deposit issued by a commercial bank whose credit is satisfactory to Bank; (g) investments in commercial paper rated A1 or the equivalent thereof by Standard &amp; Poor’s Rating Group, a division of McGraw-Hill, Inc. (“”S&amp;P”) or P1 or the equivalent thereof by Moody’s Investor Service, Inc. (“Moody’s) and in either case maturing within six (6) months after the date of acquisition; (h) investments in tender bonds the payment of the principal of and interest on which is fully supported by a letter of credit issued by a United States bank whose long-term certificates of deposit are rated at least AA or the equivalent thereof by S&amp;P and Aa or the equivalent thereof by Moody’s; (h(i)) investments in corporate bonds of domestic United States issuers in an aggregate amount not exceeding $50,000,000.00 at any time, which bonds shall be rated at least BBB or the equivalent thereof by S&amp;P or Baa2 or the equivalent thereof by Moody’s and, in either case, shall mature within three (3) years of their issuance; (i) investments pursuant to its deferred compensation plan, funded with life insurance or other investment products through a Rabbi Trust; (j) investments in joint ventures in an aggregate amount not exceeding $25,000,000.00; (k) investments made prior to the date hereof in 3096726 Canada Inc. and/or in Rayonese Textile, Inc; (l) the guaranty by Borrower of the Culp Europe Indebtedness; and/or (m) other investments in an amount which, together with the loans and advances permitted by clause (d) above, does not exceed 10% of Consolidated Net Worth;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loans, advances, deposits or investments permitted by this Section 6.6, no Event of Default shall be in existence or created thereby.</w:t>
      </w:r>
    </w:p>
    <w:p>
      <w:pPr>
        <w:spacing w:after="0" w:line="182" w:lineRule="exact"/>
        <w:rPr>
          <w:sz w:val="20"/>
          <w:szCs w:val="20"/>
          <w:color w:val="auto"/>
        </w:rPr>
      </w:pPr>
    </w:p>
    <w:p>
      <w:pPr>
        <w:ind w:right="100" w:firstLine="864"/>
        <w:spacing w:after="0" w:line="278" w:lineRule="auto"/>
        <w:rPr>
          <w:sz w:val="20"/>
          <w:szCs w:val="20"/>
          <w:color w:val="auto"/>
        </w:rPr>
      </w:pPr>
      <w:r>
        <w:rPr>
          <w:rFonts w:ascii="Arial" w:cs="Arial" w:eastAsia="Arial" w:hAnsi="Arial"/>
          <w:sz w:val="18"/>
          <w:szCs w:val="18"/>
          <w:color w:val="auto"/>
        </w:rPr>
        <w:t>SECTION 6.7. DIVIDENDS, DISTRIBUTIONS. Permit any Subsidiary to, directly or indirectly, create or otherwise cause or suffer to exist or become effective any encumbrance or restriction on the ability of any such Subsidiary to (a) pay any dividends or make any other distributions on its Capital Stock or any other interest, other than dividends paid or payable in the form of additional Capital Stock (it being understood that the requirement under the laws of China that the China Subsidiaries retain at least 10% of its net income shall not constitute a violation of the foregoing covenant), or (b) make or repay any loans or advances to Borrower or the parent of such Subsidiary.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7" w:name="page138"/>
    <w:bookmarkEnd w:id="137"/>
    <w:p>
      <w:pPr>
        <w:ind w:right="140" w:firstLine="864"/>
        <w:spacing w:after="0" w:line="250" w:lineRule="auto"/>
        <w:rPr>
          <w:sz w:val="20"/>
          <w:szCs w:val="20"/>
          <w:color w:val="auto"/>
        </w:rPr>
      </w:pPr>
      <w:r>
        <w:rPr>
          <w:rFonts w:ascii="Arial" w:cs="Arial" w:eastAsia="Arial" w:hAnsi="Arial"/>
          <w:sz w:val="20"/>
          <w:szCs w:val="20"/>
          <w:color w:val="auto"/>
        </w:rPr>
        <w:t>SECTION 6.8. DISSOLUTION. Suffer or permit, nor shall any of Borrower’s Subsidiaries suffer or permit, dissolution or liquidation either in whole or in part or redeem or retire any shares of its own stock or that of any Subsidiary, except through corporate reorganization permitted by Section 6.4.</w:t>
      </w:r>
    </w:p>
    <w:p>
      <w:pPr>
        <w:spacing w:after="0" w:line="186"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SECTION 6.9. TRANSACTIONS WITH AFFILIATES. Enter into or be a party to, nor shall any of Borrower’s Subsidiaries enter into or be a party to, any transaction with any Affiliate of Borrower or such Subsidiary (which Affiliate is not Borrower or a Wholly Owned Subsidiary), except as permitted by law and pursuant to reasonable terms which are fully disclosed to Bank and are no less favorable to Borrower or such Subsidiary than would be obtained in a comparable arms’ length transaction with a Person which is not an Affiliate. “Affiliate” of a relevant Person means (i) a Person that directly, or indirectly through one or more intermediaries, controls the relevant Person (a “Controlling Person”), (ii) any Person (other than the relevant Person or a Subsidiary of the relevant person) which is controlled by or is under common control with a Controlling Person, or (iii) any Person (other than a Subsidiary of the relevant Person) of which the relevant Person owns, directly or indirectly, 20% or more of the common stock or equivalent equity interests; and “control” means possession, directly or indirectly, of the power to direct or cause the direction of the management or policies of a Person, whether through the ownership of voting securities, by contract or otherwise.</w:t>
      </w:r>
    </w:p>
    <w:p>
      <w:pPr>
        <w:spacing w:after="0" w:line="190"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color w:val="auto"/>
        </w:rPr>
        <w:t>CHANGE OF FISCAL YEAR. Change its Fiscal Year.</w:t>
      </w:r>
    </w:p>
    <w:p>
      <w:pPr>
        <w:spacing w:after="0" w:line="216" w:lineRule="exact"/>
        <w:rPr>
          <w:sz w:val="20"/>
          <w:szCs w:val="20"/>
          <w:color w:val="auto"/>
        </w:rPr>
      </w:pPr>
    </w:p>
    <w:p>
      <w:pPr>
        <w:ind w:right="100" w:firstLine="864"/>
        <w:spacing w:after="0" w:line="269" w:lineRule="auto"/>
        <w:rPr>
          <w:sz w:val="20"/>
          <w:szCs w:val="20"/>
          <w:color w:val="auto"/>
        </w:rPr>
      </w:pPr>
      <w:r>
        <w:rPr>
          <w:rFonts w:ascii="Arial" w:cs="Arial" w:eastAsia="Arial" w:hAnsi="Arial"/>
          <w:sz w:val="18"/>
          <w:szCs w:val="18"/>
          <w:color w:val="auto"/>
        </w:rPr>
        <w:t>SECTION 6.11. RESTRICTED PAYMENTS. During the Modification Period, declare or pay any dividend or distribution either in cash, stock or any other property on Borrower's stock now or hereafter outstanding, nor redeem, retire, repurchase or otherwise acquire any shares of any class of Borrower's stock now or hereafter outstanding; provided however, that Borrower may (i) declare and pay dividends or make distributions solely in shares of its Capital Stock (or options, warrants or other rights to acquire its Capital Stock) and (ii) declare and pay cash dividends or make distributions to its shareholders and may redeem, retire, repurchase or otherwise acquire any shares of any class of Borrower's stock, so long as the aggregate amount paid does not exceed $10,000,000.00 during the Modification</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Period. Borrower shall provide to Bank, upon request, any documentation required by Bank to substantiate the appropriateness of amounts paid or to be paid. For avoidance of doubt, upon the expiration of the Modification Period, the provisions of this Section 6.10 shall automatically terminate and be of no further force or effect.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ARTICLE VII</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color w:val="auto"/>
        </w:rPr>
        <w:t>The occurrence of any of the following shall constitute an "Event of Default" under this Agreement:</w:t>
      </w:r>
    </w:p>
    <w:p>
      <w:pPr>
        <w:spacing w:after="0" w:line="216" w:lineRule="exact"/>
        <w:rPr>
          <w:sz w:val="20"/>
          <w:szCs w:val="20"/>
          <w:color w:val="auto"/>
        </w:rPr>
      </w:pPr>
    </w:p>
    <w:p>
      <w:pPr>
        <w:jc w:val="both"/>
        <w:ind w:right="180" w:firstLine="872"/>
        <w:spacing w:after="0" w:line="272" w:lineRule="auto"/>
        <w:tabs>
          <w:tab w:leader="none" w:pos="15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Borrower shall fail to pay when due any principal payable under the Loan Documents or any reimbursement obligation with respect to any Letter of Credit, or shall fail to pay any interest payable under the Loan Documents within five (5) Business Days after such interest shall become due, or shall fail to pay any fee or other amount payable under any of the Loan Documents within five (5)</w:t>
      </w:r>
    </w:p>
    <w:p>
      <w:pPr>
        <w:spacing w:after="0"/>
        <w:rPr>
          <w:rFonts w:ascii="Arial" w:cs="Arial" w:eastAsia="Arial" w:hAnsi="Arial"/>
          <w:sz w:val="18"/>
          <w:szCs w:val="18"/>
          <w:color w:val="auto"/>
        </w:rPr>
      </w:pPr>
      <w:r>
        <w:rPr>
          <w:rFonts w:ascii="Arial" w:cs="Arial" w:eastAsia="Arial" w:hAnsi="Arial"/>
          <w:sz w:val="20"/>
          <w:szCs w:val="20"/>
          <w:color w:val="auto"/>
        </w:rPr>
        <w:t>Business Days after such fee or other amount becomes due.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5" w:right="379" w:bottom="1440" w:gutter="0" w:footer="0" w:header="0"/>
        </w:sectPr>
      </w:pPr>
    </w:p>
    <w:bookmarkStart w:id="138" w:name="page139"/>
    <w:bookmarkEnd w:id="138"/>
    <w:p>
      <w:pPr>
        <w:ind w:left="-20" w:firstLine="872"/>
        <w:spacing w:after="0" w:line="250" w:lineRule="auto"/>
        <w:tabs>
          <w:tab w:leader="none" w:pos="1578"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financial statement or certificate furnished to Bank pursuant to, or any representation or warranty made by Borrower or any other party under this Agreement or any other Loan Document shall prove to be incorrect, false or misleading in any material respect when furnished or made.</w:t>
      </w:r>
    </w:p>
    <w:p>
      <w:pPr>
        <w:spacing w:after="0" w:line="185" w:lineRule="exact"/>
        <w:rPr>
          <w:rFonts w:ascii="Arial" w:cs="Arial" w:eastAsia="Arial" w:hAnsi="Arial"/>
          <w:sz w:val="20"/>
          <w:szCs w:val="20"/>
          <w:color w:val="auto"/>
        </w:rPr>
      </w:pPr>
    </w:p>
    <w:p>
      <w:pPr>
        <w:ind w:left="-20" w:firstLine="872"/>
        <w:spacing w:after="0" w:line="291" w:lineRule="auto"/>
        <w:tabs>
          <w:tab w:leader="none" w:pos="1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default in the performance of or compliance with any obligation, agreement or other provision contained herein or in any other Loan Document (other than those specifically described as an “Event of Default” in this section 7.1), and with respect to any such default that by its nature can be cured, such default shall continue for a period of thirty (30) days from its occurrence.</w:t>
      </w:r>
    </w:p>
    <w:p>
      <w:pPr>
        <w:spacing w:after="0" w:line="151" w:lineRule="exact"/>
        <w:rPr>
          <w:rFonts w:ascii="Arial" w:cs="Arial" w:eastAsia="Arial" w:hAnsi="Arial"/>
          <w:sz w:val="18"/>
          <w:szCs w:val="18"/>
          <w:color w:val="auto"/>
        </w:rPr>
      </w:pPr>
    </w:p>
    <w:p>
      <w:pPr>
        <w:ind w:left="-20" w:firstLine="872"/>
        <w:spacing w:after="0" w:line="260" w:lineRule="auto"/>
        <w:tabs>
          <w:tab w:leader="none" w:pos="1578"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default in the payment or performance of any obligation, or any defined event of default, under the terms of any contract, instrument or document (other than any of the Loan Documents) pursuant to which Borrower, any Subsidiary, any guarantor hereunder (with each such guarantor referred to herein as a "Third Party Obligor") has incurred any debt or other liability to any person or entity, including Bank; provided, however, that any cure period applicable to such default has expired, and with respect to a default under any obligation to any person or entity other than Bank, the amount of said obligation exceeds $5,000,000.00.</w:t>
      </w:r>
    </w:p>
    <w:p>
      <w:pPr>
        <w:spacing w:after="0" w:line="180" w:lineRule="exact"/>
        <w:rPr>
          <w:rFonts w:ascii="Arial" w:cs="Arial" w:eastAsia="Arial" w:hAnsi="Arial"/>
          <w:sz w:val="19"/>
          <w:szCs w:val="19"/>
          <w:color w:val="auto"/>
        </w:rPr>
      </w:pPr>
    </w:p>
    <w:p>
      <w:pPr>
        <w:ind w:left="-20" w:firstLine="872"/>
        <w:spacing w:after="0" w:line="272" w:lineRule="auto"/>
        <w:tabs>
          <w:tab w:leader="none" w:pos="1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Borrower, any Subsidiary or any Third Party Obligor shall suffer or consent to or apply for the appointment of a receiver, trustee, custodian or liquidator of itself or any of its property, or shall make a general assignment for the benefit of creditors; Borrower, any Subsidiary or any Third Party Obligor shall file a voluntary petition in bankruptcy, or seeking reorganization, in order to effect a plan or other arrangement with creditors or any other relief under the Bankruptcy Reform Act, Title 11 of the United States Code, as amended or recodified from time to time ("Bankruptcy Code"), or under any state or federal law granting relief to debtors, whether now or hereafter in effect; or Borrower, any Subsidiary or any Third Party Obligor shall file an answer admitting the jurisdiction of the court and the material allegations of any involuntary petition; or Borrower, any Subsidiary or any Third Party Obligor shall be adjudicated a bankrupt, or an order for relief shall be entered against Borrower, any Subsidiary or any Third Party Obligor by any court of competent jurisdiction under the Bankruptcy Code or any other applicable state or federal law relating to bankruptcy, reorganization or other relief for debtors.</w:t>
      </w:r>
    </w:p>
    <w:p>
      <w:pPr>
        <w:spacing w:after="0" w:line="170" w:lineRule="exact"/>
        <w:rPr>
          <w:rFonts w:ascii="Arial" w:cs="Arial" w:eastAsia="Arial" w:hAnsi="Arial"/>
          <w:sz w:val="18"/>
          <w:szCs w:val="18"/>
          <w:color w:val="auto"/>
        </w:rPr>
      </w:pPr>
    </w:p>
    <w:p>
      <w:pPr>
        <w:ind w:left="-20" w:right="60" w:firstLine="872"/>
        <w:spacing w:after="0" w:line="257" w:lineRule="auto"/>
        <w:tabs>
          <w:tab w:leader="none" w:pos="15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filing of a notice of judgment lien of an amount in excess of $5,000,000.00 against Borrower, any Subsidiary or any Third Party Obligor; or the service of a notice of levy and/or of a writ of attachment or execution, or other like process, against the assets of Borrower, any Subsidiary or any Third Party Obligor; or the entry of one or more judgments or orders for the payment of money in an aggregate amount in excess of $5,000,000.00 against Borrower, any Subsidiary or any Third Party Obligor which judgment or order shall continue unsatisfied and unstayed for a period of thirty (30) days; or any involuntary petition or proceeding pursuant to the Bankruptcy Code or any other applicable state or federal law relating to bankruptcy, reorganization or other relief for debtors is filed or commenced against Borrower, any Subsidiary or any Third Party Obligor and the involuntary petition or proceeding continues undismissed more than sixty (60) days following the date of its filing.</w:t>
      </w:r>
    </w:p>
    <w:p>
      <w:pPr>
        <w:spacing w:after="0" w:line="180" w:lineRule="exact"/>
        <w:rPr>
          <w:rFonts w:ascii="Arial" w:cs="Arial" w:eastAsia="Arial" w:hAnsi="Arial"/>
          <w:sz w:val="19"/>
          <w:szCs w:val="19"/>
          <w:color w:val="auto"/>
        </w:rPr>
      </w:pPr>
    </w:p>
    <w:p>
      <w:pPr>
        <w:jc w:val="both"/>
        <w:ind w:left="-20" w:right="300" w:firstLine="872"/>
        <w:spacing w:after="0" w:line="246" w:lineRule="auto"/>
        <w:tabs>
          <w:tab w:leader="none" w:pos="157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dissolution or liquidation of Borrower, any Subsidiary or any Third Party Obligor, except as may be permitted by Section 6.4(c); or Borrower, any Subsidiary or any Third Party Obligor, or any of its directors, stockholders or members, shall take action seeking to effect the dissolution or liquidation of Borrower, such Subsidiary or such Third Party Obligor, except as may be permitted by Section 6.4(c).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555" w:right="359" w:bottom="1440" w:gutter="0" w:footer="0" w:header="0"/>
        </w:sectPr>
      </w:pPr>
    </w:p>
    <w:bookmarkStart w:id="139" w:name="page140"/>
    <w:bookmarkEnd w:id="139"/>
    <w:p>
      <w:pPr>
        <w:ind w:right="40" w:firstLine="872"/>
        <w:spacing w:after="0" w:line="269" w:lineRule="auto"/>
        <w:tabs>
          <w:tab w:leader="none" w:pos="1598"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Except for the Culp Family, any Person or two or more Persons acting in concert shall have acquired beneficial ownership (within the meaning of Rule 13d-3 of the Securities and Exchange Commission under the Securities Act of 1934) of 20% or more of the outstanding shares of the voting stock of Borrower; or (ii) as of any date a majority of the board of directors of Borrower consists of individuals who were not either (x) directors of Borrower as of the corresponding date of the previous year, (y) selected or nominated to become directors by the board of directors of Borrower of which a majority consisted of individuals described in the foregoing clause (x), or</w:t>
      </w:r>
    </w:p>
    <w:p>
      <w:pPr>
        <w:spacing w:after="0" w:line="3" w:lineRule="exact"/>
        <w:rPr>
          <w:rFonts w:ascii="Arial" w:cs="Arial" w:eastAsia="Arial" w:hAnsi="Arial"/>
          <w:sz w:val="18"/>
          <w:szCs w:val="18"/>
          <w:color w:val="auto"/>
        </w:rPr>
      </w:pPr>
    </w:p>
    <w:p>
      <w:pPr>
        <w:ind w:right="60" w:firstLine="8"/>
        <w:spacing w:after="0" w:line="241" w:lineRule="auto"/>
        <w:tabs>
          <w:tab w:leader="none" w:pos="269" w:val="left"/>
        </w:tabs>
        <w:numPr>
          <w:ilvl w:val="0"/>
          <w:numId w:val="98"/>
        </w:numPr>
        <w:rPr>
          <w:rFonts w:ascii="Arial" w:cs="Arial" w:eastAsia="Arial" w:hAnsi="Arial"/>
          <w:sz w:val="20"/>
          <w:szCs w:val="20"/>
          <w:color w:val="auto"/>
        </w:rPr>
      </w:pPr>
      <w:r>
        <w:rPr>
          <w:rFonts w:ascii="Arial" w:cs="Arial" w:eastAsia="Arial" w:hAnsi="Arial"/>
          <w:sz w:val="20"/>
          <w:szCs w:val="20"/>
          <w:color w:val="auto"/>
        </w:rPr>
        <w:t>selected or nominated to become directors by the board of directors of Borrower of which a majority consisted of individuals described in the foregoing clause (x) and individuals described in the foregoing clause (y). “Culp Family” means Robert G. Culp, III, his spouse, his mother, his siblings, his lineal descendants, and any trusts established for the benefit of any of them.</w:t>
      </w:r>
    </w:p>
    <w:p>
      <w:pPr>
        <w:spacing w:after="0" w:line="195" w:lineRule="exact"/>
        <w:rPr>
          <w:rFonts w:ascii="Arial" w:cs="Arial" w:eastAsia="Arial" w:hAnsi="Arial"/>
          <w:sz w:val="20"/>
          <w:szCs w:val="20"/>
          <w:color w:val="auto"/>
        </w:rPr>
      </w:pPr>
    </w:p>
    <w:p>
      <w:pPr>
        <w:ind w:left="1560" w:hanging="688"/>
        <w:spacing w:after="0"/>
        <w:tabs>
          <w:tab w:leader="none" w:pos="15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An “Event of Default” (as defined therein) under the Omaha Note Purchase Agreement shall have occurred and be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ind w:left="1560" w:hanging="688"/>
        <w:spacing w:after="0"/>
        <w:tabs>
          <w:tab w:leader="none" w:pos="15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An “Event of Default” (as defined therein) shall have occurred under any of the Culp Europe Loan Documents.</w:t>
      </w:r>
    </w:p>
    <w:p>
      <w:pPr>
        <w:spacing w:after="0" w:line="227" w:lineRule="exact"/>
        <w:rPr>
          <w:sz w:val="20"/>
          <w:szCs w:val="20"/>
          <w:color w:val="auto"/>
        </w:rPr>
      </w:pPr>
    </w:p>
    <w:p>
      <w:pPr>
        <w:ind w:firstLine="864"/>
        <w:spacing w:after="0" w:line="242" w:lineRule="auto"/>
        <w:rPr>
          <w:sz w:val="20"/>
          <w:szCs w:val="20"/>
          <w:color w:val="auto"/>
        </w:rPr>
      </w:pPr>
      <w:r>
        <w:rPr>
          <w:rFonts w:ascii="Arial" w:cs="Arial" w:eastAsia="Arial" w:hAnsi="Arial"/>
          <w:sz w:val="20"/>
          <w:szCs w:val="20"/>
          <w:color w:val="auto"/>
        </w:rPr>
        <w:t>SECTION 7.2. REMEDIES. Upon the occurrence of any Event of Default: (a) all indebtedness of Borrower under each of the Loan Documents, any term thereof to the contrary notwithstanding, shall at Bank's option and without notice become immediately due and payable without presentment, demand, protest or notice of dishonor, all of which are hereby expressly waived by Borrower; (b) the obligation, if any, of Bank to extend any further credit under any of the Loan Documents shall immediately cease and terminate; and (c) Bank shall have all rights, powers and remedies available under each of the Loan Documents, or accorded by law, including without limitation the right to resort to any or all security for any credit subject hereto and to exercise any or all of the rights of a beneficiary or secured party pursuant to applicable law. All rights, powers and remedies of Bank may be exercised at any time by Bank and from time to time after the occurrence of an Event of Default, are cumulative and not exclusive, and shall be in addition to any other rights, powers or remedies provided by law or equity.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ind w:right="40" w:firstLine="864"/>
        <w:spacing w:after="0" w:line="244" w:lineRule="auto"/>
        <w:rPr>
          <w:sz w:val="20"/>
          <w:szCs w:val="20"/>
          <w:color w:val="auto"/>
        </w:rPr>
      </w:pPr>
      <w:r>
        <w:rPr>
          <w:rFonts w:ascii="Arial" w:cs="Arial" w:eastAsia="Arial" w:hAnsi="Arial"/>
          <w:sz w:val="20"/>
          <w:szCs w:val="20"/>
          <w:color w:val="auto"/>
        </w:rPr>
        <w:t>SECTION 8.1. NO WAIVER. No delay, failure or discontinuance of Bank in exercising any right, power or remedy under any of the Loan Documents shall affect or operate as a waiver of such right, power or remedy; nor shall any single or partial exercise of any such right, power or remedy preclude, waive or otherwise affect any other or further exercise thereof or the exercise of any other right, power or remedy. Any waiver, permit, consent or approval of any kind by Bank of any breach of or default under any of the Loan Documents must be in writing and shall be effective only to the extent set forth in such writing.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0" w:name="page141"/>
    <w:bookmarkEnd w:id="140"/>
    <w:p>
      <w:pPr>
        <w:ind w:firstLine="864"/>
        <w:spacing w:after="0" w:line="260" w:lineRule="auto"/>
        <w:rPr>
          <w:sz w:val="20"/>
          <w:szCs w:val="20"/>
          <w:color w:val="auto"/>
        </w:rPr>
      </w:pPr>
      <w:r>
        <w:rPr>
          <w:rFonts w:ascii="Arial" w:cs="Arial" w:eastAsia="Arial" w:hAnsi="Arial"/>
          <w:sz w:val="20"/>
          <w:szCs w:val="20"/>
          <w:color w:val="auto"/>
        </w:rPr>
        <w:t>SECTION 8.2. NOTICES. All notices, requests and demands which any party is required or may desire to give to any other party under any provision of this Agreement must be in writing delivered to each party at the following address:</w:t>
      </w:r>
    </w:p>
    <w:p>
      <w:pPr>
        <w:spacing w:after="0" w:line="177"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20"/>
          <w:szCs w:val="20"/>
          <w:color w:val="auto"/>
        </w:rPr>
        <w:t>Culp, Inc.</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1823 Eastchester Drive</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P.O. Box 2686</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High Point, North Carolina 27265</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Attention: Kenneth R. Bowling</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Vice President and Chief Financial Officer</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Telecopier Number: (336) 887-7089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20"/>
          <w:szCs w:val="20"/>
          <w:color w:val="auto"/>
        </w:rPr>
        <w:t>BANK:</w:t>
      </w:r>
      <w:r>
        <w:rPr>
          <w:sz w:val="20"/>
          <w:szCs w:val="20"/>
          <w:color w:val="auto"/>
        </w:rPr>
        <w:tab/>
      </w:r>
      <w:r>
        <w:rPr>
          <w:rFonts w:ascii="Arial" w:cs="Arial" w:eastAsia="Arial" w:hAnsi="Arial"/>
          <w:sz w:val="20"/>
          <w:szCs w:val="20"/>
          <w:color w:val="auto"/>
        </w:rPr>
        <w:t>WELLS FARGO BANK, NATIONAL ASSOCIATION</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100 North Main Street</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MAC D4001-053</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Winston-Salem, North Carolina 27101</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Attention: Timothy Sechrest, Senior Vice President</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Telecopier Number: (336) 732-4833</w:t>
      </w:r>
    </w:p>
    <w:p>
      <w:pPr>
        <w:spacing w:after="0" w:line="216"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or to such other address as any party may designate by written notice to all other parties. Each such notice, request and demand shall be deemed given or made as follows: (a) if sent by hand delivery, upon delivery; (b) if sent by mail, upon the earlier of the date of receipt or three (3) days after deposit in the U.S. mail, first class and postage prepaid; and (c) if sent by telecopy, upon receipt.</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5" w:right="419" w:bottom="1440" w:gutter="0" w:footer="0" w:header="0"/>
        </w:sectPr>
      </w:pPr>
    </w:p>
    <w:bookmarkStart w:id="141" w:name="page142"/>
    <w:bookmarkEnd w:id="141"/>
    <w:p>
      <w:pPr>
        <w:ind w:firstLine="864"/>
        <w:spacing w:after="0" w:line="256" w:lineRule="auto"/>
        <w:rPr>
          <w:sz w:val="20"/>
          <w:szCs w:val="20"/>
          <w:color w:val="auto"/>
        </w:rPr>
      </w:pPr>
      <w:r>
        <w:rPr>
          <w:rFonts w:ascii="Arial" w:cs="Arial" w:eastAsia="Arial" w:hAnsi="Arial"/>
          <w:sz w:val="19"/>
          <w:szCs w:val="19"/>
          <w:color w:val="auto"/>
        </w:rPr>
        <w:t>SECTION 8.3. COSTS, EXPENSES AND ATTORNEYS' FEES. Borrower shall pay to Bank immediately upon demand the full amount of all payments, advances, charges, costs and expenses, including reasonable attorneys' fees (to include outside counsel fees), expended or incurred by Bank in connection with (a) the negotiation and preparation of this Agreement and the other Loan Documents, Bank's continued administration hereof and thereof, and the preparation of any amendments and waivers hereto and thereto, (b) the enforcement of Bank's rights and/or the collection of any amounts which become due to Bank under any of the Loan Documents, and (c) the prosecution or defense of any action in any way related to any of the Loan Documents,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Borrower or any other person or entity.</w:t>
      </w:r>
    </w:p>
    <w:p>
      <w:pPr>
        <w:spacing w:after="0" w:line="184" w:lineRule="exact"/>
        <w:rPr>
          <w:sz w:val="20"/>
          <w:szCs w:val="20"/>
          <w:color w:val="auto"/>
        </w:rPr>
      </w:pPr>
    </w:p>
    <w:p>
      <w:pPr>
        <w:ind w:right="20" w:firstLine="864"/>
        <w:spacing w:after="0" w:line="274" w:lineRule="auto"/>
        <w:rPr>
          <w:sz w:val="20"/>
          <w:szCs w:val="20"/>
          <w:color w:val="auto"/>
        </w:rPr>
      </w:pPr>
      <w:r>
        <w:rPr>
          <w:rFonts w:ascii="Arial" w:cs="Arial" w:eastAsia="Arial" w:hAnsi="Arial"/>
          <w:sz w:val="18"/>
          <w:szCs w:val="18"/>
          <w:color w:val="auto"/>
        </w:rPr>
        <w:t>SECTION 8.4. SUCCESSORS, ASSIGNMENT. This Agreement shall be binding upon and inure to the benefit of the heirs, executors, administrators, legal representatives, successors and assigns of the parties; provided however, that Borrower may not assign or transfer its interests or rights hereunder without Bank's prior written consent. Bank reserves the right to sell, assign, transfer, negotiate or grant participations in all or any part of, or any interest in, Bank's rights and benefits under each of the Loan Documents. Bank shall use commercially reasonable efforts to give prior notice to Borrower before assigning more than fifty percent (50%) of its interest in the loans made hereunder. In connection therewith, Bank may disclose all documents and information which Bank now has or may hereafter acquire relating to any credit subject hereto, Borrower or its business, or any collateral required hereunder.</w:t>
      </w:r>
    </w:p>
    <w:p>
      <w:pPr>
        <w:spacing w:after="0" w:line="168" w:lineRule="exact"/>
        <w:rPr>
          <w:sz w:val="20"/>
          <w:szCs w:val="20"/>
          <w:color w:val="auto"/>
        </w:rPr>
      </w:pPr>
    </w:p>
    <w:p>
      <w:pPr>
        <w:ind w:right="160" w:firstLine="864"/>
        <w:spacing w:after="0" w:line="246" w:lineRule="auto"/>
        <w:rPr>
          <w:sz w:val="20"/>
          <w:szCs w:val="20"/>
          <w:color w:val="auto"/>
        </w:rPr>
      </w:pPr>
      <w:r>
        <w:rPr>
          <w:rFonts w:ascii="Arial" w:cs="Arial" w:eastAsia="Arial" w:hAnsi="Arial"/>
          <w:sz w:val="20"/>
          <w:szCs w:val="20"/>
          <w:color w:val="auto"/>
        </w:rPr>
        <w:t>SECTION 8.5. ENTIRE AGREEMENT; AMENDMENT. This Agreement and the other Loan Documents constitute the entire agreement between Borrower and Bank with respect to each credit subject hereto and supersede all prior negotiations, communications, discussions and correspondence concerning the subject matter hereof. This Agreement may be amended or modified only in writing signed by each party hereto.</w:t>
      </w:r>
    </w:p>
    <w:p>
      <w:pPr>
        <w:spacing w:after="0" w:line="191" w:lineRule="exact"/>
        <w:rPr>
          <w:sz w:val="20"/>
          <w:szCs w:val="20"/>
          <w:color w:val="auto"/>
        </w:rPr>
      </w:pPr>
    </w:p>
    <w:p>
      <w:pPr>
        <w:ind w:right="20" w:firstLine="864"/>
        <w:spacing w:after="0" w:line="246" w:lineRule="auto"/>
        <w:rPr>
          <w:sz w:val="20"/>
          <w:szCs w:val="20"/>
          <w:color w:val="auto"/>
        </w:rPr>
      </w:pPr>
      <w:r>
        <w:rPr>
          <w:rFonts w:ascii="Arial" w:cs="Arial" w:eastAsia="Arial" w:hAnsi="Arial"/>
          <w:sz w:val="20"/>
          <w:szCs w:val="20"/>
          <w:color w:val="auto"/>
        </w:rPr>
        <w:t>SECTION 8.6. NO THIRD PARTY BENEFICIARIES. This Agreement is made and entered into for the sole protection and benefit of the parties hereto and their respective permitted successors and assigns, and no other person or entity shall be a third party beneficiary of, or have any direct or indirect cause of action or claim in connection with, this Agreement or any other of the Loan Documents to which it is not a party.</w:t>
      </w:r>
    </w:p>
    <w:p>
      <w:pPr>
        <w:spacing w:after="0" w:line="191" w:lineRule="exact"/>
        <w:rPr>
          <w:sz w:val="20"/>
          <w:szCs w:val="20"/>
          <w:color w:val="auto"/>
        </w:rPr>
      </w:pPr>
    </w:p>
    <w:p>
      <w:pPr>
        <w:ind w:right="420" w:firstLine="864"/>
        <w:spacing w:after="0" w:line="260" w:lineRule="auto"/>
        <w:rPr>
          <w:sz w:val="20"/>
          <w:szCs w:val="20"/>
          <w:color w:val="auto"/>
        </w:rPr>
      </w:pPr>
      <w:r>
        <w:rPr>
          <w:rFonts w:ascii="Arial" w:cs="Arial" w:eastAsia="Arial" w:hAnsi="Arial"/>
          <w:sz w:val="20"/>
          <w:szCs w:val="20"/>
          <w:color w:val="auto"/>
        </w:rPr>
        <w:t>SECTION 8.7. TIME. Time is of the essence of each and every provision of this Agreement and each other of the Loan Documents.</w:t>
      </w:r>
    </w:p>
    <w:p>
      <w:pPr>
        <w:spacing w:after="0" w:line="177" w:lineRule="exact"/>
        <w:rPr>
          <w:sz w:val="20"/>
          <w:szCs w:val="20"/>
          <w:color w:val="auto"/>
        </w:rPr>
      </w:pPr>
    </w:p>
    <w:p>
      <w:pPr>
        <w:ind w:right="280" w:firstLine="864"/>
        <w:spacing w:after="0" w:line="250" w:lineRule="auto"/>
        <w:rPr>
          <w:sz w:val="20"/>
          <w:szCs w:val="20"/>
          <w:color w:val="auto"/>
        </w:rPr>
      </w:pPr>
      <w:r>
        <w:rPr>
          <w:rFonts w:ascii="Arial" w:cs="Arial" w:eastAsia="Arial" w:hAnsi="Arial"/>
          <w:sz w:val="20"/>
          <w:szCs w:val="20"/>
          <w:color w:val="auto"/>
        </w:rPr>
        <w:t>SECTION 8.8. SEVERABILITY OF PROVISIONS. If any provision of this Agreement shall be prohibited by or invalid under applicable law, such provision shall be ineffective only to the extent of such prohibition or invalidity without invalidating the remainder of such provision or any remaining provisions of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2" w:name="page143"/>
    <w:bookmarkEnd w:id="142"/>
    <w:p>
      <w:pPr>
        <w:ind w:right="80" w:firstLine="864"/>
        <w:spacing w:after="0" w:line="385" w:lineRule="auto"/>
        <w:rPr>
          <w:sz w:val="20"/>
          <w:szCs w:val="20"/>
          <w:color w:val="auto"/>
        </w:rPr>
      </w:pPr>
      <w:r>
        <w:rPr>
          <w:rFonts w:ascii="Arial" w:cs="Arial" w:eastAsia="Arial" w:hAnsi="Arial"/>
          <w:sz w:val="16"/>
          <w:szCs w:val="16"/>
          <w:color w:val="auto"/>
        </w:rPr>
        <w:t>SECTION 8.9. COUNTERPARTS. This Agreement may be executed in any number of counterparts, each of which when executed and delivered shall be deemed to be an original, and all of which when taken together shall constitute one and the same Agreement.</w:t>
      </w:r>
    </w:p>
    <w:p>
      <w:pPr>
        <w:spacing w:after="0" w:line="85" w:lineRule="exact"/>
        <w:rPr>
          <w:sz w:val="20"/>
          <w:szCs w:val="20"/>
          <w:color w:val="auto"/>
        </w:rPr>
      </w:pPr>
    </w:p>
    <w:p>
      <w:pPr>
        <w:ind w:right="200" w:firstLine="864"/>
        <w:spacing w:after="0" w:line="260" w:lineRule="auto"/>
        <w:rPr>
          <w:sz w:val="20"/>
          <w:szCs w:val="20"/>
          <w:color w:val="auto"/>
        </w:rPr>
      </w:pPr>
      <w:r>
        <w:rPr>
          <w:rFonts w:ascii="Arial" w:cs="Arial" w:eastAsia="Arial" w:hAnsi="Arial"/>
          <w:sz w:val="20"/>
          <w:szCs w:val="20"/>
          <w:color w:val="auto"/>
        </w:rPr>
        <w:t>SECTION 8.10. GOVERNING LAW. This Agreement shall be governed by and construed in accordance with the laws of the State of North Carolina, without reference to the conflicts of law or choice of law principles thereof.</w:t>
      </w:r>
    </w:p>
    <w:p>
      <w:pPr>
        <w:spacing w:after="0" w:line="177"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0"/>
          <w:szCs w:val="20"/>
          <w:color w:val="auto"/>
        </w:rPr>
        <w:t>SECTION 8.11.</w:t>
      </w:r>
      <w:r>
        <w:rPr>
          <w:sz w:val="20"/>
          <w:szCs w:val="20"/>
          <w:color w:val="auto"/>
        </w:rPr>
        <w:tab/>
      </w:r>
      <w:r>
        <w:rPr>
          <w:rFonts w:ascii="Arial" w:cs="Arial" w:eastAsia="Arial" w:hAnsi="Arial"/>
          <w:sz w:val="19"/>
          <w:szCs w:val="19"/>
          <w:color w:val="auto"/>
        </w:rPr>
        <w:t>ARBITRATION; WAIVER OF JURY TRIAL.</w:t>
      </w:r>
    </w:p>
    <w:p>
      <w:pPr>
        <w:spacing w:after="0" w:line="216" w:lineRule="exact"/>
        <w:rPr>
          <w:sz w:val="20"/>
          <w:szCs w:val="20"/>
          <w:color w:val="auto"/>
        </w:rPr>
      </w:pPr>
    </w:p>
    <w:p>
      <w:pPr>
        <w:ind w:right="60" w:firstLine="872"/>
        <w:spacing w:after="0" w:line="244" w:lineRule="auto"/>
        <w:tabs>
          <w:tab w:leader="none" w:pos="1587"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 The parties hereto agree, upon demand by any party, to submit to binding arbitration all claims, disputes and controversies between or among them (and their respective employees, officers, directors, attorneys, and other agents), whether in tort, contract or otherwise in any way arising out of or relating to (i) any credit subject hereto, or any of the Loan Documents, and their negotiation, execution, collateralization, administration, repayment, modification, extension, substitution, formation, inducement, enforcement, default or termination; or (ii) requests for additional credit.</w:t>
      </w:r>
    </w:p>
    <w:p>
      <w:pPr>
        <w:spacing w:after="0" w:line="194" w:lineRule="exact"/>
        <w:rPr>
          <w:rFonts w:ascii="Arial" w:cs="Arial" w:eastAsia="Arial" w:hAnsi="Arial"/>
          <w:sz w:val="20"/>
          <w:szCs w:val="20"/>
          <w:color w:val="auto"/>
        </w:rPr>
      </w:pPr>
    </w:p>
    <w:p>
      <w:pPr>
        <w:ind w:right="60" w:firstLine="872"/>
        <w:spacing w:after="0" w:line="271" w:lineRule="auto"/>
        <w:tabs>
          <w:tab w:leader="none" w:pos="159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Governing Rules</w:t>
      </w:r>
      <w:r>
        <w:rPr>
          <w:rFonts w:ascii="Arial" w:cs="Arial" w:eastAsia="Arial" w:hAnsi="Arial"/>
          <w:sz w:val="18"/>
          <w:szCs w:val="18"/>
          <w:color w:val="auto"/>
        </w:rPr>
        <w:t>. Any arbitration proceeding will (i) proceed in a location in North Carolina selected by the American Arbitration Association (“AAA”); (ii) be governed by the Federal Arbitration Act (Title 9 of the United States Code), notwithstanding any conflicting choice of law provision in any of the documents between the parties; and (iii) be conducted by the AAA, or such other administrator as the parties shall mutually agree upon, in accordance with the AAA’s commercial dispute resolution procedures, unless the claim or counterclaim is at least $1,000,000.00 exclusive of claimed interest, arbitration fees and costs in which case the arbitration shall be conducted in accordance with the AAA’s optional procedures for large, complex commercial disputes (the commercial dispute resolution procedures or the optional procedures for large, complex commercial disputes to be referred to herein, as applicable, as the “Rules”). If there is any inconsistency between the terms hereof and the Rules, the terms and procedures set forth herein shall control. Any party who fails or refuses to submit to arbitration following a demand by any other party shall bear all costs and expenses incurred by such other party in compelling arbitration of any dispute. Nothing contained herein shall be deemed to be a waiver by any party that is a bank of the protections afforded to it under 12 U.S.C. §91 or any similar applicable state law.</w:t>
      </w:r>
    </w:p>
    <w:p>
      <w:pPr>
        <w:spacing w:after="0" w:line="169" w:lineRule="exact"/>
        <w:rPr>
          <w:rFonts w:ascii="Arial" w:cs="Arial" w:eastAsia="Arial" w:hAnsi="Arial"/>
          <w:sz w:val="18"/>
          <w:szCs w:val="18"/>
          <w:color w:val="auto"/>
        </w:rPr>
      </w:pPr>
    </w:p>
    <w:p>
      <w:pPr>
        <w:ind w:firstLine="872"/>
        <w:spacing w:after="0" w:line="259" w:lineRule="auto"/>
        <w:tabs>
          <w:tab w:leader="none" w:pos="1587"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 Waiver of Provisional Remedies, Self-Help and Foreclosure</w:t>
      </w:r>
      <w:r>
        <w:rPr>
          <w:rFonts w:ascii="Arial" w:cs="Arial" w:eastAsia="Arial" w:hAnsi="Arial"/>
          <w:sz w:val="19"/>
          <w:szCs w:val="19"/>
          <w:color w:val="auto"/>
        </w:rPr>
        <w:t>. The arbitration requirement does not limit the right of any party to (i) foreclose against real or personal property collateral; (ii) exercise self-help remedies relating to collateral or proceeds of collateral such as setoff or repossession; or (iii) obtain provisional or ancillary remedies such as replevin, injunctive relief, attachment or the appointment of a receiver, before during or after the pendency of any arbitration proceeding. This exclusion does not constitute a waiver of the right or obligation of any party to submit any dispute to arbitration or reference hereunder, including those arising from the exercise of the actions detailed in sections (i), (ii) and (iii) of this paragraph.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3" w:name="page144"/>
    <w:bookmarkEnd w:id="143"/>
    <w:p>
      <w:pPr>
        <w:ind w:right="20" w:firstLine="872"/>
        <w:spacing w:after="0" w:line="267" w:lineRule="auto"/>
        <w:tabs>
          <w:tab w:leader="none" w:pos="159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Arbitrator Qualifications and Powers</w:t>
      </w:r>
      <w:r>
        <w:rPr>
          <w:rFonts w:ascii="Arial" w:cs="Arial" w:eastAsia="Arial" w:hAnsi="Arial"/>
          <w:sz w:val="18"/>
          <w:szCs w:val="18"/>
          <w:color w:val="auto"/>
        </w:rPr>
        <w:t>. Any arbitration proceeding in which the amount in controversy is $5,000,000.00 or less will be decided by a single arbitrator selected according to the Rules, and who shall not render an award of greater than $5,000,000.00. Any dispute in which the amount in controversy exceeds $5,000,000.00 shall be decided by majority vote of a panel of three arbitrators; provided however, that all three arbitrators must actively participate in all hearings and deliberations. The arbitrator will be a neutral attorney licensed in the State of North Carolina or a neutral retired judge of the state or federal judiciary of North Carolina, in either case with a minimum of ten years experience in the substantive law applicable to the subject matter of the dispute to be arbitrated. The arbitrator will determine whether or not an issue is arbitratable and will give effect to the statutes of limitation in determining any claim. In any arbitration proceeding the arbitrator will decide (by documents only or with a hearing at the arbitrator's discretion) any pre-hearing motions which are similar to motions to dismiss for failure to state a claim or motions for summary adjudication. The arbitrator shall resolve all disputes in accordance with the substantive law of North Carolina and may grant any remedy or relief that a court of such state could order or grant within the scope hereof and such ancillary relief as is necessary to make effective any award. The arbitrator shall also have the power to award recovery of all costs and fees, to impose sanctions and to take such other action as the arbitrator deems necessary to the same extent a judge could pursuant to the Federal Rules of Civil Procedure, the North Carolina Rules of Civil Procedure or other applicable</w:t>
      </w:r>
    </w:p>
    <w:p>
      <w:pPr>
        <w:spacing w:after="0" w:line="5" w:lineRule="exact"/>
        <w:rPr>
          <w:rFonts w:ascii="Arial" w:cs="Arial" w:eastAsia="Arial" w:hAnsi="Arial"/>
          <w:sz w:val="18"/>
          <w:szCs w:val="18"/>
          <w:color w:val="auto"/>
        </w:rPr>
      </w:pPr>
    </w:p>
    <w:p>
      <w:pPr>
        <w:spacing w:after="0" w:line="281" w:lineRule="auto"/>
        <w:rPr>
          <w:rFonts w:ascii="Arial" w:cs="Arial" w:eastAsia="Arial" w:hAnsi="Arial"/>
          <w:sz w:val="18"/>
          <w:szCs w:val="18"/>
          <w:color w:val="auto"/>
        </w:rPr>
      </w:pPr>
      <w:r>
        <w:rPr>
          <w:rFonts w:ascii="Arial" w:cs="Arial" w:eastAsia="Arial" w:hAnsi="Arial"/>
          <w:sz w:val="18"/>
          <w:szCs w:val="18"/>
          <w:color w:val="auto"/>
        </w:rPr>
        <w:t>law. Judgment upon the award rendered by the arbitrator may be entered in any court having jurisdiction. The institution and maintenance of an action for judicial relief or pursuit of a provisional or ancillary remedy shall not constitute a waiver of the right of any party, including the plaintiff, to submit the controversy or claim to arbitration if any other party contests such action for judicial relief.</w:t>
      </w:r>
    </w:p>
    <w:p>
      <w:pPr>
        <w:spacing w:after="0" w:line="161" w:lineRule="exact"/>
        <w:rPr>
          <w:rFonts w:ascii="Arial" w:cs="Arial" w:eastAsia="Arial" w:hAnsi="Arial"/>
          <w:sz w:val="18"/>
          <w:szCs w:val="18"/>
          <w:color w:val="auto"/>
        </w:rPr>
      </w:pPr>
    </w:p>
    <w:p>
      <w:pPr>
        <w:ind w:right="120" w:firstLine="872"/>
        <w:spacing w:after="0" w:line="244" w:lineRule="auto"/>
        <w:tabs>
          <w:tab w:leader="none" w:pos="1587"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Discovery</w:t>
      </w:r>
      <w:r>
        <w:rPr>
          <w:rFonts w:ascii="Arial" w:cs="Arial" w:eastAsia="Arial" w:hAnsi="Arial"/>
          <w:sz w:val="20"/>
          <w:szCs w:val="20"/>
          <w:color w:val="auto"/>
        </w:rPr>
        <w:t>. In any arbitration proceeding, discovery will be permitted in accordance with the Rules. All discovery shall be expressly limited to matters directly relevant to the dispute being arbitrated and must be completed no later than 20 days before the hearing date. Any requests for an extension of the discovery periods, or any discovery disputes, will be subject to final determination by the arbitrator upon a showing that the request for discovery is essential for the party's presentation and that no alternative means for obtaining information is available.</w:t>
      </w:r>
    </w:p>
    <w:p>
      <w:pPr>
        <w:spacing w:after="0" w:line="194" w:lineRule="exact"/>
        <w:rPr>
          <w:rFonts w:ascii="Arial" w:cs="Arial" w:eastAsia="Arial" w:hAnsi="Arial"/>
          <w:sz w:val="20"/>
          <w:szCs w:val="20"/>
          <w:color w:val="auto"/>
        </w:rPr>
      </w:pPr>
    </w:p>
    <w:p>
      <w:pPr>
        <w:ind w:right="200" w:firstLine="872"/>
        <w:spacing w:after="0" w:line="342" w:lineRule="auto"/>
        <w:tabs>
          <w:tab w:leader="none" w:pos="156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Class Proceedings and Consolidations</w:t>
      </w:r>
      <w:r>
        <w:rPr>
          <w:rFonts w:ascii="Arial" w:cs="Arial" w:eastAsia="Arial" w:hAnsi="Arial"/>
          <w:sz w:val="16"/>
          <w:szCs w:val="16"/>
          <w:color w:val="auto"/>
        </w:rPr>
        <w:t>. No party hereto shall be entitled to join or consolidate disputes by or against others in any arbitration, except parties who have executed any Loan Document, or to include in any arbitration any dispute as a representative or member of a class, or to act in any arbitration in the interest of the general public or in a private attorney general capacity.</w:t>
      </w:r>
    </w:p>
    <w:p>
      <w:pPr>
        <w:spacing w:after="0" w:line="111" w:lineRule="exact"/>
        <w:rPr>
          <w:rFonts w:ascii="Arial" w:cs="Arial" w:eastAsia="Arial" w:hAnsi="Arial"/>
          <w:sz w:val="16"/>
          <w:szCs w:val="16"/>
          <w:color w:val="auto"/>
        </w:rPr>
      </w:pPr>
    </w:p>
    <w:p>
      <w:pPr>
        <w:ind w:left="5460" w:right="100" w:hanging="4588"/>
        <w:spacing w:after="0" w:line="492" w:lineRule="auto"/>
        <w:tabs>
          <w:tab w:leader="none" w:pos="1607"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Payment Of Arbitration Costs And Fees</w:t>
      </w:r>
      <w:r>
        <w:rPr>
          <w:rFonts w:ascii="Arial" w:cs="Arial" w:eastAsia="Arial" w:hAnsi="Arial"/>
          <w:sz w:val="20"/>
          <w:szCs w:val="20"/>
          <w:b w:val="1"/>
          <w:bCs w:val="1"/>
          <w:color w:val="auto"/>
        </w:rPr>
        <w:t>.</w:t>
      </w:r>
      <w:r>
        <w:rPr>
          <w:rFonts w:ascii="Arial" w:cs="Arial" w:eastAsia="Arial" w:hAnsi="Arial"/>
          <w:sz w:val="20"/>
          <w:szCs w:val="20"/>
          <w:color w:val="auto"/>
        </w:rPr>
        <w:t xml:space="preserve"> The arbitrator shall award all costs and expenses of the arbitration proceeding.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144" w:name="page145"/>
    <w:bookmarkEnd w:id="144"/>
    <w:p>
      <w:pPr>
        <w:ind w:right="40" w:firstLine="872"/>
        <w:spacing w:after="0" w:line="269" w:lineRule="auto"/>
        <w:tabs>
          <w:tab w:leader="none" w:pos="159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To the maximum extent practicable, the AAA, the arbitrators and the parties shall take all action required to conclude any arbitration proceeding within 180 days of the filing of the dispute with the AAA. No arbitrator or other party to an arbitration proceeding may disclose the existence, content or results thereof, except for disclosures of information by a party required in the ordinary course of its business or by applicable law or regulation. If more than one agreement for arbitration by or between the parties potentially applies to a dispute, the arbitration provision most directly related to the Loan Documents or the subject matter of the</w:t>
      </w:r>
    </w:p>
    <w:p>
      <w:pPr>
        <w:spacing w:after="0" w:line="3" w:lineRule="exact"/>
        <w:rPr>
          <w:rFonts w:ascii="Arial" w:cs="Arial" w:eastAsia="Arial" w:hAnsi="Arial"/>
          <w:sz w:val="18"/>
          <w:szCs w:val="18"/>
          <w:color w:val="auto"/>
        </w:rPr>
      </w:pPr>
    </w:p>
    <w:p>
      <w:pPr>
        <w:ind w:right="340"/>
        <w:spacing w:after="0" w:line="244" w:lineRule="auto"/>
        <w:rPr>
          <w:rFonts w:ascii="Arial" w:cs="Arial" w:eastAsia="Arial" w:hAnsi="Arial"/>
          <w:sz w:val="18"/>
          <w:szCs w:val="18"/>
          <w:color w:val="auto"/>
        </w:rPr>
      </w:pPr>
      <w:r>
        <w:rPr>
          <w:rFonts w:ascii="Arial" w:cs="Arial" w:eastAsia="Arial" w:hAnsi="Arial"/>
          <w:sz w:val="20"/>
          <w:szCs w:val="20"/>
          <w:color w:val="auto"/>
        </w:rPr>
        <w:t>dispute shall control. This arbitration provision shall survive termination, amendment or expiration of any of the Loan Documents or any relationship between the parties.</w:t>
      </w:r>
    </w:p>
    <w:p>
      <w:pPr>
        <w:spacing w:after="0" w:line="191" w:lineRule="exact"/>
        <w:rPr>
          <w:rFonts w:ascii="Arial" w:cs="Arial" w:eastAsia="Arial" w:hAnsi="Arial"/>
          <w:sz w:val="18"/>
          <w:szCs w:val="18"/>
          <w:color w:val="auto"/>
        </w:rPr>
      </w:pPr>
    </w:p>
    <w:p>
      <w:pPr>
        <w:ind w:firstLine="872"/>
        <w:spacing w:after="0" w:line="282" w:lineRule="auto"/>
        <w:tabs>
          <w:tab w:leader="none" w:pos="155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acknowledge that by agreeing to binding arbitration they have irrevocably waived their respective rights to a jury trial with respect to any action, claim or other proceeding arising out of any dispute in connection this Agreement or any other agreement or document delivered in connection herewith, any rights or obligations hereunder or thereunder, or the performance of such rights and obligations. This provision is a material inducement for the parties entering into this Agreement.</w:t>
      </w:r>
    </w:p>
    <w:p>
      <w:pPr>
        <w:spacing w:after="0" w:line="161" w:lineRule="exact"/>
        <w:rPr>
          <w:sz w:val="20"/>
          <w:szCs w:val="20"/>
          <w:color w:val="auto"/>
        </w:rPr>
      </w:pPr>
    </w:p>
    <w:p>
      <w:pPr>
        <w:ind w:right="280" w:firstLine="864"/>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with the intention that it constitute an instrument under seal, as of the day and year first written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340" w:type="dxa"/>
            <w:vAlign w:val="bottom"/>
            <w:gridSpan w:val="2"/>
          </w:tcPr>
          <w:p>
            <w:pPr>
              <w:ind w:left="680"/>
              <w:spacing w:after="0"/>
              <w:rPr>
                <w:sz w:val="20"/>
                <w:szCs w:val="20"/>
                <w:color w:val="auto"/>
              </w:rPr>
            </w:pPr>
            <w:r>
              <w:rPr>
                <w:rFonts w:ascii="Arial" w:cs="Arial" w:eastAsia="Arial" w:hAnsi="Arial"/>
                <w:sz w:val="20"/>
                <w:szCs w:val="20"/>
                <w:color w:val="auto"/>
              </w:rPr>
              <w:t>WELLS FARGO BANK,</w:t>
            </w:r>
          </w:p>
        </w:tc>
      </w:tr>
      <w:tr>
        <w:trPr>
          <w:trHeight w:val="445"/>
        </w:trPr>
        <w:tc>
          <w:tcPr>
            <w:tcW w:w="4900" w:type="dxa"/>
            <w:vAlign w:val="bottom"/>
            <w:gridSpan w:val="2"/>
          </w:tcPr>
          <w:p>
            <w:pPr>
              <w:spacing w:after="0"/>
              <w:rPr>
                <w:sz w:val="20"/>
                <w:szCs w:val="20"/>
                <w:color w:val="auto"/>
              </w:rPr>
            </w:pPr>
            <w:r>
              <w:rPr>
                <w:rFonts w:ascii="Arial" w:cs="Arial" w:eastAsia="Arial" w:hAnsi="Arial"/>
                <w:sz w:val="20"/>
                <w:szCs w:val="20"/>
                <w:color w:val="auto"/>
              </w:rPr>
              <w:t>CULP, INC.</w:t>
            </w:r>
          </w:p>
        </w:tc>
        <w:tc>
          <w:tcPr>
            <w:tcW w:w="6340" w:type="dxa"/>
            <w:vAlign w:val="bottom"/>
            <w:gridSpan w:val="2"/>
          </w:tcPr>
          <w:p>
            <w:pPr>
              <w:ind w:left="680"/>
              <w:spacing w:after="0"/>
              <w:rPr>
                <w:sz w:val="20"/>
                <w:szCs w:val="20"/>
                <w:color w:val="auto"/>
              </w:rPr>
            </w:pPr>
            <w:r>
              <w:rPr>
                <w:rFonts w:ascii="Arial" w:cs="Arial" w:eastAsia="Arial" w:hAnsi="Arial"/>
                <w:sz w:val="20"/>
                <w:szCs w:val="20"/>
                <w:color w:val="auto"/>
              </w:rPr>
              <w:t>NATIONAL ASSOCIATION</w:t>
            </w:r>
          </w:p>
        </w:tc>
      </w:tr>
      <w:tr>
        <w:trPr>
          <w:trHeight w:val="658"/>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spacing w:after="0"/>
              <w:rPr>
                <w:sz w:val="24"/>
                <w:szCs w:val="24"/>
                <w:color w:val="auto"/>
              </w:rPr>
            </w:pPr>
          </w:p>
        </w:tc>
        <w:tc>
          <w:tcPr>
            <w:tcW w:w="1440" w:type="dxa"/>
            <w:vAlign w:val="bottom"/>
          </w:tcPr>
          <w:p>
            <w:pPr>
              <w:ind w:left="68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spacing w:after="0"/>
              <w:rPr>
                <w:sz w:val="24"/>
                <w:szCs w:val="24"/>
                <w:color w:val="auto"/>
              </w:rPr>
            </w:pPr>
          </w:p>
        </w:tc>
      </w:tr>
      <w:tr>
        <w:trPr>
          <w:trHeight w:val="439"/>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4140" w:type="dxa"/>
            <w:vAlign w:val="bottom"/>
            <w:tcBorders>
              <w:bottom w:val="single" w:sz="8" w:color="auto"/>
            </w:tcBorders>
          </w:tcPr>
          <w:p>
            <w:pPr>
              <w:spacing w:after="0"/>
              <w:rPr>
                <w:sz w:val="24"/>
                <w:szCs w:val="24"/>
                <w:color w:val="auto"/>
              </w:rPr>
            </w:pPr>
          </w:p>
        </w:tc>
        <w:tc>
          <w:tcPr>
            <w:tcW w:w="1440" w:type="dxa"/>
            <w:vAlign w:val="bottom"/>
          </w:tcPr>
          <w:p>
            <w:pPr>
              <w:ind w:left="680"/>
              <w:spacing w:after="0"/>
              <w:rPr>
                <w:sz w:val="20"/>
                <w:szCs w:val="20"/>
                <w:color w:val="auto"/>
              </w:rPr>
            </w:pPr>
            <w:r>
              <w:rPr>
                <w:rFonts w:ascii="Arial" w:cs="Arial" w:eastAsia="Arial" w:hAnsi="Arial"/>
                <w:sz w:val="20"/>
                <w:szCs w:val="20"/>
                <w:color w:val="auto"/>
              </w:rPr>
              <w:t>Name:</w:t>
            </w:r>
          </w:p>
        </w:tc>
        <w:tc>
          <w:tcPr>
            <w:tcW w:w="4900" w:type="dxa"/>
            <w:vAlign w:val="bottom"/>
            <w:tcBorders>
              <w:bottom w:val="single" w:sz="8" w:color="auto"/>
            </w:tcBorders>
          </w:tcPr>
          <w:p>
            <w:pPr>
              <w:spacing w:after="0"/>
              <w:rPr>
                <w:sz w:val="24"/>
                <w:szCs w:val="24"/>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20"/>
                <w:szCs w:val="20"/>
                <w:color w:val="auto"/>
              </w:rPr>
              <w:t>Title:</w:t>
            </w:r>
          </w:p>
        </w:tc>
        <w:tc>
          <w:tcPr>
            <w:tcW w:w="6340" w:type="dxa"/>
            <w:vAlign w:val="bottom"/>
            <w:gridSpan w:val="2"/>
          </w:tcPr>
          <w:p>
            <w:pPr>
              <w:ind w:left="680"/>
              <w:spacing w:after="0"/>
              <w:rPr>
                <w:sz w:val="20"/>
                <w:szCs w:val="20"/>
                <w:color w:val="auto"/>
              </w:rPr>
            </w:pPr>
            <w:r>
              <w:rPr>
                <w:rFonts w:ascii="Arial" w:cs="Arial" w:eastAsia="Arial" w:hAnsi="Arial"/>
                <w:sz w:val="20"/>
                <w:szCs w:val="20"/>
                <w:color w:val="auto"/>
              </w:rPr>
              <w:t>Title:</w:t>
            </w:r>
          </w:p>
        </w:tc>
      </w:tr>
      <w:tr>
        <w:trPr>
          <w:trHeight w:val="686"/>
        </w:trPr>
        <w:tc>
          <w:tcPr>
            <w:tcW w:w="760" w:type="dxa"/>
            <w:vAlign w:val="bottom"/>
          </w:tcPr>
          <w:p>
            <w:pPr>
              <w:spacing w:after="0"/>
              <w:rPr>
                <w:sz w:val="24"/>
                <w:szCs w:val="24"/>
                <w:color w:val="auto"/>
              </w:rPr>
            </w:pPr>
          </w:p>
        </w:tc>
        <w:tc>
          <w:tcPr>
            <w:tcW w:w="4140" w:type="dxa"/>
            <w:vAlign w:val="bottom"/>
            <w:tcBorders>
              <w:top w:val="single" w:sz="8" w:color="auto"/>
            </w:tcBorders>
          </w:tcPr>
          <w:p>
            <w:pPr>
              <w:spacing w:after="0"/>
              <w:rPr>
                <w:sz w:val="24"/>
                <w:szCs w:val="24"/>
                <w:color w:val="auto"/>
              </w:rPr>
            </w:pPr>
          </w:p>
        </w:tc>
        <w:tc>
          <w:tcPr>
            <w:tcW w:w="1440" w:type="dxa"/>
            <w:vAlign w:val="bottom"/>
          </w:tcPr>
          <w:p>
            <w:pPr>
              <w:ind w:left="560"/>
              <w:spacing w:after="0"/>
              <w:rPr>
                <w:sz w:val="20"/>
                <w:szCs w:val="20"/>
                <w:color w:val="auto"/>
              </w:rPr>
            </w:pPr>
            <w:r>
              <w:rPr>
                <w:rFonts w:ascii="Arial" w:cs="Arial" w:eastAsia="Arial" w:hAnsi="Arial"/>
                <w:sz w:val="20"/>
                <w:szCs w:val="20"/>
                <w:color w:val="auto"/>
              </w:rPr>
              <w:t>-29-</w:t>
            </w:r>
          </w:p>
        </w:tc>
        <w:tc>
          <w:tcPr>
            <w:tcW w:w="49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555" w:right="339" w:bottom="1440" w:gutter="0" w:footer="0" w:header="0"/>
        </w:sectPr>
      </w:pPr>
    </w:p>
    <w:bookmarkStart w:id="145" w:name="page146"/>
    <w:bookmarkEnd w:id="145"/>
    <w:p>
      <w:pPr>
        <w:ind w:left="10260"/>
        <w:spacing w:after="0"/>
        <w:rPr>
          <w:sz w:val="20"/>
          <w:szCs w:val="20"/>
          <w:color w:val="auto"/>
        </w:rPr>
      </w:pPr>
      <w:r>
        <w:rPr>
          <w:rFonts w:ascii="Arial" w:cs="Arial" w:eastAsia="Arial" w:hAnsi="Arial"/>
          <w:sz w:val="19"/>
          <w:szCs w:val="19"/>
          <w:color w:val="auto"/>
        </w:rPr>
        <w:t>Exhibit 10.2</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SIXTH AMENDMENT TO CREDIT AGREEMENT</w:t>
      </w:r>
    </w:p>
    <w:p>
      <w:pPr>
        <w:spacing w:after="0" w:line="243" w:lineRule="exact"/>
        <w:rPr>
          <w:sz w:val="20"/>
          <w:szCs w:val="20"/>
          <w:color w:val="auto"/>
        </w:rPr>
      </w:pPr>
    </w:p>
    <w:p>
      <w:pPr>
        <w:ind w:right="420" w:firstLine="864"/>
        <w:spacing w:after="0" w:line="316" w:lineRule="auto"/>
        <w:rPr>
          <w:sz w:val="20"/>
          <w:szCs w:val="20"/>
          <w:color w:val="auto"/>
        </w:rPr>
      </w:pPr>
      <w:r>
        <w:rPr>
          <w:rFonts w:ascii="Arial" w:cs="Arial" w:eastAsia="Arial" w:hAnsi="Arial"/>
          <w:sz w:val="18"/>
          <w:szCs w:val="18"/>
          <w:color w:val="auto"/>
        </w:rPr>
        <w:t>THIS SIXTH AMENDMENT TO CREDIT AGREEMENT (this "Amendment") is entered into as of March 27, 2020 by and between CULP, INC., a North Carolina corporation ("Borrower"), and WELLS FARGO BANK, NATIONAL ASSOCIATION ("Bank").</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right="80" w:firstLine="864"/>
        <w:spacing w:after="0" w:line="276" w:lineRule="auto"/>
        <w:rPr>
          <w:sz w:val="20"/>
          <w:szCs w:val="20"/>
          <w:color w:val="auto"/>
        </w:rPr>
      </w:pPr>
      <w:r>
        <w:rPr>
          <w:rFonts w:ascii="Arial" w:cs="Arial" w:eastAsia="Arial" w:hAnsi="Arial"/>
          <w:sz w:val="18"/>
          <w:szCs w:val="18"/>
          <w:color w:val="auto"/>
        </w:rPr>
        <w:t>WHEREAS, Borrower is currently indebted to Bank pursuant to the terms and conditions of that certain Credit Agreement between Borrower and Bank dated as of August 13, 2013, as amended by a First Amendment to Credit Agreement between Borrower and Bank dated as of July 10, 2015, by a Second Amendment to Credit Agreement between Borrower and Bank dated as of March 10, 2016, by a Third Amendment to Credit Agreement between Borrower and Bank dated as of August 1, 2016, by a Fourth Amendment to Credit Agreement between Borrower and Bank dated as of September 27, 2016, by a Fifth Amendment to Credit Agreement between Borrower and Bank dated as of August 13, 2018, and as further amended from time to time ("Credit Agreement").</w:t>
      </w:r>
    </w:p>
    <w:p>
      <w:pPr>
        <w:spacing w:after="0" w:line="192" w:lineRule="exact"/>
        <w:rPr>
          <w:sz w:val="20"/>
          <w:szCs w:val="20"/>
          <w:color w:val="auto"/>
        </w:rPr>
      </w:pPr>
    </w:p>
    <w:p>
      <w:pPr>
        <w:ind w:right="100" w:firstLine="864"/>
        <w:spacing w:after="0" w:line="260" w:lineRule="auto"/>
        <w:rPr>
          <w:sz w:val="20"/>
          <w:szCs w:val="20"/>
          <w:color w:val="auto"/>
        </w:rPr>
      </w:pPr>
      <w:r>
        <w:rPr>
          <w:rFonts w:ascii="Arial" w:cs="Arial" w:eastAsia="Arial" w:hAnsi="Arial"/>
          <w:sz w:val="20"/>
          <w:szCs w:val="20"/>
          <w:color w:val="auto"/>
        </w:rPr>
        <w:t>WHEREAS, Bank and Borrower have agreed to certain changes in the terms and conditions set forth in the Credit Agreement and have agreed to amend the Credit Agreement to reflect said changes.</w:t>
      </w:r>
    </w:p>
    <w:p>
      <w:pPr>
        <w:spacing w:after="0" w:line="204" w:lineRule="exact"/>
        <w:rPr>
          <w:sz w:val="20"/>
          <w:szCs w:val="20"/>
          <w:color w:val="auto"/>
        </w:rPr>
      </w:pPr>
    </w:p>
    <w:p>
      <w:pPr>
        <w:ind w:right="60" w:firstLine="864"/>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as follows:</w:t>
      </w:r>
    </w:p>
    <w:p>
      <w:pPr>
        <w:spacing w:after="0" w:line="204" w:lineRule="exact"/>
        <w:rPr>
          <w:sz w:val="20"/>
          <w:szCs w:val="20"/>
          <w:color w:val="auto"/>
        </w:rPr>
      </w:pPr>
    </w:p>
    <w:p>
      <w:pPr>
        <w:ind w:left="1660" w:hanging="788"/>
        <w:spacing w:after="0"/>
        <w:tabs>
          <w:tab w:leader="none" w:pos="166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The Credit Agreement is hereby amended as set forth in this Section 1.</w:t>
      </w:r>
    </w:p>
    <w:p>
      <w:pPr>
        <w:spacing w:after="0" w:line="243"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1.1 The definition of “Applicable Margin” set forth in Article I of the Credit Agreement is amended and restated in its entirety to read as follows:</w:t>
      </w:r>
    </w:p>
    <w:p>
      <w:pPr>
        <w:spacing w:after="0" w:line="204" w:lineRule="exact"/>
        <w:rPr>
          <w:sz w:val="20"/>
          <w:szCs w:val="20"/>
          <w:color w:val="auto"/>
        </w:rPr>
      </w:pPr>
    </w:p>
    <w:p>
      <w:pPr>
        <w:jc w:val="both"/>
        <w:ind w:left="880" w:right="460" w:firstLine="764"/>
        <w:spacing w:after="0" w:line="246" w:lineRule="auto"/>
        <w:rPr>
          <w:sz w:val="20"/>
          <w:szCs w:val="20"/>
          <w:color w:val="auto"/>
        </w:rPr>
      </w:pPr>
      <w:r>
        <w:rPr>
          <w:rFonts w:ascii="Arial" w:cs="Arial" w:eastAsia="Arial" w:hAnsi="Arial"/>
          <w:sz w:val="20"/>
          <w:szCs w:val="20"/>
          <w:color w:val="auto"/>
        </w:rPr>
        <w:t>“(a) “Applicable Margin” shall be 1.45% until the first Rate Determination Date (hereafter defined) after May 3, 2020, and as of and after such first Rate Determination Date after May 3, 2020 shall be determined based on the pricing grid set forth below and tied to the Consolidated Total Debt to Consolidated EBITDA ratio determined as set forth in Section 5.9(b):</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00" w:type="dxa"/>
            <w:vAlign w:val="bottom"/>
            <w:tcBorders>
              <w:right w:val="single" w:sz="8" w:color="auto"/>
            </w:tcBorders>
          </w:tcPr>
          <w:p>
            <w:pPr>
              <w:spacing w:after="0"/>
              <w:rPr>
                <w:sz w:val="19"/>
                <w:szCs w:val="19"/>
                <w:color w:val="auto"/>
              </w:rPr>
            </w:pPr>
          </w:p>
        </w:tc>
        <w:tc>
          <w:tcPr>
            <w:tcW w:w="2380" w:type="dxa"/>
            <w:vAlign w:val="bottom"/>
            <w:tcBorders>
              <w:top w:val="single" w:sz="8" w:color="auto"/>
              <w:right w:val="single" w:sz="8" w:color="auto"/>
            </w:tcBorders>
            <w:shd w:val="clear" w:color="auto" w:fill="C0C0C0"/>
          </w:tcPr>
          <w:p>
            <w:pPr>
              <w:jc w:val="center"/>
              <w:spacing w:after="0" w:line="227" w:lineRule="exact"/>
              <w:rPr>
                <w:sz w:val="20"/>
                <w:szCs w:val="20"/>
                <w:color w:val="auto"/>
              </w:rPr>
            </w:pPr>
            <w:r>
              <w:rPr>
                <w:rFonts w:ascii="Arial" w:cs="Arial" w:eastAsia="Arial" w:hAnsi="Arial"/>
                <w:sz w:val="20"/>
                <w:szCs w:val="20"/>
                <w:color w:val="auto"/>
                <w:w w:val="87"/>
              </w:rPr>
              <w:t>Price</w:t>
            </w:r>
          </w:p>
        </w:tc>
        <w:tc>
          <w:tcPr>
            <w:tcW w:w="3560" w:type="dxa"/>
            <w:vAlign w:val="bottom"/>
            <w:tcBorders>
              <w:top w:val="single" w:sz="8" w:color="auto"/>
              <w:right w:val="single" w:sz="8" w:color="auto"/>
            </w:tcBorders>
            <w:shd w:val="clear" w:color="auto" w:fill="C0C0C0"/>
          </w:tcPr>
          <w:p>
            <w:pPr>
              <w:ind w:left="800"/>
              <w:spacing w:after="0" w:line="227" w:lineRule="exact"/>
              <w:rPr>
                <w:sz w:val="20"/>
                <w:szCs w:val="20"/>
                <w:color w:val="auto"/>
              </w:rPr>
            </w:pPr>
            <w:r>
              <w:rPr>
                <w:rFonts w:ascii="Arial" w:cs="Arial" w:eastAsia="Arial" w:hAnsi="Arial"/>
                <w:sz w:val="20"/>
                <w:szCs w:val="20"/>
                <w:color w:val="auto"/>
              </w:rPr>
              <w:t>Consolidated Total Debt</w:t>
            </w:r>
          </w:p>
        </w:tc>
        <w:tc>
          <w:tcPr>
            <w:tcW w:w="31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3"/>
              </w:rPr>
              <w:t>Applicable Margin</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1"/>
              </w:rPr>
              <w:t>Level</w:t>
            </w:r>
          </w:p>
        </w:tc>
        <w:tc>
          <w:tcPr>
            <w:tcW w:w="3560" w:type="dxa"/>
            <w:vAlign w:val="bottom"/>
            <w:tcBorders>
              <w:right w:val="single" w:sz="8" w:color="auto"/>
            </w:tcBorders>
            <w:vMerge w:val="restart"/>
            <w:shd w:val="clear" w:color="auto" w:fill="C0C0C0"/>
          </w:tcPr>
          <w:p>
            <w:pPr>
              <w:ind w:left="520"/>
              <w:spacing w:after="0"/>
              <w:rPr>
                <w:sz w:val="20"/>
                <w:szCs w:val="20"/>
                <w:color w:val="auto"/>
              </w:rPr>
            </w:pPr>
            <w:r>
              <w:rPr>
                <w:rFonts w:ascii="Arial" w:cs="Arial" w:eastAsia="Arial" w:hAnsi="Arial"/>
                <w:sz w:val="20"/>
                <w:szCs w:val="20"/>
                <w:color w:val="auto"/>
              </w:rPr>
              <w:t>to Consolidated EBITDA Ratio</w:t>
            </w:r>
          </w:p>
        </w:tc>
        <w:tc>
          <w:tcPr>
            <w:tcW w:w="3160" w:type="dxa"/>
            <w:vAlign w:val="bottom"/>
            <w:tcBorders>
              <w:right w:val="single" w:sz="8" w:color="auto"/>
            </w:tcBorders>
            <w:vMerge w:val="continue"/>
            <w:shd w:val="clear" w:color="auto" w:fill="C0C0C0"/>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00" w:type="dxa"/>
            <w:vAlign w:val="bottom"/>
            <w:tcBorders>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vMerge w:val="continue"/>
            <w:shd w:val="clear" w:color="auto" w:fill="C0C0C0"/>
          </w:tcPr>
          <w:p>
            <w:pPr>
              <w:spacing w:after="0"/>
              <w:rPr>
                <w:sz w:val="10"/>
                <w:szCs w:val="10"/>
                <w:color w:val="auto"/>
              </w:rPr>
            </w:pPr>
          </w:p>
        </w:tc>
        <w:tc>
          <w:tcPr>
            <w:tcW w:w="3560" w:type="dxa"/>
            <w:vAlign w:val="bottom"/>
            <w:tcBorders>
              <w:bottom w:val="single" w:sz="8" w:color="auto"/>
              <w:right w:val="single" w:sz="8" w:color="auto"/>
            </w:tcBorders>
            <w:vMerge w:val="continue"/>
            <w:shd w:val="clear" w:color="auto" w:fill="C0C0C0"/>
          </w:tcPr>
          <w:p>
            <w:pPr>
              <w:spacing w:after="0"/>
              <w:rPr>
                <w:sz w:val="10"/>
                <w:szCs w:val="10"/>
                <w:color w:val="auto"/>
              </w:rPr>
            </w:pPr>
          </w:p>
        </w:tc>
        <w:tc>
          <w:tcPr>
            <w:tcW w:w="3160" w:type="dxa"/>
            <w:vAlign w:val="bottom"/>
            <w:tcBorders>
              <w:bottom w:val="single" w:sz="8" w:color="auto"/>
              <w:right w:val="single" w:sz="8" w:color="auto"/>
            </w:tcBorders>
            <w:shd w:val="clear" w:color="auto" w:fill="C0C0C0"/>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0.75 to 1.00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1.45%</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0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3160" w:type="dxa"/>
            <w:vAlign w:val="bottom"/>
            <w:tcBorders>
              <w:bottom w:val="single" w:sz="8" w:color="auto"/>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0.75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1.90%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00" w:type="dxa"/>
            <w:vAlign w:val="bottom"/>
            <w:tcBorders>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less than 1.50 to 1.00</w:t>
            </w:r>
          </w:p>
        </w:tc>
        <w:tc>
          <w:tcPr>
            <w:tcW w:w="3160" w:type="dxa"/>
            <w:vAlign w:val="bottom"/>
            <w:tcBorders>
              <w:bottom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III</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1.50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2.35%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00" w:type="dxa"/>
            <w:vAlign w:val="bottom"/>
            <w:tcBorders>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less than 2.25 to 1.00</w:t>
            </w:r>
          </w:p>
        </w:tc>
        <w:tc>
          <w:tcPr>
            <w:tcW w:w="3160" w:type="dxa"/>
            <w:vAlign w:val="bottom"/>
            <w:tcBorders>
              <w:bottom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1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IV</w:t>
            </w:r>
          </w:p>
        </w:tc>
        <w:tc>
          <w:tcPr>
            <w:tcW w:w="35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Greater than or equal to 2.25 to 1.00 but</w:t>
            </w:r>
          </w:p>
        </w:tc>
        <w:tc>
          <w:tcPr>
            <w:tcW w:w="31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2.80%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00" w:type="dxa"/>
            <w:vAlign w:val="bottom"/>
            <w:tcBorders>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less than 3.00 to 1.00</w:t>
            </w:r>
          </w:p>
        </w:tc>
        <w:tc>
          <w:tcPr>
            <w:tcW w:w="3160" w:type="dxa"/>
            <w:vAlign w:val="bottom"/>
            <w:tcBorders>
              <w:bottom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6"/>
        </w:trPr>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560" w:type="dxa"/>
            <w:vAlign w:val="bottom"/>
          </w:tcPr>
          <w:p>
            <w:pPr>
              <w:ind w:left="2020"/>
              <w:spacing w:after="0"/>
              <w:rPr>
                <w:sz w:val="20"/>
                <w:szCs w:val="20"/>
                <w:color w:val="auto"/>
              </w:rPr>
            </w:pPr>
            <w:r>
              <w:rPr>
                <w:rFonts w:ascii="Arial" w:cs="Arial" w:eastAsia="Arial" w:hAnsi="Arial"/>
                <w:sz w:val="20"/>
                <w:szCs w:val="20"/>
                <w:color w:val="auto"/>
              </w:rPr>
              <w:t>-1-</w:t>
            </w: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46" w:name="page147"/>
    <w:bookmarkEnd w:id="146"/>
    <w:p>
      <w:pPr>
        <w:jc w:val="both"/>
        <w:ind w:left="880" w:right="440"/>
        <w:spacing w:after="0" w:line="269" w:lineRule="auto"/>
        <w:rPr>
          <w:sz w:val="20"/>
          <w:szCs w:val="20"/>
          <w:color w:val="auto"/>
        </w:rPr>
      </w:pPr>
      <w:r>
        <w:rPr>
          <w:rFonts w:ascii="Arial" w:cs="Arial" w:eastAsia="Arial" w:hAnsi="Arial"/>
          <w:sz w:val="18"/>
          <w:szCs w:val="18"/>
          <w:color w:val="auto"/>
        </w:rPr>
        <w:t>The Applicable Margin shall be determined effective as of the date (herein, the “</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which is 10 days after receipt by the Bank of the annual (in the case of the fourth Fiscal Quarter) and quarterly financial statements of the Borrower pursuant to the provisions of Section 5.3 for the Fiscal Quarter as of the end of which the foregoing ratio is being determined, based on such quarterly or annual financial statements, as the case may be, for the Fiscal Quarter then ended, and the Applicable Margin so determined shall remain effective from such Rate Determination Date until the date which is 10 days after receipt by the Bank of the financial statements for the next Fiscal Quarter (which latter date shall be a new Rate Determination Date); provided that if the Borrower shall have failed to deliver to the Bank the financial statements required to be delivered pursuant to the provisions of Section 5.3 with respect to the Fiscal Quarter most recently ended within the time period specified herein, then for the period beginning on the day which is 10 days after the required delivery date of such financial statements and ending on the earlier of (A) 10 days after the date on which the Borrower shall deliver to the Bank the financial statements to be delivered pursuant to the provisions of Section 5.3 with respect to such Fiscal Quarter or any subsequent Fiscal Quarter, or (B) 10 days after the date on which the Borrower shall deliver to the Bank annual financial statements required to be delivered pursuant to the provisions of Section 5.3(a) with respect to the Fiscal Year which includes such Fiscal Quarter or any subsequent Fiscal Year, the Applicable Margin shall be determined at Pricing Level IV set forth above. Any change in the Applicable Margin as of any Rate Determination Date shall result in a corresponding change, effective on and as of such Rate Determination Date, in the interest rate applicable to the Loans outstanding on such Rate Determination Date.”</w:t>
      </w:r>
    </w:p>
    <w:p>
      <w:pPr>
        <w:spacing w:after="0" w:line="20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1.2 Section 2.1(a) of the Credit Agreement is hereby amended by (a) deleting “August 15, 2020” as the last day on which Bank will make advances under the Line of Credit, and by substituting for said date “August 15, 2022”, and (b) deleting “TWENTY-FIVE MILLION AND NO/100 DOLLARS ($25,000,000.00)” as the maximum principal amount of the Line of Credit and by substituting “THIRTY MILLION AND NO/100 DOLLARS ($30,000,000.00”) in lieu thereof.</w:t>
      </w:r>
    </w:p>
    <w:p>
      <w:pPr>
        <w:spacing w:after="0" w:line="21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1.3 Section 2.2(a) of the Credit Agreement is hereby amended by deleting the sentence which reads “Each change in Daily One Month LIBOR shall become effective on each Business Day such change is announced within Bank.”</w:t>
      </w: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250"/>
        </w:trPr>
        <w:tc>
          <w:tcPr>
            <w:tcW w:w="480" w:type="dxa"/>
            <w:vAlign w:val="bottom"/>
          </w:tcPr>
          <w:p>
            <w:pPr>
              <w:jc w:val="right"/>
              <w:ind w:right="141"/>
              <w:spacing w:after="0"/>
              <w:rPr>
                <w:sz w:val="20"/>
                <w:szCs w:val="20"/>
                <w:color w:val="auto"/>
              </w:rPr>
            </w:pPr>
            <w:r>
              <w:rPr>
                <w:rFonts w:ascii="Arial" w:cs="Arial" w:eastAsia="Arial" w:hAnsi="Arial"/>
                <w:sz w:val="20"/>
                <w:szCs w:val="20"/>
                <w:color w:val="auto"/>
                <w:w w:val="78"/>
              </w:rPr>
              <w:t>1.4</w:t>
            </w:r>
          </w:p>
        </w:tc>
        <w:tc>
          <w:tcPr>
            <w:tcW w:w="9000" w:type="dxa"/>
            <w:vAlign w:val="bottom"/>
            <w:gridSpan w:val="3"/>
          </w:tcPr>
          <w:p>
            <w:pPr>
              <w:ind w:left="400"/>
              <w:spacing w:after="0"/>
              <w:rPr>
                <w:sz w:val="20"/>
                <w:szCs w:val="20"/>
                <w:color w:val="auto"/>
              </w:rPr>
            </w:pPr>
            <w:r>
              <w:rPr>
                <w:rFonts w:ascii="Arial" w:cs="Arial" w:eastAsia="Arial" w:hAnsi="Arial"/>
                <w:sz w:val="20"/>
                <w:szCs w:val="20"/>
                <w:color w:val="auto"/>
                <w:w w:val="93"/>
              </w:rPr>
              <w:t>Section 2.2(b) of the Credit Agreement is hereby amended and restated in its entirety to read as follows:</w:t>
            </w:r>
          </w:p>
        </w:tc>
      </w:tr>
      <w:tr>
        <w:trPr>
          <w:trHeight w:val="428"/>
        </w:trPr>
        <w:tc>
          <w:tcPr>
            <w:tcW w:w="48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20"/>
                <w:szCs w:val="20"/>
                <w:color w:val="auto"/>
              </w:rPr>
              <w:t>“(b)</w:t>
            </w:r>
          </w:p>
        </w:tc>
        <w:tc>
          <w:tcPr>
            <w:tcW w:w="7800" w:type="dxa"/>
            <w:vAlign w:val="bottom"/>
            <w:gridSpan w:val="2"/>
          </w:tcPr>
          <w:p>
            <w:pPr>
              <w:spacing w:after="0"/>
              <w:rPr>
                <w:sz w:val="20"/>
                <w:szCs w:val="20"/>
                <w:color w:val="auto"/>
              </w:rPr>
            </w:pPr>
            <w:r>
              <w:rPr>
                <w:rFonts w:ascii="Arial" w:cs="Arial" w:eastAsia="Arial" w:hAnsi="Arial"/>
                <w:sz w:val="20"/>
                <w:szCs w:val="20"/>
                <w:color w:val="auto"/>
                <w:w w:val="92"/>
              </w:rPr>
              <w:t>Taxes and Regulatory Costs. Borrower shall pay to Bank immediately upon demand, in addition</w:t>
            </w:r>
          </w:p>
        </w:tc>
      </w:tr>
      <w:tr>
        <w:trPr>
          <w:trHeight w:val="20"/>
        </w:trPr>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880" w:right="860"/>
        <w:spacing w:after="0" w:line="271" w:lineRule="auto"/>
        <w:rPr>
          <w:sz w:val="20"/>
          <w:szCs w:val="20"/>
          <w:color w:val="auto"/>
        </w:rPr>
      </w:pPr>
      <w:r>
        <w:rPr>
          <w:rFonts w:ascii="Arial" w:cs="Arial" w:eastAsia="Arial" w:hAnsi="Arial"/>
          <w:sz w:val="18"/>
          <w:szCs w:val="18"/>
          <w:color w:val="auto"/>
        </w:rPr>
        <w:t>to any other amounts due or to become due hereunder, any and all (i) withholdings, interest equalization taxes, stamp taxes or other taxes (except income and franchise taxes) imposed by any domestic or foreign governmental authority and related in any manner to LIBOR, and (ii) costs, expenses and liabilities arising from or in connection with reserve percentages prescribed by the Board of Governors of the Federal Reserve System (or any successor) for "Eurocurrency Liabilities" (as defined in Regulation D of the Federal Reserve Board, as amended), assessment rates imposed by the Federal Deposit Insurance Corporation, or similar requirements or costs imposed by any domestic or foreign governmental authority or resulting from compliance by Bank with any request or directive (whether or not having the force of law) from any central bank or other governmental authority and related in any manner to LIBOR. In determining which of the foregoing are attributable to any LIBOR option available to Borrower hereunder, any reasonable allocation made by Bank among its operations shall be conclusive and binding upon Borrower.”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tbl>
      <w:tblPr>
        <w:tblLayout w:type="fixed"/>
        <w:tblInd w:w="880" w:type="dxa"/>
        <w:tblCellMar>
          <w:top w:w="0" w:type="dxa"/>
          <w:left w:w="0" w:type="dxa"/>
          <w:bottom w:w="0" w:type="dxa"/>
          <w:right w:w="0" w:type="dxa"/>
        </w:tblCellMar>
      </w:tblPr>
      <w:tr>
        <w:trPr>
          <w:trHeight w:val="250"/>
        </w:trPr>
        <w:tc>
          <w:tcPr>
            <w:tcW w:w="480" w:type="dxa"/>
            <w:vAlign w:val="bottom"/>
          </w:tcPr>
          <w:p>
            <w:pPr>
              <w:jc w:val="right"/>
              <w:ind w:right="141"/>
              <w:spacing w:after="0"/>
              <w:rPr>
                <w:sz w:val="20"/>
                <w:szCs w:val="20"/>
                <w:color w:val="auto"/>
              </w:rPr>
            </w:pPr>
            <w:r>
              <w:rPr>
                <w:rFonts w:ascii="Arial" w:cs="Arial" w:eastAsia="Arial" w:hAnsi="Arial"/>
                <w:sz w:val="20"/>
                <w:szCs w:val="20"/>
                <w:color w:val="auto"/>
                <w:w w:val="78"/>
              </w:rPr>
              <w:t>1.5</w:t>
            </w:r>
          </w:p>
        </w:tc>
        <w:tc>
          <w:tcPr>
            <w:tcW w:w="9020" w:type="dxa"/>
            <w:vAlign w:val="bottom"/>
            <w:gridSpan w:val="2"/>
          </w:tcPr>
          <w:p>
            <w:pPr>
              <w:ind w:left="400"/>
              <w:spacing w:after="0"/>
              <w:rPr>
                <w:sz w:val="20"/>
                <w:szCs w:val="20"/>
                <w:color w:val="auto"/>
              </w:rPr>
            </w:pPr>
            <w:r>
              <w:rPr>
                <w:rFonts w:ascii="Arial" w:cs="Arial" w:eastAsia="Arial" w:hAnsi="Arial"/>
                <w:sz w:val="20"/>
                <w:szCs w:val="20"/>
                <w:color w:val="auto"/>
              </w:rPr>
              <w:t>A new Section 2.4 is hereby added to the Credit Agreement, which shall read as follows:</w:t>
            </w:r>
          </w:p>
        </w:tc>
      </w:tr>
      <w:tr>
        <w:trPr>
          <w:trHeight w:val="468"/>
        </w:trPr>
        <w:tc>
          <w:tcPr>
            <w:tcW w:w="480" w:type="dxa"/>
            <w:vAlign w:val="bottom"/>
          </w:tcPr>
          <w:p>
            <w:pPr>
              <w:spacing w:after="0"/>
              <w:rPr>
                <w:sz w:val="24"/>
                <w:szCs w:val="24"/>
                <w:color w:val="auto"/>
              </w:rPr>
            </w:pPr>
          </w:p>
        </w:tc>
        <w:tc>
          <w:tcPr>
            <w:tcW w:w="1820" w:type="dxa"/>
            <w:vAlign w:val="bottom"/>
          </w:tcPr>
          <w:p>
            <w:pPr>
              <w:ind w:left="240"/>
              <w:spacing w:after="0"/>
              <w:rPr>
                <w:sz w:val="20"/>
                <w:szCs w:val="20"/>
                <w:color w:val="auto"/>
              </w:rPr>
            </w:pPr>
            <w:r>
              <w:rPr>
                <w:rFonts w:ascii="Arial" w:cs="Arial" w:eastAsia="Arial" w:hAnsi="Arial"/>
                <w:sz w:val="20"/>
                <w:szCs w:val="20"/>
                <w:color w:val="auto"/>
              </w:rPr>
              <w:t>“SECTION 2.4</w:t>
            </w:r>
          </w:p>
        </w:tc>
        <w:tc>
          <w:tcPr>
            <w:tcW w:w="7200" w:type="dxa"/>
            <w:vAlign w:val="bottom"/>
          </w:tcPr>
          <w:p>
            <w:pPr>
              <w:ind w:left="320"/>
              <w:spacing w:after="0"/>
              <w:rPr>
                <w:sz w:val="20"/>
                <w:szCs w:val="20"/>
                <w:color w:val="auto"/>
              </w:rPr>
            </w:pPr>
            <w:r>
              <w:rPr>
                <w:rFonts w:ascii="Arial" w:cs="Arial" w:eastAsia="Arial" w:hAnsi="Arial"/>
                <w:sz w:val="20"/>
                <w:szCs w:val="20"/>
                <w:color w:val="auto"/>
                <w:w w:val="96"/>
              </w:rPr>
              <w:t>BENCHMARK REPLACEMENT PROVISIONS.  Notwithstanding anything to the</w:t>
            </w:r>
          </w:p>
        </w:tc>
      </w:tr>
    </w:tbl>
    <w:p>
      <w:pPr>
        <w:spacing w:after="0"/>
        <w:rPr>
          <w:sz w:val="20"/>
          <w:szCs w:val="20"/>
          <w:color w:val="auto"/>
        </w:rPr>
      </w:pPr>
      <w:r>
        <w:rPr>
          <w:rFonts w:ascii="Arial" w:cs="Arial" w:eastAsia="Arial" w:hAnsi="Arial"/>
          <w:sz w:val="19"/>
          <w:szCs w:val="19"/>
          <w:color w:val="auto"/>
        </w:rPr>
        <w:t>contrary contained in this Agreement, in the Line of Credit Note or in any related Loan Document (for the purposes of these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Benchmark Replacement Provisions, a Swap Agreement is not a Loan Document):</w:t>
      </w:r>
    </w:p>
    <w:p>
      <w:pPr>
        <w:spacing w:after="0" w:line="240" w:lineRule="exact"/>
        <w:rPr>
          <w:sz w:val="20"/>
          <w:szCs w:val="20"/>
          <w:color w:val="auto"/>
        </w:rPr>
      </w:pPr>
    </w:p>
    <w:p>
      <w:pPr>
        <w:jc w:val="both"/>
        <w:ind w:firstLine="805"/>
        <w:spacing w:after="0" w:line="230" w:lineRule="auto"/>
        <w:tabs>
          <w:tab w:leader="none" w:pos="1687"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If a Benchmark Transition Event or an Early Opt-in Election, as applicable, occurs, the applicable Benchmark Replacement will replace the then-current Benchmark for all purposes under this Agreement, the Line of Credit Note or any related Loan Document. Any Benchmark Replacement will become effective on the applicable Benchmark Replacement Date without any further action or consent of Borrower.</w:t>
      </w:r>
    </w:p>
    <w:p>
      <w:pPr>
        <w:spacing w:after="0" w:line="225" w:lineRule="exact"/>
        <w:rPr>
          <w:rFonts w:ascii="Arial" w:cs="Arial" w:eastAsia="Arial" w:hAnsi="Arial"/>
          <w:sz w:val="20"/>
          <w:szCs w:val="20"/>
          <w:color w:val="auto"/>
        </w:rPr>
      </w:pPr>
    </w:p>
    <w:p>
      <w:pPr>
        <w:jc w:val="both"/>
        <w:ind w:firstLine="805"/>
        <w:spacing w:after="0" w:line="232" w:lineRule="auto"/>
        <w:tabs>
          <w:tab w:leader="none" w:pos="1687"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Bank will have the right to make Benchmark Replacement Conforming Changes from time to time, and any amendments implementing such Benchmark Replacement Conforming Changes will become effective without any further action or consent of Borrower.</w:t>
      </w:r>
    </w:p>
    <w:p>
      <w:pPr>
        <w:spacing w:after="0" w:line="224" w:lineRule="exact"/>
        <w:rPr>
          <w:rFonts w:ascii="Arial" w:cs="Arial" w:eastAsia="Arial" w:hAnsi="Arial"/>
          <w:sz w:val="20"/>
          <w:szCs w:val="20"/>
          <w:color w:val="auto"/>
        </w:rPr>
      </w:pPr>
    </w:p>
    <w:p>
      <w:pPr>
        <w:jc w:val="both"/>
        <w:ind w:firstLine="805"/>
        <w:spacing w:after="0"/>
        <w:tabs>
          <w:tab w:leader="none" w:pos="167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Bank will promptly notify Borrower of (i) any occurrence of a Benchmark Transition Event or an Early Opt-in Election, as applicable, (ii) the implementation of any Benchmark Replacement, and (iii) the effectiveness of any Benchmark Replacement Conforming Changes. Any determination, decision or election that may be made by Bank pursuant to these Benchmark Replacement Provisions, including any determination with respect to a tenor, rate or adjustment or of the occurrence or non-occurrence of an event, circumstance or date and any decision to take or refrain from taking any action or any selection, will be conclusive and binding absent manifest error and will be made in its sole discretion and without Borrower consent.</w:t>
      </w:r>
    </w:p>
    <w:p>
      <w:pPr>
        <w:spacing w:after="0" w:line="225" w:lineRule="exact"/>
        <w:rPr>
          <w:rFonts w:ascii="Arial" w:cs="Arial" w:eastAsia="Arial" w:hAnsi="Arial"/>
          <w:sz w:val="19"/>
          <w:szCs w:val="19"/>
          <w:color w:val="auto"/>
        </w:rPr>
      </w:pPr>
    </w:p>
    <w:p>
      <w:pPr>
        <w:ind w:right="20" w:firstLine="805"/>
        <w:spacing w:after="0" w:line="236" w:lineRule="auto"/>
        <w:tabs>
          <w:tab w:leader="none" w:pos="1687"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in this Note, each of the following capitalized terms has the meaning given to such term below:</w:t>
      </w:r>
    </w:p>
    <w:p>
      <w:pPr>
        <w:spacing w:after="0" w:line="209" w:lineRule="exact"/>
        <w:rPr>
          <w:rFonts w:ascii="Arial" w:cs="Arial" w:eastAsia="Arial" w:hAnsi="Arial"/>
          <w:sz w:val="20"/>
          <w:szCs w:val="20"/>
          <w:color w:val="auto"/>
        </w:rPr>
      </w:pPr>
    </w:p>
    <w:p>
      <w:pPr>
        <w:jc w:val="both"/>
        <w:ind w:firstLine="1602"/>
        <w:spacing w:after="0" w:line="246" w:lineRule="auto"/>
        <w:tabs>
          <w:tab w:leader="none" w:pos="2429" w:val="left"/>
        </w:tabs>
        <w:numPr>
          <w:ilvl w:val="1"/>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LIBOR (including Daily One Month LIBOR, if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w:t>
      </w:r>
      <w:r>
        <w:rPr>
          <w:rFonts w:ascii="Arial" w:cs="Arial" w:eastAsia="Arial" w:hAnsi="Arial"/>
          <w:sz w:val="20"/>
          <w:szCs w:val="20"/>
          <w:color w:val="auto"/>
        </w:rPr>
        <w:t>r, that if a Benchmark Transition Event or an Early Opt-in Election, as applicable, has occurred with respect to LIBOR or the then-current Benchmark, then “Benchmark” means the applicable Benchmark Replacement to the extent that such Benchmark Replacement has become effective pursuant to the provisions of this Agreement.</w:t>
      </w:r>
    </w:p>
    <w:p>
      <w:pPr>
        <w:spacing w:after="0" w:line="218" w:lineRule="exact"/>
        <w:rPr>
          <w:rFonts w:ascii="Arial" w:cs="Arial" w:eastAsia="Arial" w:hAnsi="Arial"/>
          <w:sz w:val="20"/>
          <w:szCs w:val="20"/>
          <w:color w:val="auto"/>
        </w:rPr>
      </w:pPr>
    </w:p>
    <w:p>
      <w:pPr>
        <w:jc w:val="both"/>
        <w:ind w:right="20" w:firstLine="1602"/>
        <w:spacing w:after="0" w:line="250" w:lineRule="auto"/>
        <w:tabs>
          <w:tab w:leader="none" w:pos="2484" w:val="left"/>
        </w:tabs>
        <w:numPr>
          <w:ilvl w:val="1"/>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Administrator</w:t>
      </w:r>
      <w:r>
        <w:rPr>
          <w:rFonts w:ascii="Arial" w:cs="Arial" w:eastAsia="Arial" w:hAnsi="Arial"/>
          <w:sz w:val="20"/>
          <w:szCs w:val="20"/>
          <w:color w:val="auto"/>
        </w:rPr>
        <w:t>” means, initially, ICE Benchmark Administration Limited, a United Kingdom company, or any successor administrator of the then-current Benchmark or any insolvency or resolution official with authority over such administrator.</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320" w:top="339" w:right="1199" w:bottom="1440" w:gutter="0" w:footer="0" w:header="0"/>
        </w:sectPr>
      </w:pPr>
    </w:p>
    <w:bookmarkStart w:id="148" w:name="page149"/>
    <w:bookmarkEnd w:id="148"/>
    <w:p>
      <w:pPr>
        <w:ind w:left="-872" w:right="20" w:firstLine="1602"/>
        <w:spacing w:after="0" w:line="260" w:lineRule="auto"/>
        <w:tabs>
          <w:tab w:leader="none" w:pos="166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the first alternative set forth in the order below that can be determined by Bank as of the applicable Benchmark Replacement Date:</w:t>
      </w:r>
    </w:p>
    <w:p>
      <w:pPr>
        <w:spacing w:after="0" w:line="216" w:lineRule="exact"/>
        <w:rPr>
          <w:rFonts w:ascii="Arial" w:cs="Arial" w:eastAsia="Arial" w:hAnsi="Arial"/>
          <w:sz w:val="20"/>
          <w:szCs w:val="20"/>
          <w:color w:val="auto"/>
        </w:rPr>
      </w:pPr>
    </w:p>
    <w:p>
      <w:pPr>
        <w:jc w:val="both"/>
        <w:ind w:left="8" w:hanging="8"/>
        <w:spacing w:after="0" w:line="228" w:lineRule="auto"/>
        <w:tabs>
          <w:tab w:leader="none" w:pos="89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sum of: (A) Term SOFR or, if Bank determines that Term SOFR for the Corresponding Tenor cannot be determined, Term SOFR for the longest tenor that can be determined by Bank that is shorter than the Corresponding Tenor, and (B) the spread adjustment, or method for calculating or determining such spread adjustment (which may be a positive or negative value or zero) that has been selected or recommended by the Relevant Governmental Body for Term SOFR;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clause (1) shall not apply (i) to any borrowings under the Line of Credit if a Swap Agreement is in effect with respect to all or any portion of the Line of Credit as of the Benchmark Transition Event or Early Opt-in Election, and (ii) to any borrowings under the Line of Credit that bear interest at Daily One Month LIBOR;</w:t>
      </w:r>
    </w:p>
    <w:p>
      <w:pPr>
        <w:spacing w:after="0" w:line="223" w:lineRule="exact"/>
        <w:rPr>
          <w:rFonts w:ascii="Arial" w:cs="Arial" w:eastAsia="Arial" w:hAnsi="Arial"/>
          <w:sz w:val="20"/>
          <w:szCs w:val="20"/>
          <w:color w:val="auto"/>
        </w:rPr>
      </w:pPr>
    </w:p>
    <w:p>
      <w:pPr>
        <w:jc w:val="both"/>
        <w:ind w:left="8" w:hanging="8"/>
        <w:spacing w:after="0" w:line="229" w:lineRule="auto"/>
        <w:tabs>
          <w:tab w:leader="none" w:pos="89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sum of: (A) the alternate rate of interest that has been selected by Bank as the replacement for the then-current Benchmark for the Corresponding Tenor (which, without limitation, may be compounded SOFR in arrears, term SOFR, Bank’s Prime Rate, or another benchmark selected by Bank); and (B) the applicable spread adjustment or method for calculating or determining such spread adjustment, (which may be a positive or negative value or zero) that has been selected by Bank.</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20"/>
          <w:szCs w:val="20"/>
          <w:color w:val="auto"/>
        </w:rPr>
        <w:t>With respect to Bank’s decisions under this paragraph (2):</w:t>
      </w:r>
    </w:p>
    <w:p>
      <w:pPr>
        <w:spacing w:after="0" w:line="229" w:lineRule="exact"/>
        <w:rPr>
          <w:sz w:val="20"/>
          <w:szCs w:val="20"/>
          <w:color w:val="auto"/>
        </w:rPr>
      </w:pPr>
    </w:p>
    <w:p>
      <w:pPr>
        <w:jc w:val="both"/>
        <w:ind w:left="8" w:hanging="8"/>
        <w:spacing w:after="0" w:line="229" w:lineRule="auto"/>
        <w:tabs>
          <w:tab w:leader="none" w:pos="95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a Swap Agreement relating to a portion of the line of Credit is in effect as of the Benchmark Transition Event or Early Opt-in Election, then Bank may without limitation, select (i) the benchmark referenced in the Swap Agreement, which may be the sum of a fallback rate and spread adjustment, for the entire balance of the Line of Credit, or (ii) the benchmark referenced in the Swap Agreement, which may be the sum of a fallback rate and spread adjustment, for the hedged portion of the Line of Credit, and the applicable Benchmark Replacement for the remaining non-hedged portion of the Line of Credit; and</w:t>
      </w:r>
    </w:p>
    <w:p>
      <w:pPr>
        <w:spacing w:after="0" w:line="222" w:lineRule="exact"/>
        <w:rPr>
          <w:rFonts w:ascii="Arial" w:cs="Arial" w:eastAsia="Arial" w:hAnsi="Arial"/>
          <w:sz w:val="20"/>
          <w:szCs w:val="20"/>
          <w:color w:val="auto"/>
        </w:rPr>
      </w:pPr>
    </w:p>
    <w:p>
      <w:pPr>
        <w:ind w:left="8" w:right="20" w:hanging="8"/>
        <w:spacing w:after="0" w:line="236" w:lineRule="auto"/>
        <w:tabs>
          <w:tab w:leader="none" w:pos="94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the case of a replacement rate for Daily One Month LIBOR, Bank may, without limitation, select SOFR notwithstanding the availability or feasibility of determining a daily one month SOFR; and</w:t>
      </w:r>
    </w:p>
    <w:p>
      <w:pPr>
        <w:spacing w:after="0" w:line="222" w:lineRule="exact"/>
        <w:rPr>
          <w:rFonts w:ascii="Arial" w:cs="Arial" w:eastAsia="Arial" w:hAnsi="Arial"/>
          <w:sz w:val="20"/>
          <w:szCs w:val="20"/>
          <w:color w:val="auto"/>
        </w:rPr>
      </w:pPr>
    </w:p>
    <w:p>
      <w:pPr>
        <w:jc w:val="both"/>
        <w:ind w:left="8" w:hanging="8"/>
        <w:spacing w:after="0" w:line="228" w:lineRule="auto"/>
        <w:tabs>
          <w:tab w:leader="none" w:pos="94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Bank’s selection of any applicable Benchmark Replacement shall give due consideration to (i) any selection or recommendation by the Relevant Governmental Body at such time for a replacement rate, the mechanism for determining such a rate, the methodology or conventions applicable to such rate, or the spread adjustment, or method for calculating or determining such spread adjustment, for such rate, or (ii) any evolving or then-prevailing market convention for determining a rate of interest as a replacement to the then-current Benchmark, the methodology or conventions applicable to such rate, or the spread adjustment, or method for calculating or determining such spread adjustment, for such alternate rate for U.S. dollar-denominated syndicated or bilateral credit facilities at such time.</w:t>
      </w:r>
    </w:p>
    <w:p>
      <w:pPr>
        <w:spacing w:after="0" w:line="200" w:lineRule="exact"/>
        <w:rPr>
          <w:sz w:val="20"/>
          <w:szCs w:val="20"/>
          <w:color w:val="auto"/>
        </w:rPr>
      </w:pPr>
    </w:p>
    <w:p>
      <w:pPr>
        <w:spacing w:after="0" w:line="226" w:lineRule="exact"/>
        <w:rPr>
          <w:sz w:val="20"/>
          <w:szCs w:val="20"/>
          <w:color w:val="auto"/>
        </w:rPr>
      </w:pPr>
    </w:p>
    <w:p>
      <w:pPr>
        <w:ind w:left="462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78740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08"/>
          </w:cols>
          <w:pgMar w:left="1192" w:top="339" w:right="1199" w:bottom="1440" w:gutter="0" w:footer="0" w:header="0"/>
        </w:sectPr>
      </w:pPr>
    </w:p>
    <w:bookmarkStart w:id="149" w:name="page150"/>
    <w:bookmarkEnd w:id="149"/>
    <w:p>
      <w:pPr>
        <w:jc w:val="both"/>
        <w:ind w:right="20" w:firstLine="797"/>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w:t>
      </w:r>
      <w:r>
        <w:rPr>
          <w:rFonts w:ascii="Arial" w:cs="Arial" w:eastAsia="Arial" w:hAnsi="Arial"/>
          <w:sz w:val="20"/>
          <w:szCs w:val="20"/>
          <w:color w:val="auto"/>
        </w:rPr>
        <w:t>r, during any period of time that the Benchmark Replacement would be less than zero percent (0.0%), the Benchmark Replacement shall be deemed to be zero percent (0.0%) for the purposes of this Agreement, the Line of Credit Note and the related Loan Documents, subject to any applicable floor rate provision.</w:t>
      </w:r>
    </w:p>
    <w:p>
      <w:pPr>
        <w:spacing w:after="0" w:line="226" w:lineRule="exact"/>
        <w:rPr>
          <w:sz w:val="20"/>
          <w:szCs w:val="20"/>
          <w:color w:val="auto"/>
        </w:rPr>
      </w:pPr>
    </w:p>
    <w:p>
      <w:pPr>
        <w:jc w:val="both"/>
        <w:ind w:firstLine="1602"/>
        <w:spacing w:after="0" w:line="229" w:lineRule="auto"/>
        <w:tabs>
          <w:tab w:leader="none" w:pos="251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means any technical, administrative or operational changes (including, without limitation, changes to the definition of “Interest Period,” timing and frequency of determining rates and making payments of interest, prepayment provisions and other administrative matters) that Bank decides may be appropriate to reflect the adoption and implementation of such Benchmark Replacement and to permit the administration thereof by Bank.</w:t>
      </w:r>
    </w:p>
    <w:p>
      <w:pPr>
        <w:spacing w:after="0" w:line="212" w:lineRule="exact"/>
        <w:rPr>
          <w:rFonts w:ascii="Arial" w:cs="Arial" w:eastAsia="Arial" w:hAnsi="Arial"/>
          <w:sz w:val="20"/>
          <w:szCs w:val="20"/>
          <w:color w:val="auto"/>
        </w:rPr>
      </w:pPr>
    </w:p>
    <w:p>
      <w:pPr>
        <w:ind w:right="20" w:firstLine="1602"/>
        <w:spacing w:after="0" w:line="260" w:lineRule="auto"/>
        <w:tabs>
          <w:tab w:leader="none" w:pos="247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date specified by Bank in a notice to Borrower following a Benchmark Transition Event or Early Opt-in Election.</w:t>
      </w:r>
    </w:p>
    <w:p>
      <w:pPr>
        <w:spacing w:after="0" w:line="203" w:lineRule="exact"/>
        <w:rPr>
          <w:rFonts w:ascii="Arial" w:cs="Arial" w:eastAsia="Arial" w:hAnsi="Arial"/>
          <w:sz w:val="20"/>
          <w:szCs w:val="20"/>
          <w:color w:val="auto"/>
        </w:rPr>
      </w:pPr>
    </w:p>
    <w:p>
      <w:pPr>
        <w:jc w:val="both"/>
        <w:ind w:firstLine="1602"/>
        <w:spacing w:after="0" w:line="244" w:lineRule="auto"/>
        <w:tabs>
          <w:tab w:leader="none" w:pos="252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 a public statement or publication of information by or on behalf of the Benchmark Administrator or a regulatory supervisor for the Benchmark Administrator announcing that (A) the Benchmark Administrator has ceased or will cease to provide the Benchmark permanently or indefinitely or (B) the Benchmark is no longer representative of underlying markets.</w:t>
      </w:r>
    </w:p>
    <w:p>
      <w:pPr>
        <w:spacing w:after="0" w:line="234" w:lineRule="exact"/>
        <w:rPr>
          <w:rFonts w:ascii="Arial" w:cs="Arial" w:eastAsia="Arial" w:hAnsi="Arial"/>
          <w:sz w:val="20"/>
          <w:szCs w:val="20"/>
          <w:color w:val="auto"/>
        </w:rPr>
      </w:pPr>
    </w:p>
    <w:p>
      <w:pPr>
        <w:ind w:firstLine="1602"/>
        <w:spacing w:after="0" w:line="236" w:lineRule="auto"/>
        <w:tabs>
          <w:tab w:leader="none" w:pos="256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Corresponding Tenor</w:t>
      </w:r>
      <w:r>
        <w:rPr>
          <w:rFonts w:ascii="Arial" w:cs="Arial" w:eastAsia="Arial" w:hAnsi="Arial"/>
          <w:sz w:val="20"/>
          <w:szCs w:val="20"/>
          <w:color w:val="auto"/>
        </w:rPr>
        <w:t>” means a tenor having approximately the same length as the Interest Period, provided, however, that the Corresponding Tenor for Daily One Month LIBOR shall be one day.</w:t>
      </w:r>
    </w:p>
    <w:p>
      <w:pPr>
        <w:spacing w:after="0" w:line="222" w:lineRule="exact"/>
        <w:rPr>
          <w:rFonts w:ascii="Arial" w:cs="Arial" w:eastAsia="Arial" w:hAnsi="Arial"/>
          <w:sz w:val="20"/>
          <w:szCs w:val="20"/>
          <w:color w:val="auto"/>
        </w:rPr>
      </w:pPr>
    </w:p>
    <w:p>
      <w:pPr>
        <w:jc w:val="both"/>
        <w:ind w:firstLine="1602"/>
        <w:spacing w:after="0" w:line="229" w:lineRule="auto"/>
        <w:tabs>
          <w:tab w:leader="none" w:pos="260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xml:space="preserve">” means the election by Bank to declare that the Benchmark will be replaced prior to the occurrence of a Benchmark Transition Event and the provision by Bank of written notice of such election to Borrower indicating that at least five (5) currently outstanding U.S. dollar-denominated syndicated credit facilities at such time contain (as a result of amendment or as originally executed) Term 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 spread adjustment that has been selected or recommended by the Relevant Governmental Body.</w:t>
      </w:r>
    </w:p>
    <w:p>
      <w:pPr>
        <w:spacing w:after="0" w:line="225" w:lineRule="exact"/>
        <w:rPr>
          <w:rFonts w:ascii="Arial" w:cs="Arial" w:eastAsia="Arial" w:hAnsi="Arial"/>
          <w:sz w:val="20"/>
          <w:szCs w:val="20"/>
          <w:color w:val="auto"/>
        </w:rPr>
      </w:pPr>
    </w:p>
    <w:p>
      <w:pPr>
        <w:ind w:right="20" w:firstLine="1602"/>
        <w:spacing w:after="0" w:line="236" w:lineRule="auto"/>
        <w:tabs>
          <w:tab w:leader="none" w:pos="2517"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initially, the applicable LIBOR interest period, and if a Benchmark Replacement is applicable, the tenor of the Benchmark Replacement.</w:t>
      </w:r>
    </w:p>
    <w:p>
      <w:pPr>
        <w:spacing w:after="0" w:line="222" w:lineRule="exact"/>
        <w:rPr>
          <w:rFonts w:ascii="Arial" w:cs="Arial" w:eastAsia="Arial" w:hAnsi="Arial"/>
          <w:sz w:val="20"/>
          <w:szCs w:val="20"/>
          <w:color w:val="auto"/>
        </w:rPr>
      </w:pPr>
    </w:p>
    <w:p>
      <w:pPr>
        <w:jc w:val="both"/>
        <w:ind w:right="20" w:firstLine="1602"/>
        <w:spacing w:after="0" w:line="232" w:lineRule="auto"/>
        <w:tabs>
          <w:tab w:leader="none" w:pos="247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24" w:lineRule="exact"/>
        <w:rPr>
          <w:rFonts w:ascii="Arial" w:cs="Arial" w:eastAsia="Arial" w:hAnsi="Arial"/>
          <w:sz w:val="20"/>
          <w:szCs w:val="20"/>
          <w:color w:val="auto"/>
        </w:rPr>
      </w:pPr>
    </w:p>
    <w:p>
      <w:pPr>
        <w:jc w:val="both"/>
        <w:ind w:firstLine="1602"/>
        <w:spacing w:after="0" w:line="232" w:lineRule="auto"/>
        <w:tabs>
          <w:tab w:leader="none" w:pos="251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day means the secured overnight financing rate published for such day by the Federal Reserve Bank of New York, as the administrator thereof, (or a successor administrator) on its website.</w:t>
      </w:r>
    </w:p>
    <w:p>
      <w:pPr>
        <w:spacing w:after="0" w:line="210" w:lineRule="exact"/>
        <w:rPr>
          <w:rFonts w:ascii="Arial" w:cs="Arial" w:eastAsia="Arial" w:hAnsi="Arial"/>
          <w:sz w:val="20"/>
          <w:szCs w:val="20"/>
          <w:color w:val="auto"/>
        </w:rPr>
      </w:pPr>
    </w:p>
    <w:p>
      <w:pPr>
        <w:ind w:left="2560" w:hanging="958"/>
        <w:spacing w:after="0"/>
        <w:tabs>
          <w:tab w:leader="none" w:pos="25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w:t>
      </w:r>
      <w:r>
        <w:rPr>
          <w:rFonts w:ascii="Arial" w:cs="Arial" w:eastAsia="Arial" w:hAnsi="Arial"/>
          <w:sz w:val="20"/>
          <w:szCs w:val="20"/>
          <w:color w:val="auto"/>
        </w:rPr>
        <w:t>” means a swap agreement by and between Borrower and Bank or its</w:t>
      </w:r>
    </w:p>
    <w:p>
      <w:pPr>
        <w:spacing w:after="0"/>
        <w:rPr>
          <w:rFonts w:ascii="Arial" w:cs="Arial" w:eastAsia="Arial" w:hAnsi="Arial"/>
          <w:sz w:val="20"/>
          <w:szCs w:val="20"/>
          <w:color w:val="auto"/>
        </w:rPr>
      </w:pPr>
      <w:r>
        <w:rPr>
          <w:rFonts w:ascii="Arial" w:cs="Arial" w:eastAsia="Arial" w:hAnsi="Arial"/>
          <w:sz w:val="20"/>
          <w:szCs w:val="20"/>
          <w:color w:val="auto"/>
        </w:rPr>
        <w:t>affiliates.</w:t>
      </w:r>
    </w:p>
    <w:p>
      <w:pPr>
        <w:spacing w:after="0" w:line="18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320" w:top="339" w:right="1199" w:bottom="1440" w:gutter="0" w:footer="0" w:header="0"/>
        </w:sectPr>
      </w:pPr>
    </w:p>
    <w:bookmarkStart w:id="150" w:name="page151"/>
    <w:bookmarkEnd w:id="150"/>
    <w:p>
      <w:pPr>
        <w:ind w:left="-872" w:right="20" w:firstLine="1602"/>
        <w:spacing w:after="0" w:line="260" w:lineRule="auto"/>
        <w:tabs>
          <w:tab w:leader="none" w:pos="176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the Corresponding Tenor based on SOFR that has been selected or recommended by the Relevant Governmental Body.”</w:t>
      </w:r>
    </w:p>
    <w:p>
      <w:pPr>
        <w:spacing w:after="0" w:line="204" w:lineRule="exact"/>
        <w:rPr>
          <w:sz w:val="20"/>
          <w:szCs w:val="20"/>
          <w:color w:val="auto"/>
        </w:rPr>
      </w:pPr>
    </w:p>
    <w:p>
      <w:pPr>
        <w:ind w:left="8"/>
        <w:spacing w:after="0"/>
        <w:tabs>
          <w:tab w:leader="none" w:pos="868"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Section 5.9 of the Credit Agreement is hereby amended and restated in its entirety to read as follows:</w:t>
      </w:r>
    </w:p>
    <w:p>
      <w:pPr>
        <w:spacing w:after="0" w:line="243" w:lineRule="exact"/>
        <w:rPr>
          <w:sz w:val="20"/>
          <w:szCs w:val="20"/>
          <w:color w:val="auto"/>
        </w:rPr>
      </w:pPr>
    </w:p>
    <w:p>
      <w:pPr>
        <w:jc w:val="both"/>
        <w:ind w:left="8" w:firstLine="731"/>
        <w:spacing w:after="0" w:line="250" w:lineRule="auto"/>
        <w:rPr>
          <w:sz w:val="20"/>
          <w:szCs w:val="20"/>
          <w:color w:val="auto"/>
        </w:rPr>
      </w:pPr>
      <w:r>
        <w:rPr>
          <w:rFonts w:ascii="Arial" w:cs="Arial" w:eastAsia="Arial" w:hAnsi="Arial"/>
          <w:sz w:val="20"/>
          <w:szCs w:val="20"/>
          <w:color w:val="auto"/>
        </w:rPr>
        <w:t>“SECTION 5.9. FINANCIAL CONDITION. Maintain Borrower's financial condition as follows using generally accepted accounting principles consistently applied and used consistently with prior practices (except to the extent modified by the definitions herein):</w:t>
      </w:r>
    </w:p>
    <w:p>
      <w:pPr>
        <w:spacing w:after="0" w:line="213" w:lineRule="exact"/>
        <w:rPr>
          <w:sz w:val="20"/>
          <w:szCs w:val="20"/>
          <w:color w:val="auto"/>
        </w:rPr>
      </w:pPr>
    </w:p>
    <w:p>
      <w:pPr>
        <w:jc w:val="both"/>
        <w:ind w:left="8" w:hanging="8"/>
        <w:spacing w:after="0" w:line="244" w:lineRule="auto"/>
        <w:tabs>
          <w:tab w:leader="none" w:pos="876"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Liquidity</w:t>
      </w:r>
      <w:r>
        <w:rPr>
          <w:rFonts w:ascii="Arial" w:cs="Arial" w:eastAsia="Arial" w:hAnsi="Arial"/>
          <w:sz w:val="20"/>
          <w:szCs w:val="20"/>
          <w:color w:val="auto"/>
        </w:rPr>
        <w:t>. Unencumbered Liquid Assets with an aggregate fair market value not at any time less than Ten Million and No/100 Dollars ($10,000,000.00). As used herein, “Unencumbered Liquid Assets” shall mean cash, cash equivalents and/or publicly traded marketable securities acceptable to Bank in its sole discretion, free of any lien or other encumbrance. Retirement account assets held in a fiduciary capacity by Borrower shall not qualify as Unencumbered Liquid Assets.</w:t>
      </w:r>
    </w:p>
    <w:p>
      <w:pPr>
        <w:spacing w:after="0" w:line="221" w:lineRule="exact"/>
        <w:rPr>
          <w:rFonts w:ascii="Arial" w:cs="Arial" w:eastAsia="Arial" w:hAnsi="Arial"/>
          <w:sz w:val="20"/>
          <w:szCs w:val="20"/>
          <w:color w:val="auto"/>
        </w:rPr>
      </w:pPr>
    </w:p>
    <w:p>
      <w:pPr>
        <w:ind w:left="8" w:hanging="8"/>
        <w:spacing w:after="0" w:line="316" w:lineRule="auto"/>
        <w:tabs>
          <w:tab w:leader="none" w:pos="88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Consolidated Total Debt/Consolidated EBITDA Ratio</w:t>
      </w:r>
      <w:r>
        <w:rPr>
          <w:rFonts w:ascii="Arial" w:cs="Arial" w:eastAsia="Arial" w:hAnsi="Arial"/>
          <w:sz w:val="18"/>
          <w:szCs w:val="18"/>
          <w:color w:val="auto"/>
        </w:rPr>
        <w:t>. Ratio of Consolidated Total Debt to Consolidated EBITDA not greater than 3.00 to 1.00 as of each Fiscal Quarter end, determined on a rolling 4-quarter basis.</w:t>
      </w:r>
    </w:p>
    <w:p>
      <w:pPr>
        <w:spacing w:after="0" w:line="157" w:lineRule="exact"/>
        <w:rPr>
          <w:sz w:val="20"/>
          <w:szCs w:val="20"/>
          <w:color w:val="auto"/>
        </w:rPr>
      </w:pPr>
    </w:p>
    <w:p>
      <w:pPr>
        <w:jc w:val="both"/>
        <w:ind w:left="8"/>
        <w:spacing w:after="0" w:line="244" w:lineRule="auto"/>
        <w:rPr>
          <w:sz w:val="20"/>
          <w:szCs w:val="20"/>
          <w:color w:val="auto"/>
        </w:rPr>
      </w:pPr>
      <w:r>
        <w:rPr>
          <w:rFonts w:ascii="Arial" w:cs="Arial" w:eastAsia="Arial" w:hAnsi="Arial"/>
          <w:sz w:val="20"/>
          <w:szCs w:val="20"/>
          <w:color w:val="auto"/>
        </w:rPr>
        <w:t>The term “Consolidated Total Debt” as used in this Section 5.9(b) shall have the definition given such terms in the Omaha Note Purchase Agreement (but excluding for purposes of this Section 5.9(b) any future amendments thereto not made with the written consent of Bank), which definitions shall survive for purposes of this Agreement notwithstanding the termination of the Omaha Note Purchase Agreement or the repayment in full of the Borrower’s obligations thereunder.</w:t>
      </w:r>
    </w:p>
    <w:p>
      <w:pPr>
        <w:spacing w:after="0" w:line="221" w:lineRule="exact"/>
        <w:rPr>
          <w:sz w:val="20"/>
          <w:szCs w:val="20"/>
          <w:color w:val="auto"/>
        </w:rPr>
      </w:pPr>
    </w:p>
    <w:p>
      <w:pPr>
        <w:jc w:val="both"/>
        <w:ind w:left="8" w:hanging="8"/>
        <w:spacing w:after="0" w:line="250" w:lineRule="auto"/>
        <w:tabs>
          <w:tab w:leader="none" w:pos="87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Consolidated EBITDA/Consolidated Net Interest Expense Ratio</w:t>
      </w:r>
      <w:r>
        <w:rPr>
          <w:rFonts w:ascii="Arial" w:cs="Arial" w:eastAsia="Arial" w:hAnsi="Arial"/>
          <w:sz w:val="20"/>
          <w:szCs w:val="20"/>
          <w:color w:val="auto"/>
        </w:rPr>
        <w:t>. Ratio of Consolidated EBITDA to Consolidated Net Interest Expense not less than 3.00 to 1.00 as of each Fiscal Quarter end, determined on a rolling 4-quarter basis.”</w:t>
      </w:r>
    </w:p>
    <w:p>
      <w:pPr>
        <w:spacing w:after="0" w:line="200" w:lineRule="exact"/>
        <w:rPr>
          <w:sz w:val="20"/>
          <w:szCs w:val="20"/>
          <w:color w:val="auto"/>
        </w:rPr>
      </w:pPr>
    </w:p>
    <w:p>
      <w:pPr>
        <w:spacing w:after="0" w:line="229" w:lineRule="exact"/>
        <w:rPr>
          <w:sz w:val="20"/>
          <w:szCs w:val="20"/>
          <w:color w:val="auto"/>
        </w:rPr>
      </w:pPr>
    </w:p>
    <w:p>
      <w:pPr>
        <w:ind w:left="4628"/>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78740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08"/>
          </w:cols>
          <w:pgMar w:left="1192" w:top="582" w:right="1199" w:bottom="1440" w:gutter="0" w:footer="0" w:header="0"/>
        </w:sectPr>
      </w:pPr>
    </w:p>
    <w:bookmarkStart w:id="151" w:name="page152"/>
    <w:bookmarkEnd w:id="151"/>
    <w:p>
      <w:pPr>
        <w:spacing w:after="0"/>
        <w:tabs>
          <w:tab w:leader="none" w:pos="86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Section 6.3 of the Credit Agreement is hereby amended and restated in its entirety to read as follows:</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“SECTION 6.3. LIENS AND OTHER INDEBTEDNESS. Create, incur, assume or permit to exist, nor shall any Consolidated Subsidiary create, incur, assume or permit to exist, any lien on any asset now owned or hereafter acquired by it, and Borrower shall not incur and shall not permit any Subsidiary to incur any indebtedness or liabilities resulting from borrowings, loans or advances, whether secured or unsecured, matured or unmatured, liquidated or unliquidated, joint or several, other than any liabilities of Subsidiaries existing as of, and disclosed to Bank prior to, the date hereof and listed on </w:t>
      </w:r>
      <w:r>
        <w:rPr>
          <w:rFonts w:ascii="Arial" w:cs="Arial" w:eastAsia="Arial" w:hAnsi="Arial"/>
          <w:sz w:val="18"/>
          <w:szCs w:val="18"/>
          <w:b w:val="1"/>
          <w:bCs w:val="1"/>
          <w:color w:val="auto"/>
        </w:rPr>
        <w:t>Schedule 6.3</w:t>
      </w:r>
      <w:r>
        <w:rPr>
          <w:rFonts w:ascii="Arial" w:cs="Arial" w:eastAsia="Arial" w:hAnsi="Arial"/>
          <w:sz w:val="18"/>
          <w:szCs w:val="18"/>
          <w:color w:val="auto"/>
        </w:rPr>
        <w:t xml:space="preserve">, and except for (a) any lien existing on any specific fixed asset of any corporation at the time such corporation becomes a Consolidated Subsidiary and not created in contemplation of such event; (b) any lien on any specific fixed asset securing debt incurred or assumed for the purpose of financing all or any part of the cost of acquiring or constructing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attaches to such asset concurrently or within 18 months after the acquisition or completion of construction thereof; (c) any lien on any specific fixed asset of any corporation existing at the time such corporation is merged or consolidated with or into Borrower or a Consolidated Subsidiary and not created in contemplation of such event; (d) any lien existing on any specific fixed asset prior to the acquisition thereof by Borrower or a Consolidated Subsidiary and not created in contemplation of such acquisition; (e) liens securing debt owed by a Subsidiary to Borrower; (f) any lien arising out of the refinancing, extension, renewal or refunding of any debt secured by any lien permitted by any of the foregoing clauses (a) through (e),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debt is not secured by any additional assets, and the amount of such debt secured by any such lien is not increased; (g) mechanics, warehousemen, carrier, landlord and other statutory liens which arise in the ordinary course of Borrower's or a Consolidated Subsidiary’s business for amounts not yet due, and liens in security deposits made in the ordinary course of Borrower's or a Consolidated Subsidiary’s business; (h) liens which (x) are incurred in connection with the purchase of looms, (y) secure debt consisting only of the deferred purchase price of such looms, and no other debt, which deferred purchase price debt is non-interest bearing and payable in no more than two (2) years from the date of purchase, and (z) encumber only the looms so purchased, and not any other assets; (i) debt owing to Borrower or another Subsidiary; and (j) additional unsecured debt (other than the Line of Credit) of Borrower and its Subsidiaries;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sum of (A) the aggregate amount of debt secured by liens permitted by the foregoing clauses (a) through (h), plus (B) debt of Borrower and its Subsidiaries permitted by clause (j) shall not exceed an aggregate amount equal to 15% of Consolidated Net Worth.”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78740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00"/>
          </w:cols>
          <w:pgMar w:left="1200" w:top="339" w:right="1199" w:bottom="1440" w:gutter="0" w:footer="0" w:header="0"/>
        </w:sectPr>
      </w:pPr>
    </w:p>
    <w:bookmarkStart w:id="152" w:name="page153"/>
    <w:bookmarkEnd w:id="152"/>
    <w:p>
      <w:pPr>
        <w:ind w:left="880"/>
        <w:spacing w:after="0"/>
        <w:tabs>
          <w:tab w:leader="none" w:pos="17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Section 6.5 of the Credit Agreement is hereby amended and restated in its entirety to read as follows:</w:t>
      </w:r>
    </w:p>
    <w:p>
      <w:pPr>
        <w:spacing w:after="0" w:line="243" w:lineRule="exact"/>
        <w:rPr>
          <w:sz w:val="20"/>
          <w:szCs w:val="20"/>
          <w:color w:val="auto"/>
        </w:rPr>
      </w:pPr>
    </w:p>
    <w:p>
      <w:pPr>
        <w:jc w:val="both"/>
        <w:ind w:left="880" w:right="860" w:firstLine="731"/>
        <w:spacing w:after="0" w:line="278" w:lineRule="auto"/>
        <w:rPr>
          <w:sz w:val="20"/>
          <w:szCs w:val="20"/>
          <w:color w:val="auto"/>
        </w:rPr>
      </w:pPr>
      <w:r>
        <w:rPr>
          <w:rFonts w:ascii="Arial" w:cs="Arial" w:eastAsia="Arial" w:hAnsi="Arial"/>
          <w:sz w:val="18"/>
          <w:szCs w:val="18"/>
          <w:color w:val="auto"/>
        </w:rPr>
        <w:t>“SECTION 6.5. GUARANTIES. Guarantee or become liable in any way as surety, endorser (other than as endorser of negotiable instruments for deposit or collection in the ordinary course of business), accommodation endorser or otherwise for, nor pledge or hypothecate any assets of Borrower as security for, any liabilities or obligations of any other person or entity, except (a) any of the foregoing in favor of Bank, and (b) additional unsecured guaranties in amounts not to exceed an aggregate of $2,000,000.00 at any time outstanding.”</w:t>
      </w:r>
    </w:p>
    <w:p>
      <w:pPr>
        <w:spacing w:after="0" w:line="19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u w:val="single" w:color="auto"/>
          <w:color w:val="auto"/>
        </w:rPr>
        <w:t xml:space="preserve">Schedule 6.3 </w:t>
      </w:r>
      <w:r>
        <w:rPr>
          <w:rFonts w:ascii="Arial" w:cs="Arial" w:eastAsia="Arial" w:hAnsi="Arial"/>
          <w:sz w:val="16"/>
          <w:szCs w:val="16"/>
          <w:color w:val="auto"/>
        </w:rPr>
        <w:t>to the Credit Agreement is deleted and replaced by</w:t>
      </w:r>
      <w:r>
        <w:rPr>
          <w:rFonts w:ascii="Arial" w:cs="Arial" w:eastAsia="Arial" w:hAnsi="Arial"/>
          <w:sz w:val="16"/>
          <w:szCs w:val="16"/>
          <w:u w:val="single" w:color="auto"/>
          <w:color w:val="auto"/>
        </w:rPr>
        <w:t xml:space="preserve"> Schedule 6.3 </w:t>
      </w:r>
      <w:r>
        <w:rPr>
          <w:rFonts w:ascii="Arial" w:cs="Arial" w:eastAsia="Arial" w:hAnsi="Arial"/>
          <w:sz w:val="16"/>
          <w:szCs w:val="16"/>
          <w:color w:val="auto"/>
        </w:rPr>
        <w:t>attached hereto.</w:t>
      </w:r>
    </w:p>
    <w:p>
      <w:pPr>
        <w:spacing w:after="0" w:line="243" w:lineRule="exact"/>
        <w:rPr>
          <w:sz w:val="20"/>
          <w:szCs w:val="20"/>
          <w:color w:val="auto"/>
        </w:rPr>
      </w:pPr>
    </w:p>
    <w:p>
      <w:pPr>
        <w:ind w:right="20" w:firstLine="872"/>
        <w:spacing w:after="0" w:line="260" w:lineRule="auto"/>
        <w:tabs>
          <w:tab w:leader="none" w:pos="1660"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The effectiveness of this Amendment is subject to the fulfillment to Bank’s satisfaction of the following conditions:</w:t>
      </w:r>
    </w:p>
    <w:p>
      <w:pPr>
        <w:spacing w:after="0" w:line="204" w:lineRule="exact"/>
        <w:rPr>
          <w:sz w:val="20"/>
          <w:szCs w:val="20"/>
          <w:color w:val="auto"/>
        </w:rPr>
      </w:pPr>
    </w:p>
    <w:p>
      <w:pPr>
        <w:ind w:left="1700" w:right="20" w:hanging="842"/>
        <w:spacing w:after="0" w:line="260" w:lineRule="auto"/>
        <w:tabs>
          <w:tab w:leader="none" w:pos="170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Documentation</w:t>
      </w:r>
      <w:r>
        <w:rPr>
          <w:rFonts w:ascii="Arial" w:cs="Arial" w:eastAsia="Arial" w:hAnsi="Arial"/>
          <w:sz w:val="20"/>
          <w:szCs w:val="20"/>
          <w:color w:val="auto"/>
        </w:rPr>
        <w:t>. Bank shall have received, in form and substance satisfactory to Bank, each of the following, duly executed:</w:t>
      </w:r>
    </w:p>
    <w:p>
      <w:pPr>
        <w:spacing w:after="0" w:line="204" w:lineRule="exact"/>
        <w:rPr>
          <w:sz w:val="20"/>
          <w:szCs w:val="20"/>
          <w:color w:val="auto"/>
        </w:rPr>
      </w:pPr>
    </w:p>
    <w:p>
      <w:pPr>
        <w:ind w:left="2580" w:hanging="845"/>
        <w:spacing w:after="0"/>
        <w:tabs>
          <w:tab w:leader="none" w:pos="25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This Amendment;</w:t>
      </w:r>
    </w:p>
    <w:p>
      <w:pPr>
        <w:spacing w:after="0" w:line="15" w:lineRule="exact"/>
        <w:rPr>
          <w:sz w:val="20"/>
          <w:szCs w:val="20"/>
          <w:color w:val="auto"/>
        </w:rPr>
      </w:pPr>
    </w:p>
    <w:p>
      <w:pPr>
        <w:ind w:left="2580" w:hanging="858"/>
        <w:spacing w:after="0"/>
        <w:tabs>
          <w:tab w:leader="none" w:pos="2580" w:val="left"/>
        </w:tabs>
        <w:numPr>
          <w:ilvl w:val="2"/>
          <w:numId w:val="114"/>
        </w:numPr>
        <w:rPr>
          <w:rFonts w:ascii="Arial" w:cs="Arial" w:eastAsia="Arial" w:hAnsi="Arial"/>
          <w:sz w:val="20"/>
          <w:szCs w:val="20"/>
          <w:color w:val="auto"/>
        </w:rPr>
      </w:pPr>
      <w:r>
        <w:rPr>
          <w:rFonts w:ascii="Arial" w:cs="Arial" w:eastAsia="Arial" w:hAnsi="Arial"/>
          <w:sz w:val="20"/>
          <w:szCs w:val="20"/>
          <w:color w:val="auto"/>
        </w:rPr>
        <w:t>A Fourth Modification to Revolving Line of Credit Note; and</w:t>
      </w:r>
    </w:p>
    <w:p>
      <w:pPr>
        <w:ind w:left="2580" w:hanging="858"/>
        <w:spacing w:after="0"/>
        <w:tabs>
          <w:tab w:leader="none" w:pos="2580" w:val="left"/>
        </w:tabs>
        <w:numPr>
          <w:ilvl w:val="2"/>
          <w:numId w:val="114"/>
        </w:numPr>
        <w:rPr>
          <w:rFonts w:ascii="Arial" w:cs="Arial" w:eastAsia="Arial" w:hAnsi="Arial"/>
          <w:sz w:val="20"/>
          <w:szCs w:val="20"/>
          <w:color w:val="auto"/>
        </w:rPr>
      </w:pPr>
      <w:r>
        <w:rPr>
          <w:rFonts w:ascii="Arial" w:cs="Arial" w:eastAsia="Arial" w:hAnsi="Arial"/>
          <w:sz w:val="20"/>
          <w:szCs w:val="20"/>
          <w:color w:val="auto"/>
        </w:rPr>
        <w:t>Such other documentation as Bank may reasonably require in connection with this Amendment.</w:t>
      </w:r>
    </w:p>
    <w:p>
      <w:pPr>
        <w:spacing w:after="0" w:line="226" w:lineRule="exact"/>
        <w:rPr>
          <w:rFonts w:ascii="Arial" w:cs="Arial" w:eastAsia="Arial" w:hAnsi="Arial"/>
          <w:sz w:val="20"/>
          <w:szCs w:val="20"/>
          <w:color w:val="auto"/>
        </w:rPr>
      </w:pPr>
    </w:p>
    <w:p>
      <w:pPr>
        <w:jc w:val="both"/>
        <w:ind w:left="1700" w:hanging="842"/>
        <w:spacing w:after="0" w:line="250" w:lineRule="auto"/>
        <w:tabs>
          <w:tab w:leader="none" w:pos="17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Financial Condition</w:t>
      </w:r>
      <w:r>
        <w:rPr>
          <w:rFonts w:ascii="Arial" w:cs="Arial" w:eastAsia="Arial" w:hAnsi="Arial"/>
          <w:sz w:val="20"/>
          <w:szCs w:val="20"/>
          <w:color w:val="auto"/>
        </w:rPr>
        <w:t>. There shall have been no material adverse change, as determined by Bank, in the financial condition or business of Borrower, nor any material decline, as determined by Bank, in the market value of any substantial or material portion of the assets of Borrower.</w:t>
      </w:r>
    </w:p>
    <w:p>
      <w:pPr>
        <w:spacing w:after="0" w:line="212" w:lineRule="exact"/>
        <w:rPr>
          <w:rFonts w:ascii="Arial" w:cs="Arial" w:eastAsia="Arial" w:hAnsi="Arial"/>
          <w:sz w:val="20"/>
          <w:szCs w:val="20"/>
          <w:color w:val="auto"/>
        </w:rPr>
      </w:pPr>
    </w:p>
    <w:p>
      <w:pPr>
        <w:ind w:left="1700" w:hanging="842"/>
        <w:spacing w:after="0" w:line="287" w:lineRule="auto"/>
        <w:tabs>
          <w:tab w:leader="none" w:pos="170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Amendment Fee</w:t>
      </w:r>
      <w:r>
        <w:rPr>
          <w:rFonts w:ascii="Arial" w:cs="Arial" w:eastAsia="Arial" w:hAnsi="Arial"/>
          <w:sz w:val="19"/>
          <w:szCs w:val="19"/>
          <w:color w:val="auto"/>
        </w:rPr>
        <w:t>. In consideration of the changes set forth herein and as a condition to the effectiveness hereof, immediately upon signing this Amendment Borrower shall pay to Bank a non-refundable fee of $60,000.00.</w:t>
      </w:r>
    </w:p>
    <w:p>
      <w:pPr>
        <w:spacing w:after="0" w:line="179" w:lineRule="exact"/>
        <w:rPr>
          <w:rFonts w:ascii="Arial" w:cs="Arial" w:eastAsia="Arial" w:hAnsi="Arial"/>
          <w:sz w:val="19"/>
          <w:szCs w:val="19"/>
          <w:color w:val="auto"/>
        </w:rPr>
      </w:pPr>
    </w:p>
    <w:p>
      <w:pPr>
        <w:jc w:val="both"/>
        <w:ind w:firstLine="872"/>
        <w:spacing w:after="0" w:line="269" w:lineRule="auto"/>
        <w:tabs>
          <w:tab w:leader="none" w:pos="1660"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No Further Amendment</w:t>
      </w:r>
      <w:r>
        <w:rPr>
          <w:rFonts w:ascii="Arial" w:cs="Arial" w:eastAsia="Arial" w:hAnsi="Arial"/>
          <w:sz w:val="19"/>
          <w:szCs w:val="19"/>
          <w:color w:val="auto"/>
        </w:rPr>
        <w:t>. Except as specifically provided herein, all terms and conditions of the Credit Agreement remain in full force and effect, without waiver or modification. All terms defined in the Credit Agreement shall have the same meaning when used in this Amendment. This Amendment and the Credit Agreement shall be read together, as one document.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3" w:name="page154"/>
    <w:bookmarkEnd w:id="153"/>
    <w:p>
      <w:pPr>
        <w:jc w:val="both"/>
        <w:ind w:firstLine="8"/>
        <w:spacing w:after="0" w:line="257" w:lineRule="auto"/>
        <w:tabs>
          <w:tab w:leader="none" w:pos="79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Borrower hereby remakes all representations and warranties contained in the Credit Agreement and reaffirms all covenants set forth therein. Borrower further certifies that as of the date of this Amendment there exists no Event of Default as defined in the Credit Agreement, nor any condition, act or event which with the giving of notice or the passage of time or both would constitute any such Event of Default. Borrower acknowledges and confirms that Bank has existing, valid first priority security interests and liens in the collateral securing the Line of Credit and that such security interests and liens shall secure Borrower’s obligations under the Credit Agreement as amended by this Amendment including, without limitation, all obligations under the Line of Credit Note and all future modifications of the Credit Agreement, the Line of Credit Note and the other Loan Documents.</w:t>
      </w:r>
    </w:p>
    <w:p>
      <w:pPr>
        <w:spacing w:after="0" w:line="211" w:lineRule="exact"/>
        <w:rPr>
          <w:rFonts w:ascii="Arial" w:cs="Arial" w:eastAsia="Arial" w:hAnsi="Arial"/>
          <w:sz w:val="19"/>
          <w:szCs w:val="19"/>
          <w:color w:val="auto"/>
        </w:rPr>
      </w:pPr>
    </w:p>
    <w:p>
      <w:pPr>
        <w:ind w:right="20" w:firstLine="872"/>
        <w:spacing w:after="0" w:line="260" w:lineRule="auto"/>
        <w:tabs>
          <w:tab w:leader="none" w:pos="1660"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Borrower agrees to pay all costs and expenses of the Bank in connection with the preparation, execution and delivery of this Amendment, including without limitation the fees and expenses of the Bank’s legal counsel.</w:t>
      </w:r>
    </w:p>
    <w:p>
      <w:pPr>
        <w:spacing w:after="0" w:line="203" w:lineRule="exact"/>
        <w:rPr>
          <w:rFonts w:ascii="Arial" w:cs="Arial" w:eastAsia="Arial" w:hAnsi="Arial"/>
          <w:sz w:val="20"/>
          <w:szCs w:val="20"/>
          <w:color w:val="auto"/>
        </w:rPr>
      </w:pPr>
    </w:p>
    <w:p>
      <w:pPr>
        <w:ind w:firstLine="872"/>
        <w:spacing w:after="0" w:line="287" w:lineRule="auto"/>
        <w:tabs>
          <w:tab w:leader="none" w:pos="1660"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when executed and delivered shall be deemed to be an original, and all of which when taken together shall constitute one and the same document.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4" w:name="page155"/>
    <w:bookmarkEnd w:id="154"/>
    <w:p>
      <w:pPr>
        <w:ind w:firstLine="864"/>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with the intention that it constitute an instrument under seal, as of the day and year first written above.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5740" w:type="dxa"/>
            <w:vAlign w:val="bottom"/>
            <w:gridSpan w:val="3"/>
          </w:tcPr>
          <w:p>
            <w:pPr>
              <w:ind w:left="860"/>
              <w:spacing w:after="0"/>
              <w:rPr>
                <w:sz w:val="20"/>
                <w:szCs w:val="20"/>
                <w:color w:val="auto"/>
              </w:rPr>
            </w:pPr>
            <w:r>
              <w:rPr>
                <w:rFonts w:ascii="Arial" w:cs="Arial" w:eastAsia="Arial" w:hAnsi="Arial"/>
                <w:sz w:val="20"/>
                <w:szCs w:val="20"/>
                <w:color w:val="auto"/>
              </w:rPr>
              <w:t>WELLS FARGO BANK,</w:t>
            </w:r>
          </w:p>
        </w:tc>
      </w:tr>
      <w:tr>
        <w:trPr>
          <w:trHeight w:val="446"/>
        </w:trPr>
        <w:tc>
          <w:tcPr>
            <w:tcW w:w="4360" w:type="dxa"/>
            <w:vAlign w:val="bottom"/>
            <w:gridSpan w:val="3"/>
          </w:tcPr>
          <w:p>
            <w:pPr>
              <w:spacing w:after="0"/>
              <w:rPr>
                <w:sz w:val="20"/>
                <w:szCs w:val="20"/>
                <w:color w:val="auto"/>
              </w:rPr>
            </w:pPr>
            <w:r>
              <w:rPr>
                <w:rFonts w:ascii="Arial" w:cs="Arial" w:eastAsia="Arial" w:hAnsi="Arial"/>
                <w:sz w:val="20"/>
                <w:szCs w:val="20"/>
                <w:color w:val="auto"/>
              </w:rPr>
              <w:t>CULP, INC.</w:t>
            </w:r>
          </w:p>
        </w:tc>
        <w:tc>
          <w:tcPr>
            <w:tcW w:w="5740" w:type="dxa"/>
            <w:vAlign w:val="bottom"/>
            <w:gridSpan w:val="3"/>
          </w:tcPr>
          <w:p>
            <w:pPr>
              <w:ind w:left="860"/>
              <w:spacing w:after="0"/>
              <w:rPr>
                <w:sz w:val="20"/>
                <w:szCs w:val="20"/>
                <w:color w:val="auto"/>
              </w:rPr>
            </w:pPr>
            <w:r>
              <w:rPr>
                <w:rFonts w:ascii="Arial" w:cs="Arial" w:eastAsia="Arial" w:hAnsi="Arial"/>
                <w:sz w:val="20"/>
                <w:szCs w:val="20"/>
                <w:color w:val="auto"/>
              </w:rPr>
              <w:t>NATIONAL ASSOCIATION</w:t>
            </w:r>
          </w:p>
        </w:tc>
      </w:tr>
      <w:tr>
        <w:trPr>
          <w:trHeight w:val="873"/>
        </w:trPr>
        <w:tc>
          <w:tcPr>
            <w:tcW w:w="4360" w:type="dxa"/>
            <w:vAlign w:val="bottom"/>
            <w:gridSpan w:val="3"/>
          </w:tcPr>
          <w:p>
            <w:pPr>
              <w:spacing w:after="0"/>
              <w:rPr>
                <w:sz w:val="20"/>
                <w:szCs w:val="20"/>
                <w:color w:val="auto"/>
              </w:rPr>
            </w:pPr>
            <w:r>
              <w:rPr>
                <w:rFonts w:ascii="Arial" w:cs="Arial" w:eastAsia="Arial" w:hAnsi="Arial"/>
                <w:sz w:val="20"/>
                <w:szCs w:val="20"/>
                <w:color w:val="auto"/>
              </w:rPr>
              <w:t>By: /s/ Kenneth R. Bowling</w:t>
            </w:r>
          </w:p>
        </w:tc>
        <w:tc>
          <w:tcPr>
            <w:tcW w:w="5740" w:type="dxa"/>
            <w:vAlign w:val="bottom"/>
            <w:gridSpan w:val="3"/>
          </w:tcPr>
          <w:p>
            <w:pPr>
              <w:ind w:left="860"/>
              <w:spacing w:after="0"/>
              <w:rPr>
                <w:sz w:val="20"/>
                <w:szCs w:val="20"/>
                <w:color w:val="auto"/>
              </w:rPr>
            </w:pPr>
            <w:r>
              <w:rPr>
                <w:rFonts w:ascii="Arial" w:cs="Arial" w:eastAsia="Arial" w:hAnsi="Arial"/>
                <w:sz w:val="20"/>
                <w:szCs w:val="20"/>
                <w:color w:val="auto"/>
              </w:rPr>
              <w:t>By: /s/ Tim Sechrest</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206"/>
        </w:trPr>
        <w:tc>
          <w:tcPr>
            <w:tcW w:w="600" w:type="dxa"/>
            <w:vAlign w:val="bottom"/>
            <w:gridSpan w:val="2"/>
          </w:tcPr>
          <w:p>
            <w:pPr>
              <w:spacing w:after="0" w:line="207" w:lineRule="exact"/>
              <w:rPr>
                <w:sz w:val="20"/>
                <w:szCs w:val="20"/>
                <w:color w:val="auto"/>
              </w:rPr>
            </w:pPr>
            <w:r>
              <w:rPr>
                <w:rFonts w:ascii="Arial" w:cs="Arial" w:eastAsia="Arial" w:hAnsi="Arial"/>
                <w:sz w:val="20"/>
                <w:szCs w:val="20"/>
                <w:color w:val="auto"/>
                <w:w w:val="98"/>
              </w:rPr>
              <w:t>Name:</w:t>
            </w:r>
          </w:p>
        </w:tc>
        <w:tc>
          <w:tcPr>
            <w:tcW w:w="3760" w:type="dxa"/>
            <w:vAlign w:val="bottom"/>
          </w:tcPr>
          <w:p>
            <w:pPr>
              <w:ind w:left="80"/>
              <w:spacing w:after="0" w:line="207" w:lineRule="exact"/>
              <w:rPr>
                <w:sz w:val="20"/>
                <w:szCs w:val="20"/>
                <w:color w:val="auto"/>
              </w:rPr>
            </w:pPr>
            <w:r>
              <w:rPr>
                <w:rFonts w:ascii="Arial" w:cs="Arial" w:eastAsia="Arial" w:hAnsi="Arial"/>
                <w:sz w:val="20"/>
                <w:szCs w:val="20"/>
                <w:color w:val="auto"/>
              </w:rPr>
              <w:t>Kenneth R. Bowling</w:t>
            </w:r>
          </w:p>
        </w:tc>
        <w:tc>
          <w:tcPr>
            <w:tcW w:w="1500" w:type="dxa"/>
            <w:vAlign w:val="bottom"/>
            <w:gridSpan w:val="2"/>
          </w:tcPr>
          <w:p>
            <w:pPr>
              <w:ind w:left="860"/>
              <w:spacing w:after="0" w:line="207" w:lineRule="exact"/>
              <w:rPr>
                <w:sz w:val="20"/>
                <w:szCs w:val="20"/>
                <w:color w:val="auto"/>
              </w:rPr>
            </w:pPr>
            <w:r>
              <w:rPr>
                <w:rFonts w:ascii="Arial" w:cs="Arial" w:eastAsia="Arial" w:hAnsi="Arial"/>
                <w:sz w:val="20"/>
                <w:szCs w:val="20"/>
                <w:color w:val="auto"/>
              </w:rPr>
              <w:t>Name:</w:t>
            </w:r>
          </w:p>
        </w:tc>
        <w:tc>
          <w:tcPr>
            <w:tcW w:w="4240" w:type="dxa"/>
            <w:vAlign w:val="bottom"/>
          </w:tcPr>
          <w:p>
            <w:pPr>
              <w:ind w:left="120"/>
              <w:spacing w:after="0" w:line="207" w:lineRule="exact"/>
              <w:rPr>
                <w:sz w:val="20"/>
                <w:szCs w:val="20"/>
                <w:color w:val="auto"/>
              </w:rPr>
            </w:pPr>
            <w:r>
              <w:rPr>
                <w:rFonts w:ascii="Arial" w:cs="Arial" w:eastAsia="Arial" w:hAnsi="Arial"/>
                <w:sz w:val="20"/>
                <w:szCs w:val="20"/>
                <w:color w:val="auto"/>
              </w:rPr>
              <w:t>Tin Sechrest</w:t>
            </w: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Title:</w:t>
            </w:r>
          </w:p>
        </w:tc>
        <w:tc>
          <w:tcPr>
            <w:tcW w:w="3760" w:type="dxa"/>
            <w:vAlign w:val="bottom"/>
          </w:tcPr>
          <w:p>
            <w:pPr>
              <w:ind w:left="80"/>
              <w:spacing w:after="0"/>
              <w:rPr>
                <w:sz w:val="20"/>
                <w:szCs w:val="20"/>
                <w:color w:val="auto"/>
              </w:rPr>
            </w:pPr>
            <w:r>
              <w:rPr>
                <w:rFonts w:ascii="Arial" w:cs="Arial" w:eastAsia="Arial" w:hAnsi="Arial"/>
                <w:sz w:val="20"/>
                <w:szCs w:val="20"/>
                <w:color w:val="auto"/>
              </w:rPr>
              <w:t>Exec VP, CFP</w:t>
            </w:r>
          </w:p>
        </w:tc>
        <w:tc>
          <w:tcPr>
            <w:tcW w:w="1500" w:type="dxa"/>
            <w:vAlign w:val="bottom"/>
            <w:gridSpan w:val="2"/>
          </w:tcPr>
          <w:p>
            <w:pPr>
              <w:ind w:left="860"/>
              <w:spacing w:after="0"/>
              <w:rPr>
                <w:sz w:val="20"/>
                <w:szCs w:val="20"/>
                <w:color w:val="auto"/>
              </w:rPr>
            </w:pPr>
            <w:r>
              <w:rPr>
                <w:rFonts w:ascii="Arial" w:cs="Arial" w:eastAsia="Arial" w:hAnsi="Arial"/>
                <w:sz w:val="20"/>
                <w:szCs w:val="20"/>
                <w:color w:val="auto"/>
              </w:rPr>
              <w:t>Title:</w:t>
            </w:r>
          </w:p>
        </w:tc>
        <w:tc>
          <w:tcPr>
            <w:tcW w:w="4240" w:type="dxa"/>
            <w:vAlign w:val="bottom"/>
          </w:tcPr>
          <w:p>
            <w:pPr>
              <w:ind w:left="120"/>
              <w:spacing w:after="0"/>
              <w:rPr>
                <w:sz w:val="20"/>
                <w:szCs w:val="20"/>
                <w:color w:val="auto"/>
              </w:rPr>
            </w:pPr>
            <w:r>
              <w:rPr>
                <w:rFonts w:ascii="Arial" w:cs="Arial" w:eastAsia="Arial" w:hAnsi="Arial"/>
                <w:sz w:val="20"/>
                <w:szCs w:val="20"/>
                <w:color w:val="auto"/>
              </w:rPr>
              <w:t>Sr. VP</w:t>
            </w:r>
          </w:p>
        </w:tc>
      </w:tr>
      <w:tr>
        <w:trPr>
          <w:trHeight w:val="904"/>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0" w:type="dxa"/>
            <w:vAlign w:val="bottom"/>
          </w:tcPr>
          <w:p>
            <w:pPr>
              <w:ind w:left="520"/>
              <w:spacing w:after="0"/>
              <w:rPr>
                <w:sz w:val="20"/>
                <w:szCs w:val="20"/>
                <w:color w:val="auto"/>
              </w:rPr>
            </w:pPr>
            <w:r>
              <w:rPr>
                <w:rFonts w:ascii="Arial" w:cs="Arial" w:eastAsia="Arial" w:hAnsi="Arial"/>
                <w:sz w:val="20"/>
                <w:szCs w:val="20"/>
                <w:color w:val="auto"/>
              </w:rPr>
              <w:t>-10-</w:t>
            </w: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color w:val="auto"/>
        </w:rPr>
        <w:t>Exhibit 10.3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SEVENTH AMENDMENT TO CREDIT AGREEMENT</w:t>
      </w:r>
    </w:p>
    <w:p>
      <w:pPr>
        <w:spacing w:after="0" w:line="243"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THIS SEVENTH AMENDMENT TO CREDIT AGREEMENT (this "Amendment") is entered into as of June 30, 2020 by and between CULP, INC., a North Carolina corporation ("Borrower"), and WELLS FARGO BANK, NATIONAL ASSOCIATION ("Bank").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WHEREAS, Borrower is currently indebted to Bank pursuant to the terms and conditions of that certain Credit Agreement between Borrower and Bank dated as of August 13, 2013, as amended by a First Amendment to Credit Agreement between Borrower and Bank dated as of July 10, 2015, by a Second Amendment to Credit Agreement between Borrower and Bank dated as of March 10, 2016, by a Third Amendment to Credit Agreement between Borrower and Bank dated as of August 1, 2016, by a Fourth Amendment to Credit Agreement between Borrower and Bank dated as of September 27, 2016, by a Fifth Amendment to Credit Agreement between Borrower and Bank dated as of August 13, 2018, by a Sixth Amendment to Credit Agreement between Borrower and Bank dated as of March 27, 2020, and as further amended from time to time ("Credit Agreement").</w:t>
      </w:r>
    </w:p>
    <w:p>
      <w:pPr>
        <w:spacing w:after="0" w:line="21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Bank and Borrower have agreed to certain changes in the terms and conditions set forth in the Credit Agreement and have agreed to amend the Credit Agreement to reflect said changes.</w:t>
      </w:r>
    </w:p>
    <w:p>
      <w:pPr>
        <w:spacing w:after="0" w:line="204"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as follows:</w:t>
      </w:r>
    </w:p>
    <w:p>
      <w:pPr>
        <w:spacing w:after="0" w:line="204" w:lineRule="exact"/>
        <w:rPr>
          <w:sz w:val="20"/>
          <w:szCs w:val="20"/>
          <w:color w:val="auto"/>
        </w:rPr>
      </w:pPr>
    </w:p>
    <w:p>
      <w:pPr>
        <w:ind w:left="1660" w:hanging="788"/>
        <w:spacing w:after="0"/>
        <w:tabs>
          <w:tab w:leader="none" w:pos="166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The Credit Agreement is hereby amended as set forth in this Section 1.</w:t>
      </w:r>
    </w:p>
    <w:p>
      <w:pPr>
        <w:spacing w:after="0" w:line="243"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1.1 A new defined term, “Modification Period”, is hereby added in appropriate alphabetical order to Article I of the Credit Agreement, which term shall be defined as follows:</w:t>
      </w:r>
    </w:p>
    <w:p>
      <w:pPr>
        <w:spacing w:after="0" w:line="204" w:lineRule="exact"/>
        <w:rPr>
          <w:sz w:val="20"/>
          <w:szCs w:val="20"/>
          <w:color w:val="auto"/>
        </w:rPr>
      </w:pPr>
    </w:p>
    <w:p>
      <w:pPr>
        <w:jc w:val="both"/>
        <w:ind w:left="880" w:right="860"/>
        <w:spacing w:after="0" w:line="250" w:lineRule="auto"/>
        <w:rPr>
          <w:sz w:val="20"/>
          <w:szCs w:val="20"/>
          <w:color w:val="auto"/>
        </w:rPr>
      </w:pPr>
      <w:r>
        <w:rPr>
          <w:rFonts w:ascii="Arial" w:cs="Arial" w:eastAsia="Arial" w:hAnsi="Arial"/>
          <w:sz w:val="20"/>
          <w:szCs w:val="20"/>
          <w:color w:val="auto"/>
        </w:rPr>
        <w:t>“Modification Period” means a period of time commencing on June 30, 2020 and terminating upon the Rate Determination Date next following the end of Borrower’s fourth Fiscal Quarter of 2021 (which Fiscal Quarter end is presumed to be May 2, 2021).”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jc w:val="right"/>
              <w:ind w:right="320"/>
              <w:spacing w:after="0"/>
              <w:rPr>
                <w:sz w:val="20"/>
                <w:szCs w:val="20"/>
                <w:color w:val="auto"/>
              </w:rPr>
            </w:pPr>
            <w:r>
              <w:rPr>
                <w:rFonts w:ascii="Arial" w:cs="Arial" w:eastAsia="Arial" w:hAnsi="Arial"/>
                <w:sz w:val="20"/>
                <w:szCs w:val="20"/>
                <w:color w:val="auto"/>
              </w:rPr>
              <w:t>1.2</w:t>
            </w:r>
          </w:p>
        </w:tc>
        <w:tc>
          <w:tcPr>
            <w:tcW w:w="9800" w:type="dxa"/>
            <w:vAlign w:val="bottom"/>
            <w:gridSpan w:val="4"/>
          </w:tcPr>
          <w:p>
            <w:pPr>
              <w:ind w:left="320"/>
              <w:spacing w:after="0"/>
              <w:rPr>
                <w:sz w:val="20"/>
                <w:szCs w:val="20"/>
                <w:color w:val="auto"/>
              </w:rPr>
            </w:pPr>
            <w:r>
              <w:rPr>
                <w:rFonts w:ascii="Arial" w:cs="Arial" w:eastAsia="Arial" w:hAnsi="Arial"/>
                <w:sz w:val="20"/>
                <w:szCs w:val="20"/>
                <w:color w:val="auto"/>
                <w:w w:val="93"/>
              </w:rPr>
              <w:t>The definition of “Applicable Margin” set forth in Article I of the Credit Agreement is amended to provide that, during</w:t>
            </w:r>
          </w:p>
        </w:tc>
        <w:tc>
          <w:tcPr>
            <w:tcW w:w="0" w:type="dxa"/>
            <w:vAlign w:val="bottom"/>
          </w:tcPr>
          <w:p>
            <w:pPr>
              <w:spacing w:after="0"/>
              <w:rPr>
                <w:sz w:val="1"/>
                <w:szCs w:val="1"/>
                <w:color w:val="auto"/>
              </w:rPr>
            </w:pPr>
          </w:p>
        </w:tc>
      </w:tr>
      <w:tr>
        <w:trPr>
          <w:trHeight w:val="250"/>
        </w:trPr>
        <w:tc>
          <w:tcPr>
            <w:tcW w:w="7620" w:type="dxa"/>
            <w:vAlign w:val="bottom"/>
            <w:gridSpan w:val="4"/>
          </w:tcPr>
          <w:p>
            <w:pPr>
              <w:spacing w:after="0"/>
              <w:rPr>
                <w:sz w:val="20"/>
                <w:szCs w:val="20"/>
                <w:color w:val="auto"/>
              </w:rPr>
            </w:pPr>
            <w:r>
              <w:rPr>
                <w:rFonts w:ascii="Arial" w:cs="Arial" w:eastAsia="Arial" w:hAnsi="Arial"/>
                <w:sz w:val="20"/>
                <w:szCs w:val="20"/>
                <w:color w:val="auto"/>
              </w:rPr>
              <w:t>the Modification Period, the Applicable Margin shall be as set forth below:</w:t>
            </w: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960" w:type="dxa"/>
            <w:vAlign w:val="bottom"/>
            <w:tcBorders>
              <w:right w:val="single" w:sz="8" w:color="auto"/>
            </w:tcBorders>
            <w:shd w:val="clear" w:color="auto" w:fill="C0C0C0"/>
          </w:tcPr>
          <w:p>
            <w:pPr>
              <w:jc w:val="center"/>
              <w:ind w:right="421"/>
              <w:spacing w:after="0" w:line="207" w:lineRule="exact"/>
              <w:rPr>
                <w:sz w:val="20"/>
                <w:szCs w:val="20"/>
                <w:color w:val="auto"/>
              </w:rPr>
            </w:pPr>
            <w:r>
              <w:rPr>
                <w:rFonts w:ascii="Arial" w:cs="Arial" w:eastAsia="Arial" w:hAnsi="Arial"/>
                <w:sz w:val="20"/>
                <w:szCs w:val="20"/>
                <w:color w:val="auto"/>
                <w:w w:val="87"/>
              </w:rPr>
              <w:t>Price</w:t>
            </w:r>
          </w:p>
        </w:tc>
        <w:tc>
          <w:tcPr>
            <w:tcW w:w="4220" w:type="dxa"/>
            <w:vAlign w:val="bottom"/>
            <w:tcBorders>
              <w:right w:val="single" w:sz="8" w:color="auto"/>
            </w:tcBorders>
            <w:shd w:val="clear" w:color="auto" w:fill="C0C0C0"/>
          </w:tcPr>
          <w:p>
            <w:pPr>
              <w:ind w:left="1140"/>
              <w:spacing w:after="0" w:line="207" w:lineRule="exact"/>
              <w:rPr>
                <w:sz w:val="20"/>
                <w:szCs w:val="20"/>
                <w:color w:val="auto"/>
              </w:rPr>
            </w:pPr>
            <w:r>
              <w:rPr>
                <w:rFonts w:ascii="Arial" w:cs="Arial" w:eastAsia="Arial" w:hAnsi="Arial"/>
                <w:sz w:val="20"/>
                <w:szCs w:val="20"/>
                <w:color w:val="auto"/>
              </w:rPr>
              <w:t>Consolidated Total Debt</w:t>
            </w:r>
          </w:p>
        </w:tc>
        <w:tc>
          <w:tcPr>
            <w:tcW w:w="27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color w:val="auto"/>
                <w:w w:val="94"/>
              </w:rPr>
              <w:t>Applicable Margin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960" w:type="dxa"/>
            <w:vAlign w:val="bottom"/>
            <w:tcBorders>
              <w:right w:val="single" w:sz="8" w:color="auto"/>
            </w:tcBorders>
            <w:shd w:val="clear" w:color="auto" w:fill="C0C0C0"/>
          </w:tcPr>
          <w:p>
            <w:pPr>
              <w:jc w:val="center"/>
              <w:ind w:right="441"/>
              <w:spacing w:after="0"/>
              <w:rPr>
                <w:sz w:val="20"/>
                <w:szCs w:val="20"/>
                <w:color w:val="auto"/>
              </w:rPr>
            </w:pPr>
            <w:r>
              <w:rPr>
                <w:rFonts w:ascii="Arial" w:cs="Arial" w:eastAsia="Arial" w:hAnsi="Arial"/>
                <w:sz w:val="20"/>
                <w:szCs w:val="20"/>
                <w:color w:val="auto"/>
                <w:w w:val="96"/>
              </w:rPr>
              <w:t>Level</w:t>
            </w:r>
          </w:p>
        </w:tc>
        <w:tc>
          <w:tcPr>
            <w:tcW w:w="4220" w:type="dxa"/>
            <w:vAlign w:val="bottom"/>
            <w:tcBorders>
              <w:right w:val="single" w:sz="8" w:color="auto"/>
            </w:tcBorders>
            <w:shd w:val="clear" w:color="auto" w:fill="C0C0C0"/>
          </w:tcPr>
          <w:p>
            <w:pPr>
              <w:ind w:left="860"/>
              <w:spacing w:after="0"/>
              <w:rPr>
                <w:sz w:val="20"/>
                <w:szCs w:val="20"/>
                <w:color w:val="auto"/>
              </w:rPr>
            </w:pPr>
            <w:r>
              <w:rPr>
                <w:rFonts w:ascii="Arial" w:cs="Arial" w:eastAsia="Arial" w:hAnsi="Arial"/>
                <w:sz w:val="20"/>
                <w:szCs w:val="20"/>
                <w:color w:val="auto"/>
              </w:rPr>
              <w:t>to Consolidated EBITDA Ratio</w:t>
            </w:r>
          </w:p>
        </w:tc>
        <w:tc>
          <w:tcPr>
            <w:tcW w:w="2720" w:type="dxa"/>
            <w:vAlign w:val="bottom"/>
            <w:tcBorders>
              <w:right w:val="single" w:sz="8" w:color="auto"/>
            </w:tcBorders>
            <w:vMerge w:val="continue"/>
            <w:shd w:val="clear" w:color="auto" w:fill="C0C0C0"/>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940" w:type="dxa"/>
            <w:vAlign w:val="bottom"/>
            <w:tcBorders>
              <w:right w:val="single" w:sz="8" w:color="auto"/>
            </w:tcBorders>
          </w:tcPr>
          <w:p>
            <w:pPr>
              <w:spacing w:after="0"/>
              <w:rPr>
                <w:sz w:val="12"/>
                <w:szCs w:val="12"/>
                <w:color w:val="auto"/>
              </w:rPr>
            </w:pPr>
          </w:p>
        </w:tc>
        <w:tc>
          <w:tcPr>
            <w:tcW w:w="500" w:type="dxa"/>
            <w:vAlign w:val="bottom"/>
            <w:tcBorders>
              <w:bottom w:val="single" w:sz="8" w:color="auto"/>
            </w:tcBorders>
            <w:shd w:val="clear" w:color="auto" w:fill="C0C0C0"/>
          </w:tcPr>
          <w:p>
            <w:pPr>
              <w:spacing w:after="0"/>
              <w:rPr>
                <w:sz w:val="12"/>
                <w:szCs w:val="12"/>
                <w:color w:val="auto"/>
              </w:rPr>
            </w:pPr>
          </w:p>
        </w:tc>
        <w:tc>
          <w:tcPr>
            <w:tcW w:w="1960" w:type="dxa"/>
            <w:vAlign w:val="bottom"/>
            <w:tcBorders>
              <w:bottom w:val="single" w:sz="8" w:color="auto"/>
              <w:right w:val="single" w:sz="8" w:color="auto"/>
            </w:tcBorders>
            <w:shd w:val="clear" w:color="auto" w:fill="C0C0C0"/>
          </w:tcPr>
          <w:p>
            <w:pPr>
              <w:spacing w:after="0"/>
              <w:rPr>
                <w:sz w:val="12"/>
                <w:szCs w:val="12"/>
                <w:color w:val="auto"/>
              </w:rPr>
            </w:pPr>
          </w:p>
        </w:tc>
        <w:tc>
          <w:tcPr>
            <w:tcW w:w="4220" w:type="dxa"/>
            <w:vAlign w:val="bottom"/>
            <w:tcBorders>
              <w:bottom w:val="single" w:sz="8" w:color="auto"/>
              <w:right w:val="single" w:sz="8" w:color="auto"/>
            </w:tcBorders>
            <w:shd w:val="clear" w:color="auto" w:fill="C0C0C0"/>
          </w:tcPr>
          <w:p>
            <w:pPr>
              <w:spacing w:after="0"/>
              <w:rPr>
                <w:sz w:val="12"/>
                <w:szCs w:val="12"/>
                <w:color w:val="auto"/>
              </w:rPr>
            </w:pPr>
          </w:p>
        </w:tc>
        <w:tc>
          <w:tcPr>
            <w:tcW w:w="2720" w:type="dxa"/>
            <w:vAlign w:val="bottom"/>
            <w:tcBorders>
              <w:bottom w:val="single" w:sz="8" w:color="auto"/>
              <w:right w:val="single" w:sz="8" w:color="auto"/>
            </w:tcBorders>
            <w:shd w:val="clear" w:color="auto" w:fill="C0C0C0"/>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9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96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rPr>
              <w:t>I</w:t>
            </w:r>
          </w:p>
        </w:tc>
        <w:tc>
          <w:tcPr>
            <w:tcW w:w="42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0.75 to 1.00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40" w:type="dxa"/>
            <w:vAlign w:val="bottom"/>
            <w:tcBorders>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right w:val="single" w:sz="8" w:color="auto"/>
            </w:tcBorders>
          </w:tcPr>
          <w:p>
            <w:pPr>
              <w:spacing w:after="0"/>
              <w:rPr>
                <w:sz w:val="11"/>
                <w:szCs w:val="11"/>
                <w:color w:val="auto"/>
              </w:rPr>
            </w:pPr>
          </w:p>
        </w:tc>
        <w:tc>
          <w:tcPr>
            <w:tcW w:w="2720" w:type="dxa"/>
            <w:vAlign w:val="bottom"/>
            <w:tcBorders>
              <w:bottom w:val="single" w:sz="8" w:color="auto"/>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Borders>
              <w:right w:val="single" w:sz="8" w:color="auto"/>
            </w:tcBorders>
          </w:tcPr>
          <w:p>
            <w:pPr>
              <w:jc w:val="center"/>
              <w:ind w:right="441"/>
              <w:spacing w:after="0" w:line="207" w:lineRule="exact"/>
              <w:rPr>
                <w:sz w:val="20"/>
                <w:szCs w:val="20"/>
                <w:color w:val="auto"/>
              </w:rPr>
            </w:pPr>
            <w:r>
              <w:rPr>
                <w:rFonts w:ascii="Arial" w:cs="Arial" w:eastAsia="Arial" w:hAnsi="Arial"/>
                <w:sz w:val="20"/>
                <w:szCs w:val="20"/>
                <w:color w:val="auto"/>
              </w:rPr>
              <w:t>II</w:t>
            </w:r>
          </w:p>
        </w:tc>
        <w:tc>
          <w:tcPr>
            <w:tcW w:w="42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Greater than or equal to 0.75 to 1.00 but less than</w:t>
            </w:r>
          </w:p>
        </w:tc>
        <w:tc>
          <w:tcPr>
            <w:tcW w:w="27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2.05%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42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1.50 to 1.00</w:t>
            </w:r>
          </w:p>
        </w:tc>
        <w:tc>
          <w:tcPr>
            <w:tcW w:w="272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940" w:type="dxa"/>
            <w:vAlign w:val="bottom"/>
            <w:tcBorders>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Borders>
              <w:right w:val="single" w:sz="8" w:color="auto"/>
            </w:tcBorders>
          </w:tcPr>
          <w:p>
            <w:pPr>
              <w:jc w:val="center"/>
              <w:ind w:right="421"/>
              <w:spacing w:after="0" w:line="207" w:lineRule="exact"/>
              <w:rPr>
                <w:sz w:val="20"/>
                <w:szCs w:val="20"/>
                <w:color w:val="auto"/>
              </w:rPr>
            </w:pPr>
            <w:r>
              <w:rPr>
                <w:rFonts w:ascii="Arial" w:cs="Arial" w:eastAsia="Arial" w:hAnsi="Arial"/>
                <w:sz w:val="20"/>
                <w:szCs w:val="20"/>
                <w:color w:val="auto"/>
              </w:rPr>
              <w:t>III</w:t>
            </w:r>
          </w:p>
        </w:tc>
        <w:tc>
          <w:tcPr>
            <w:tcW w:w="42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Greater than or equal to 1.50 to 1.00 but less than</w:t>
            </w:r>
          </w:p>
        </w:tc>
        <w:tc>
          <w:tcPr>
            <w:tcW w:w="27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2.50%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42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2.25 to 1.00</w:t>
            </w:r>
          </w:p>
        </w:tc>
        <w:tc>
          <w:tcPr>
            <w:tcW w:w="272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940" w:type="dxa"/>
            <w:vAlign w:val="bottom"/>
            <w:tcBorders>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Borders>
              <w:right w:val="single" w:sz="8" w:color="auto"/>
            </w:tcBorders>
          </w:tcPr>
          <w:p>
            <w:pPr>
              <w:jc w:val="center"/>
              <w:ind w:right="421"/>
              <w:spacing w:after="0" w:line="207" w:lineRule="exact"/>
              <w:rPr>
                <w:sz w:val="20"/>
                <w:szCs w:val="20"/>
                <w:color w:val="auto"/>
              </w:rPr>
            </w:pPr>
            <w:r>
              <w:rPr>
                <w:rFonts w:ascii="Arial" w:cs="Arial" w:eastAsia="Arial" w:hAnsi="Arial"/>
                <w:sz w:val="20"/>
                <w:szCs w:val="20"/>
                <w:color w:val="auto"/>
              </w:rPr>
              <w:t>IV</w:t>
            </w:r>
          </w:p>
        </w:tc>
        <w:tc>
          <w:tcPr>
            <w:tcW w:w="42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Greater than or equal to 2.25 to 1.00 but less than</w:t>
            </w:r>
          </w:p>
        </w:tc>
        <w:tc>
          <w:tcPr>
            <w:tcW w:w="27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3.00%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42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3.00 to 1.00</w:t>
            </w:r>
          </w:p>
        </w:tc>
        <w:tc>
          <w:tcPr>
            <w:tcW w:w="272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940" w:type="dxa"/>
            <w:vAlign w:val="bottom"/>
            <w:tcBorders>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440" w:firstLine="830"/>
        <w:spacing w:after="0" w:line="250" w:lineRule="auto"/>
        <w:rPr>
          <w:sz w:val="20"/>
          <w:szCs w:val="20"/>
          <w:color w:val="auto"/>
        </w:rPr>
      </w:pPr>
      <w:r>
        <w:rPr>
          <w:rFonts w:ascii="Arial" w:cs="Arial" w:eastAsia="Arial" w:hAnsi="Arial"/>
          <w:sz w:val="20"/>
          <w:szCs w:val="20"/>
          <w:color w:val="auto"/>
        </w:rPr>
        <w:t>For avoidance of doubt, upon the expiration of the Modification Period, the provisions of this Section 1.2 shall automatically terminate and be of no further force or effect, and the manner of determining the Applicable Margin shall revert to the manner of such determination in effect immediately prior to the Modification Period.</w:t>
      </w:r>
    </w:p>
    <w:p>
      <w:pPr>
        <w:sectPr>
          <w:pgSz w:w="11900" w:h="16838" w:orient="portrait"/>
          <w:cols w:equalWidth="0" w:num="1">
            <w:col w:w="11240"/>
          </w:cols>
          <w:pgMar w:left="320" w:top="338" w:right="339" w:bottom="1440" w:gutter="0" w:footer="0" w:header="0"/>
        </w:sect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read as follows: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definition of “Capital Stock” set forth in Article I of the Credit Agreement is amended and restated in its entirety</w:t>
      </w:r>
    </w:p>
    <w:p>
      <w:pPr>
        <w:spacing w:after="0" w:line="445" w:lineRule="exact"/>
        <w:rPr>
          <w:sz w:val="20"/>
          <w:szCs w:val="20"/>
          <w:color w:val="auto"/>
        </w:rPr>
      </w:pPr>
    </w:p>
    <w:p>
      <w:pPr>
        <w:sectPr>
          <w:pgSz w:w="11900" w:h="16838" w:orient="portrait"/>
          <w:cols w:equalWidth="0" w:num="2">
            <w:col w:w="1460" w:space="300"/>
            <w:col w:w="9480"/>
          </w:cols>
          <w:pgMar w:left="320" w:top="338" w:right="339" w:bottom="1440" w:gutter="0" w:footer="0" w:header="0"/>
          <w:type w:val="continuous"/>
        </w:sectPr>
      </w:pPr>
    </w:p>
    <w:p>
      <w:pPr>
        <w:spacing w:after="0" w:line="5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ind w:right="860"/>
        <w:spacing w:after="0" w:line="250" w:lineRule="auto"/>
        <w:rPr>
          <w:sz w:val="20"/>
          <w:szCs w:val="20"/>
          <w:color w:val="auto"/>
        </w:rPr>
      </w:pPr>
      <w:r>
        <w:rPr>
          <w:rFonts w:ascii="Arial" w:cs="Arial" w:eastAsia="Arial" w:hAnsi="Arial"/>
          <w:sz w:val="20"/>
          <w:szCs w:val="20"/>
          <w:color w:val="auto"/>
        </w:rPr>
        <w:t>“Capital Stock” means any capital stock of Borrower or any Consolidated Subsidiary (to the extent issued to a Person other than Borrower), whether common or preferred, that is not redeemable at the option of the holder.”</w:t>
      </w:r>
    </w:p>
    <w:p>
      <w:pPr>
        <w:spacing w:after="0" w:line="200" w:lineRule="exact"/>
        <w:rPr>
          <w:sz w:val="20"/>
          <w:szCs w:val="20"/>
          <w:color w:val="auto"/>
        </w:rPr>
      </w:pPr>
    </w:p>
    <w:p>
      <w:pPr>
        <w:sectPr>
          <w:pgSz w:w="11900" w:h="16838" w:orient="portrait"/>
          <w:cols w:equalWidth="0" w:num="2">
            <w:col w:w="1160" w:space="540"/>
            <w:col w:w="9540"/>
          </w:cols>
          <w:pgMar w:left="320" w:top="338" w:right="339" w:bottom="1440" w:gutter="0" w:footer="0" w:header="0"/>
          <w:type w:val="continuous"/>
        </w:sectPr>
      </w:pPr>
    </w:p>
    <w:p>
      <w:pPr>
        <w:spacing w:after="0" w:line="1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Section 5.9(b) of the Credit Agreement is hereby amended to provide that, during the Modification Period, the ratio of</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Consolidated Total Debt to Consolidated EBITDA shall be determined on the following basis, instead of on a rolling 4-quarter basis:</w:t>
      </w:r>
    </w:p>
    <w:p>
      <w:pPr>
        <w:spacing w:after="0" w:line="238" w:lineRule="exact"/>
        <w:rPr>
          <w:sz w:val="20"/>
          <w:szCs w:val="20"/>
          <w:color w:val="auto"/>
        </w:rPr>
      </w:pPr>
    </w:p>
    <w:p>
      <w:pPr>
        <w:jc w:val="both"/>
        <w:ind w:left="980" w:right="880"/>
        <w:spacing w:after="0" w:line="316" w:lineRule="auto"/>
        <w:rPr>
          <w:sz w:val="20"/>
          <w:szCs w:val="20"/>
          <w:color w:val="auto"/>
        </w:rPr>
      </w:pPr>
      <w:r>
        <w:rPr>
          <w:rFonts w:ascii="Arial" w:cs="Arial" w:eastAsia="Arial" w:hAnsi="Arial"/>
          <w:sz w:val="18"/>
          <w:szCs w:val="18"/>
          <w:color w:val="auto"/>
        </w:rPr>
        <w:t>For the Fiscal Quarter ending nearest to July 31, 2020 (i.e., first Fiscal Quarter of 2021), the ratio shall be determined using EBITDA from the first, second and third Fiscal Quarters of 2020 and the first Fiscal Quarter of 2021.</w:t>
      </w:r>
    </w:p>
    <w:p>
      <w:pPr>
        <w:spacing w:after="0" w:line="157" w:lineRule="exact"/>
        <w:rPr>
          <w:sz w:val="20"/>
          <w:szCs w:val="20"/>
          <w:color w:val="auto"/>
        </w:rPr>
      </w:pPr>
    </w:p>
    <w:p>
      <w:pPr>
        <w:jc w:val="both"/>
        <w:ind w:left="980" w:right="880"/>
        <w:spacing w:after="0" w:line="250" w:lineRule="auto"/>
        <w:rPr>
          <w:sz w:val="20"/>
          <w:szCs w:val="20"/>
          <w:color w:val="auto"/>
        </w:rPr>
      </w:pPr>
      <w:r>
        <w:rPr>
          <w:rFonts w:ascii="Arial" w:cs="Arial" w:eastAsia="Arial" w:hAnsi="Arial"/>
          <w:sz w:val="20"/>
          <w:szCs w:val="20"/>
          <w:color w:val="auto"/>
        </w:rPr>
        <w:t>For the Fiscal Quarter ending nearest to October 31, 2020 (i.e., second Fiscal Quarter of 2021), the ratio shall be determined using EBITDA from the second and third Fiscal Quarters of 2020 and the first and second Fiscal Quarters of 2021.</w:t>
      </w:r>
    </w:p>
    <w:p>
      <w:pPr>
        <w:spacing w:after="0" w:line="213" w:lineRule="exact"/>
        <w:rPr>
          <w:sz w:val="20"/>
          <w:szCs w:val="20"/>
          <w:color w:val="auto"/>
        </w:rPr>
      </w:pPr>
    </w:p>
    <w:p>
      <w:pPr>
        <w:jc w:val="both"/>
        <w:ind w:left="980" w:right="860"/>
        <w:spacing w:after="0" w:line="250" w:lineRule="auto"/>
        <w:rPr>
          <w:sz w:val="20"/>
          <w:szCs w:val="20"/>
          <w:color w:val="auto"/>
        </w:rPr>
      </w:pPr>
      <w:r>
        <w:rPr>
          <w:rFonts w:ascii="Arial" w:cs="Arial" w:eastAsia="Arial" w:hAnsi="Arial"/>
          <w:sz w:val="20"/>
          <w:szCs w:val="20"/>
          <w:color w:val="auto"/>
        </w:rPr>
        <w:t>For the Fiscal Quarter ending nearest to January 31, 2021 (i.e., third Fiscal Quarter of 2021), the ratio shall be determined using EBITDA from the third Fiscal Quarter of 2020 and the first, second and third Fiscal Quarters of 2021.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57" w:name="page158"/>
    <w:bookmarkEnd w:id="157"/>
    <w:p>
      <w:pPr>
        <w:ind w:left="980" w:right="880"/>
        <w:spacing w:after="0" w:line="260" w:lineRule="auto"/>
        <w:rPr>
          <w:sz w:val="20"/>
          <w:szCs w:val="20"/>
          <w:color w:val="auto"/>
        </w:rPr>
      </w:pPr>
      <w:r>
        <w:rPr>
          <w:rFonts w:ascii="Arial" w:cs="Arial" w:eastAsia="Arial" w:hAnsi="Arial"/>
          <w:sz w:val="20"/>
          <w:szCs w:val="20"/>
          <w:color w:val="auto"/>
        </w:rPr>
        <w:t>For the Fiscal Quarter ending nearest to April 30, 2021 (i.e., fourth Fiscal Quarter of 2021), the ratio shall be determined using EBITDA from the first, second, third and fourth Fiscal Quarters of 2021.</w:t>
      </w:r>
    </w:p>
    <w:p>
      <w:pPr>
        <w:spacing w:after="0" w:line="20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For avoidance of doubt, upon the expiration of the Modification Period, the provisions of this Section 1.4 shall automatically terminate and be of no further force or effect, and the manner of determining the ratio of Consolidated Total Debt to Consolidated EBITDA shall revert to the manner of such determination in effect immediately prior to the Modification Period.</w:t>
      </w:r>
    </w:p>
    <w:p>
      <w:pPr>
        <w:spacing w:after="0" w:line="21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Section 6.2 of the Credit Agreement is amended and restated in its entirety to read as follows:</w:t>
      </w:r>
    </w:p>
    <w:p>
      <w:pPr>
        <w:spacing w:after="0" w:line="243" w:lineRule="exact"/>
        <w:rPr>
          <w:sz w:val="20"/>
          <w:szCs w:val="20"/>
          <w:color w:val="auto"/>
        </w:rPr>
      </w:pPr>
    </w:p>
    <w:p>
      <w:pPr>
        <w:jc w:val="both"/>
        <w:ind w:left="880" w:right="860" w:firstLine="731"/>
        <w:spacing w:after="0" w:line="246" w:lineRule="auto"/>
        <w:rPr>
          <w:sz w:val="20"/>
          <w:szCs w:val="20"/>
          <w:color w:val="auto"/>
        </w:rPr>
      </w:pPr>
      <w:r>
        <w:rPr>
          <w:rFonts w:ascii="Arial" w:cs="Arial" w:eastAsia="Arial" w:hAnsi="Arial"/>
          <w:sz w:val="20"/>
          <w:szCs w:val="20"/>
          <w:color w:val="auto"/>
        </w:rPr>
        <w:t>“SECTION 6.2. CAPITAL EXPENDITURES. Make, and will not permit any of its Subsidiaries to make, capital expenditures in excess of (i) $10,000,000 in the aggregate (combined for Borrower and its Subsidiaries) during Fiscal Year 2021, and (ii) $15,000,000.00 in the aggregate (combined for Borrower and its Subsidiaries) during any Fiscal Year thereafter.”</w:t>
      </w:r>
    </w:p>
    <w:p>
      <w:pPr>
        <w:spacing w:after="0" w:line="21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1.6 Section 6.3 of the Credit Agreement is hereby amended by deleting the words “shall not exceed an aggregate amount equal to 15% of Consolidated Net Worth” at the end of Section 6.3 and by inserting in the place and stead thereof the words “shall not exceed an aggregate amount equal to 5% of Consolidated Net Worth.”</w:t>
      </w:r>
    </w:p>
    <w:p>
      <w:pPr>
        <w:spacing w:after="0" w:line="21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A new Section 6.10 is hereby added to the Credit Agreement, which shall read as follows:</w:t>
      </w:r>
    </w:p>
    <w:p>
      <w:pPr>
        <w:spacing w:after="0" w:line="243" w:lineRule="exact"/>
        <w:rPr>
          <w:sz w:val="20"/>
          <w:szCs w:val="20"/>
          <w:color w:val="auto"/>
        </w:rPr>
      </w:pPr>
    </w:p>
    <w:p>
      <w:pPr>
        <w:jc w:val="both"/>
        <w:ind w:left="880" w:right="860" w:firstLine="731"/>
        <w:spacing w:after="0" w:line="241" w:lineRule="auto"/>
        <w:rPr>
          <w:sz w:val="20"/>
          <w:szCs w:val="20"/>
          <w:color w:val="auto"/>
        </w:rPr>
      </w:pPr>
      <w:r>
        <w:rPr>
          <w:rFonts w:ascii="Arial" w:cs="Arial" w:eastAsia="Arial" w:hAnsi="Arial"/>
          <w:sz w:val="20"/>
          <w:szCs w:val="20"/>
          <w:color w:val="auto"/>
        </w:rPr>
        <w:t>“SECTION 6.10. RESTRICTED PAYMENTS. During the Modification Period, declare or pay any dividend or distribution either in cash, stock or any other property on Borrower's stock now or hereafter outstanding, nor redeem, retire, repurchase or otherwise acquire any shares of any class of Borrower's stock now or hereafter outstanding; provided however, that Borrower may (i) declare and pay dividends or make distributions solely in shares of its Capital Stock (or options, warrants or other rights to acquire its Capital Stock) and (ii) declare and pay cash dividends or make distributions to its shareholders and may redeem, retire, repurchase or otherwise acquire any shares of any class of Borrower's stock, so long as the aggregate amount paid does not exceed $10,000,000.00 during the Modification Period. Borrower shall provide to Bank, upon request, any documentation required by Bank to substantiate the appropriateness of amounts paid or to be paid. For avoidance of doubt, upon the expiration of the Modification Period, the provisions of this Section 6.10 shall automatically terminate and be of no further force or effect.”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58" w:name="page159"/>
    <w:bookmarkEnd w:id="158"/>
    <w:p>
      <w:pPr>
        <w:ind w:right="20" w:firstLine="872"/>
        <w:spacing w:after="0" w:line="260" w:lineRule="auto"/>
        <w:tabs>
          <w:tab w:leader="none" w:pos="166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The effectiveness of this Amendment is subject to the fulfillment to Bank’s satisfaction of the following conditions:</w:t>
      </w:r>
    </w:p>
    <w:p>
      <w:pPr>
        <w:spacing w:after="0" w:line="204" w:lineRule="exact"/>
        <w:rPr>
          <w:sz w:val="20"/>
          <w:szCs w:val="20"/>
          <w:color w:val="auto"/>
        </w:rPr>
      </w:pPr>
    </w:p>
    <w:p>
      <w:pPr>
        <w:ind w:left="1700" w:right="20" w:hanging="842"/>
        <w:spacing w:after="0" w:line="260" w:lineRule="auto"/>
        <w:tabs>
          <w:tab w:leader="none" w:pos="170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Documentation</w:t>
      </w:r>
      <w:r>
        <w:rPr>
          <w:rFonts w:ascii="Arial" w:cs="Arial" w:eastAsia="Arial" w:hAnsi="Arial"/>
          <w:sz w:val="20"/>
          <w:szCs w:val="20"/>
          <w:color w:val="auto"/>
        </w:rPr>
        <w:t>. Bank shall have received, in form and substance satisfactory to Bank, each of the following, duly executed:</w:t>
      </w:r>
    </w:p>
    <w:p>
      <w:pPr>
        <w:spacing w:after="0" w:line="203" w:lineRule="exact"/>
        <w:rPr>
          <w:rFonts w:ascii="Arial" w:cs="Arial" w:eastAsia="Arial" w:hAnsi="Arial"/>
          <w:sz w:val="20"/>
          <w:szCs w:val="20"/>
          <w:color w:val="auto"/>
        </w:rPr>
      </w:pPr>
    </w:p>
    <w:p>
      <w:pPr>
        <w:ind w:left="2580" w:hanging="858"/>
        <w:spacing w:after="0"/>
        <w:tabs>
          <w:tab w:leader="none" w:pos="258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This Amendment; and</w:t>
      </w:r>
    </w:p>
    <w:p>
      <w:pPr>
        <w:spacing w:after="0" w:line="15" w:lineRule="exact"/>
        <w:rPr>
          <w:rFonts w:ascii="Arial" w:cs="Arial" w:eastAsia="Arial" w:hAnsi="Arial"/>
          <w:sz w:val="20"/>
          <w:szCs w:val="20"/>
          <w:color w:val="auto"/>
        </w:rPr>
      </w:pPr>
    </w:p>
    <w:p>
      <w:pPr>
        <w:ind w:left="2580" w:hanging="858"/>
        <w:spacing w:after="0"/>
        <w:tabs>
          <w:tab w:leader="none" w:pos="258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Such other documentation as Bank may reasonably require in connection with this Amendment.</w:t>
      </w:r>
    </w:p>
    <w:p>
      <w:pPr>
        <w:spacing w:after="0" w:line="226" w:lineRule="exact"/>
        <w:rPr>
          <w:rFonts w:ascii="Arial" w:cs="Arial" w:eastAsia="Arial" w:hAnsi="Arial"/>
          <w:sz w:val="20"/>
          <w:szCs w:val="20"/>
          <w:color w:val="auto"/>
        </w:rPr>
      </w:pPr>
    </w:p>
    <w:p>
      <w:pPr>
        <w:jc w:val="both"/>
        <w:ind w:left="1700" w:hanging="842"/>
        <w:spacing w:after="0" w:line="250" w:lineRule="auto"/>
        <w:tabs>
          <w:tab w:leader="none" w:pos="170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Financial Condition</w:t>
      </w:r>
      <w:r>
        <w:rPr>
          <w:rFonts w:ascii="Arial" w:cs="Arial" w:eastAsia="Arial" w:hAnsi="Arial"/>
          <w:sz w:val="20"/>
          <w:szCs w:val="20"/>
          <w:color w:val="auto"/>
        </w:rPr>
        <w:t>. There shall have been no material adverse change, as determined by Bank, in the financial condition or business of Borrower, nor any material decline, as determined by Bank, in the market value of any substantial or material portion of the assets of Borrower.</w:t>
      </w:r>
    </w:p>
    <w:p>
      <w:pPr>
        <w:spacing w:after="0" w:line="212" w:lineRule="exact"/>
        <w:rPr>
          <w:rFonts w:ascii="Arial" w:cs="Arial" w:eastAsia="Arial" w:hAnsi="Arial"/>
          <w:sz w:val="20"/>
          <w:szCs w:val="20"/>
          <w:color w:val="auto"/>
        </w:rPr>
      </w:pPr>
    </w:p>
    <w:p>
      <w:pPr>
        <w:jc w:val="both"/>
        <w:ind w:left="1700" w:hanging="842"/>
        <w:spacing w:after="0" w:line="291" w:lineRule="auto"/>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In consideration of the changes set forth herein and as a condition to the effectiveness hereof, immediately upon signing this Amendment Borrower shall pay to Bank a non-refundable fee of $15,000.00. Borrower hereby authorizes Bank to debit Borrower’s account number xxxxxxxxx4183 with Bank for the payment of such fee.</w:t>
      </w:r>
    </w:p>
    <w:p>
      <w:pPr>
        <w:spacing w:after="0" w:line="178" w:lineRule="exact"/>
        <w:rPr>
          <w:rFonts w:ascii="Arial" w:cs="Arial" w:eastAsia="Arial" w:hAnsi="Arial"/>
          <w:sz w:val="18"/>
          <w:szCs w:val="18"/>
          <w:color w:val="auto"/>
        </w:rPr>
      </w:pPr>
    </w:p>
    <w:p>
      <w:pPr>
        <w:jc w:val="both"/>
        <w:ind w:firstLine="872"/>
        <w:spacing w:after="0" w:line="269" w:lineRule="auto"/>
        <w:tabs>
          <w:tab w:leader="none" w:pos="1660"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No Further Amendment</w:t>
      </w:r>
      <w:r>
        <w:rPr>
          <w:rFonts w:ascii="Arial" w:cs="Arial" w:eastAsia="Arial" w:hAnsi="Arial"/>
          <w:sz w:val="19"/>
          <w:szCs w:val="19"/>
          <w:color w:val="auto"/>
        </w:rPr>
        <w:t>. Except as specifically provided herein, all terms and conditions of the Credit Agreement remain in full force and effect, without waiver or modification. All terms defined in the Credit Agreement shall have the same meaning when used in this Amendment. This Amendment and the Credit Agreement shall be read together, as one document.</w:t>
      </w:r>
    </w:p>
    <w:p>
      <w:pPr>
        <w:spacing w:after="0" w:line="196" w:lineRule="exact"/>
        <w:rPr>
          <w:rFonts w:ascii="Arial" w:cs="Arial" w:eastAsia="Arial" w:hAnsi="Arial"/>
          <w:sz w:val="19"/>
          <w:szCs w:val="19"/>
          <w:color w:val="auto"/>
        </w:rPr>
      </w:pPr>
    </w:p>
    <w:p>
      <w:pPr>
        <w:jc w:val="both"/>
        <w:ind w:firstLine="872"/>
        <w:spacing w:after="0" w:line="274" w:lineRule="auto"/>
        <w:tabs>
          <w:tab w:leader="none" w:pos="166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hereby remakes all representations and warranties contained in the Credit Agreement and reaffirms all covenants set forth therein. Borrower further certifies that as of the date of this Amendment there exists no Event of Default as defined in the Credit Agreement, nor any condition, act or event which with the giving of notice or the passage of time or both would constitute any such Event of Default. Borrower acknowledges and confirms that Bank has existing, valid first priority security interests and liens in the collateral securing the Line of Credit and that such security interests and liens shall secure Borrower’s obligations under the Credit Agreement as amended by this Amendment including, without limitation, all obligations under the Line of Credit Note and all future modifications of the Credit Agreement, the Line of Credit Note and the other Loan Documents.</w:t>
      </w:r>
    </w:p>
    <w:p>
      <w:pPr>
        <w:spacing w:after="0" w:line="195" w:lineRule="exact"/>
        <w:rPr>
          <w:rFonts w:ascii="Arial" w:cs="Arial" w:eastAsia="Arial" w:hAnsi="Arial"/>
          <w:sz w:val="18"/>
          <w:szCs w:val="18"/>
          <w:color w:val="auto"/>
        </w:rPr>
      </w:pPr>
    </w:p>
    <w:p>
      <w:pPr>
        <w:ind w:right="20" w:firstLine="872"/>
        <w:spacing w:after="0" w:line="260" w:lineRule="auto"/>
        <w:tabs>
          <w:tab w:leader="none" w:pos="1660"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Borrower agrees to pay all costs and expenses of the Bank in connection with the preparation, execution and delivery of this Amendment, including without limitation the fees and expenses of the Bank’s legal counsel.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9" w:name="page160"/>
    <w:bookmarkEnd w:id="159"/>
    <w:p>
      <w:pPr>
        <w:ind w:left="-20" w:firstLine="872"/>
        <w:spacing w:after="0" w:line="287" w:lineRule="auto"/>
        <w:tabs>
          <w:tab w:leader="none" w:pos="164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when executed and delivered shall be deemed to be an original, and all of which when taken together shall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9" w:right="339" w:bottom="1440" w:gutter="0" w:footer="0" w:header="0"/>
        </w:sectPr>
      </w:pPr>
    </w:p>
    <w:bookmarkStart w:id="160" w:name="page161"/>
    <w:bookmarkEnd w:id="160"/>
    <w:p>
      <w:pPr>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with the intention that it constitute an instrument under seal, as of the day and year first written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960" w:type="dxa"/>
            <w:vAlign w:val="bottom"/>
            <w:gridSpan w:val="2"/>
          </w:tcPr>
          <w:p>
            <w:pPr>
              <w:ind w:left="2700"/>
              <w:spacing w:after="0"/>
              <w:rPr>
                <w:sz w:val="20"/>
                <w:szCs w:val="20"/>
                <w:color w:val="auto"/>
              </w:rPr>
            </w:pPr>
            <w:r>
              <w:rPr>
                <w:rFonts w:ascii="Arial" w:cs="Arial" w:eastAsia="Arial" w:hAnsi="Arial"/>
                <w:sz w:val="20"/>
                <w:szCs w:val="20"/>
                <w:color w:val="auto"/>
              </w:rPr>
              <w:t>WELLS FARGO BANK,</w:t>
            </w:r>
          </w:p>
        </w:tc>
      </w:tr>
      <w:tr>
        <w:trPr>
          <w:trHeight w:val="250"/>
        </w:trPr>
        <w:tc>
          <w:tcPr>
            <w:tcW w:w="4280" w:type="dxa"/>
            <w:vAlign w:val="bottom"/>
            <w:gridSpan w:val="3"/>
          </w:tcPr>
          <w:p>
            <w:pPr>
              <w:spacing w:after="0"/>
              <w:rPr>
                <w:sz w:val="20"/>
                <w:szCs w:val="20"/>
                <w:color w:val="auto"/>
              </w:rPr>
            </w:pPr>
            <w:r>
              <w:rPr>
                <w:rFonts w:ascii="Arial" w:cs="Arial" w:eastAsia="Arial" w:hAnsi="Arial"/>
                <w:sz w:val="20"/>
                <w:szCs w:val="20"/>
                <w:color w:val="auto"/>
              </w:rPr>
              <w:t>CULP, INC.</w:t>
            </w:r>
          </w:p>
        </w:tc>
        <w:tc>
          <w:tcPr>
            <w:tcW w:w="6960" w:type="dxa"/>
            <w:vAlign w:val="bottom"/>
            <w:gridSpan w:val="2"/>
          </w:tcPr>
          <w:p>
            <w:pPr>
              <w:ind w:left="2780"/>
              <w:spacing w:after="0"/>
              <w:rPr>
                <w:sz w:val="20"/>
                <w:szCs w:val="20"/>
                <w:color w:val="auto"/>
              </w:rPr>
            </w:pPr>
            <w:r>
              <w:rPr>
                <w:rFonts w:ascii="Arial" w:cs="Arial" w:eastAsia="Arial" w:hAnsi="Arial"/>
                <w:sz w:val="20"/>
                <w:szCs w:val="20"/>
                <w:color w:val="auto"/>
              </w:rPr>
              <w:t>NATIONAL ASSOCIATION</w:t>
            </w:r>
          </w:p>
        </w:tc>
      </w:tr>
      <w:tr>
        <w:trPr>
          <w:trHeight w:val="441"/>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3560" w:type="dxa"/>
            <w:vAlign w:val="bottom"/>
            <w:gridSpan w:val="2"/>
          </w:tcPr>
          <w:p>
            <w:pPr>
              <w:ind w:left="200"/>
              <w:spacing w:after="0"/>
              <w:rPr>
                <w:sz w:val="20"/>
                <w:szCs w:val="20"/>
                <w:color w:val="auto"/>
              </w:rPr>
            </w:pPr>
            <w:r>
              <w:rPr>
                <w:rFonts w:ascii="Arial" w:cs="Arial" w:eastAsia="Arial" w:hAnsi="Arial"/>
                <w:sz w:val="20"/>
                <w:szCs w:val="20"/>
                <w:color w:val="auto"/>
              </w:rPr>
              <w:t>/s/ Kenneth R. Bowling</w:t>
            </w:r>
          </w:p>
        </w:tc>
        <w:tc>
          <w:tcPr>
            <w:tcW w:w="3600" w:type="dxa"/>
            <w:vAlign w:val="bottom"/>
          </w:tcPr>
          <w:p>
            <w:pPr>
              <w:ind w:left="2700"/>
              <w:spacing w:after="0"/>
              <w:rPr>
                <w:sz w:val="20"/>
                <w:szCs w:val="20"/>
                <w:color w:val="auto"/>
              </w:rPr>
            </w:pPr>
            <w:r>
              <w:rPr>
                <w:rFonts w:ascii="Arial" w:cs="Arial" w:eastAsia="Arial" w:hAnsi="Arial"/>
                <w:sz w:val="20"/>
                <w:szCs w:val="20"/>
                <w:color w:val="auto"/>
              </w:rPr>
              <w:t>By:</w:t>
            </w:r>
          </w:p>
        </w:tc>
        <w:tc>
          <w:tcPr>
            <w:tcW w:w="3360" w:type="dxa"/>
            <w:vAlign w:val="bottom"/>
          </w:tcPr>
          <w:p>
            <w:pPr>
              <w:spacing w:after="0"/>
              <w:rPr>
                <w:sz w:val="20"/>
                <w:szCs w:val="20"/>
                <w:color w:val="auto"/>
              </w:rPr>
            </w:pPr>
            <w:r>
              <w:rPr>
                <w:rFonts w:ascii="Arial" w:cs="Arial" w:eastAsia="Arial" w:hAnsi="Arial"/>
                <w:sz w:val="20"/>
                <w:szCs w:val="20"/>
                <w:color w:val="auto"/>
              </w:rPr>
              <w:t>/s/ Tim Sechrest</w:t>
            </w:r>
          </w:p>
        </w:tc>
      </w:tr>
      <w:tr>
        <w:trPr>
          <w:trHeight w:val="223"/>
        </w:trPr>
        <w:tc>
          <w:tcPr>
            <w:tcW w:w="72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20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Kenneth R. Bowling</w:t>
            </w:r>
          </w:p>
        </w:tc>
        <w:tc>
          <w:tcPr>
            <w:tcW w:w="3600" w:type="dxa"/>
            <w:vAlign w:val="bottom"/>
          </w:tcPr>
          <w:p>
            <w:pPr>
              <w:ind w:left="2700"/>
              <w:spacing w:after="0" w:line="223" w:lineRule="exact"/>
              <w:rPr>
                <w:sz w:val="20"/>
                <w:szCs w:val="20"/>
                <w:color w:val="auto"/>
              </w:rPr>
            </w:pPr>
            <w:r>
              <w:rPr>
                <w:rFonts w:ascii="Arial" w:cs="Arial" w:eastAsia="Arial" w:hAnsi="Arial"/>
                <w:sz w:val="20"/>
                <w:szCs w:val="20"/>
                <w:color w:val="auto"/>
              </w:rPr>
              <w:t>Name:</w:t>
            </w:r>
          </w:p>
        </w:tc>
        <w:tc>
          <w:tcPr>
            <w:tcW w:w="33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Tin Sechrest</w:t>
            </w:r>
          </w:p>
        </w:tc>
      </w:tr>
      <w:tr>
        <w:trPr>
          <w:trHeight w:val="223"/>
        </w:trPr>
        <w:tc>
          <w:tcPr>
            <w:tcW w:w="72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200" w:type="dxa"/>
            <w:vAlign w:val="bottom"/>
          </w:tcPr>
          <w:p>
            <w:pPr>
              <w:spacing w:after="0"/>
              <w:rPr>
                <w:sz w:val="19"/>
                <w:szCs w:val="19"/>
                <w:color w:val="auto"/>
              </w:rPr>
            </w:pPr>
          </w:p>
        </w:tc>
        <w:tc>
          <w:tcPr>
            <w:tcW w:w="33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Exec VP, CFP</w:t>
            </w:r>
          </w:p>
        </w:tc>
        <w:tc>
          <w:tcPr>
            <w:tcW w:w="3600" w:type="dxa"/>
            <w:vAlign w:val="bottom"/>
          </w:tcPr>
          <w:p>
            <w:pPr>
              <w:ind w:left="2700"/>
              <w:spacing w:after="0" w:line="223" w:lineRule="exact"/>
              <w:rPr>
                <w:sz w:val="20"/>
                <w:szCs w:val="20"/>
                <w:color w:val="auto"/>
              </w:rPr>
            </w:pPr>
            <w:r>
              <w:rPr>
                <w:rFonts w:ascii="Arial" w:cs="Arial" w:eastAsia="Arial" w:hAnsi="Arial"/>
                <w:sz w:val="20"/>
                <w:szCs w:val="20"/>
                <w:color w:val="auto"/>
              </w:rPr>
              <w:t>Title:</w:t>
            </w:r>
          </w:p>
        </w:tc>
        <w:tc>
          <w:tcPr>
            <w:tcW w:w="33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Sr. VP</w:t>
            </w:r>
          </w:p>
        </w:tc>
      </w:tr>
      <w:tr>
        <w:trPr>
          <w:trHeight w:val="659"/>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0" w:type="dxa"/>
            <w:vAlign w:val="bottom"/>
          </w:tcPr>
          <w:p>
            <w:pPr>
              <w:ind w:left="1220"/>
              <w:spacing w:after="0"/>
              <w:rPr>
                <w:sz w:val="20"/>
                <w:szCs w:val="20"/>
                <w:color w:val="auto"/>
              </w:rPr>
            </w:pPr>
            <w:r>
              <w:rPr>
                <w:rFonts w:ascii="Arial" w:cs="Arial" w:eastAsia="Arial" w:hAnsi="Arial"/>
                <w:sz w:val="20"/>
                <w:szCs w:val="20"/>
                <w:color w:val="auto"/>
              </w:rPr>
              <w:t>-6-</w:t>
            </w:r>
          </w:p>
        </w:tc>
        <w:tc>
          <w:tcPr>
            <w:tcW w:w="3360" w:type="dxa"/>
            <w:vAlign w:val="bottom"/>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21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LIST OF SUBSIDIARIES OF CULP, INC.</w:t>
      </w:r>
    </w:p>
    <w:p>
      <w:pPr>
        <w:sectPr>
          <w:pgSz w:w="11900" w:h="16838" w:orient="portrait"/>
          <w:cols w:equalWidth="0" w:num="1">
            <w:col w:w="11240"/>
          </w:cols>
          <w:pgMar w:left="320" w:top="118" w:right="339" w:bottom="1440" w:gutter="0" w:footer="0" w:header="0"/>
        </w:sectPr>
      </w:pPr>
    </w:p>
    <w:p>
      <w:pPr>
        <w:spacing w:after="0" w:line="23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Name of Subsidiary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Jurisdiction of Incorporation</w:t>
      </w:r>
    </w:p>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Culp Fabrics (Shanghai) Co., Ltd.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222" w:lineRule="exact"/>
        <w:rPr>
          <w:sz w:val="20"/>
          <w:szCs w:val="20"/>
          <w:color w:val="auto"/>
        </w:rPr>
      </w:pPr>
    </w:p>
    <w:p>
      <w:pPr>
        <w:sectPr>
          <w:pgSz w:w="11900" w:h="16838" w:orient="portrait"/>
          <w:cols w:equalWidth="0" w:num="2">
            <w:col w:w="6040" w:space="720"/>
            <w:col w:w="448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Culp International Holdings Ltd.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22" w:lineRule="exact"/>
        <w:rPr>
          <w:sz w:val="20"/>
          <w:szCs w:val="20"/>
          <w:color w:val="auto"/>
        </w:rPr>
      </w:pPr>
    </w:p>
    <w:p>
      <w:pPr>
        <w:sectPr>
          <w:pgSz w:w="11900" w:h="16838" w:orient="portrait"/>
          <w:cols w:equalWidth="0" w:num="2">
            <w:col w:w="6040" w:space="720"/>
            <w:col w:w="448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Rayonese Textile Inc.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200" w:lineRule="exact"/>
        <w:rPr>
          <w:sz w:val="20"/>
          <w:szCs w:val="20"/>
          <w:color w:val="auto"/>
        </w:rPr>
      </w:pPr>
    </w:p>
    <w:p>
      <w:pPr>
        <w:sectPr>
          <w:pgSz w:w="11900" w:h="16838" w:orient="portrait"/>
          <w:cols w:equalWidth="0" w:num="2">
            <w:col w:w="6040" w:space="720"/>
            <w:col w:w="4480"/>
          </w:cols>
          <w:pgMar w:left="320" w:top="118"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Read Window Products, LLC</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(North Carolina)</w:t>
      </w:r>
    </w:p>
    <w:p>
      <w:pPr>
        <w:spacing w:after="0" w:line="200" w:lineRule="exact"/>
        <w:rPr>
          <w:sz w:val="20"/>
          <w:szCs w:val="20"/>
          <w:color w:val="auto"/>
        </w:rPr>
      </w:pPr>
    </w:p>
    <w:p>
      <w:pPr>
        <w:sectPr>
          <w:pgSz w:w="11900" w:h="16838" w:orient="portrait"/>
          <w:cols w:equalWidth="0" w:num="2">
            <w:col w:w="6040" w:space="720"/>
            <w:col w:w="448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Culp Europe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ectPr>
          <w:pgSz w:w="11900" w:h="16838" w:orient="portrait"/>
          <w:cols w:equalWidth="0" w:num="2">
            <w:col w:w="6040" w:space="720"/>
            <w:col w:w="4480"/>
          </w:cols>
          <w:pgMar w:left="320" w:top="118" w:right="3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issued our reports dated July 17, 2020, with respect to the consolidated financial statements and internal control over financial reporting included in the Annual Report of Culp, Inc. on Form 10-K for the fiscal year ended May 3, 2020. We hereby consent to the incorporation by reference of said reports in the Registration Statements of Culp, Inc. on Forms S-8 (File No. 333-207195, File No. 33-13310, File No. 33-37027, and File No. 33-80206).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3, 2020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Perry E. Davis</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-130175</wp:posOffset>
            </wp:positionV>
            <wp:extent cx="1482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17, 2020</w:t>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24(b)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3, 2020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14605</wp:posOffset>
            </wp:positionV>
            <wp:extent cx="15862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Sharon A. Decker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17, 2020</w:t>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24(c)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3, 2020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Kenneth R. Larson</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Kenneth R.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-130175</wp:posOffset>
            </wp:positionV>
            <wp:extent cx="1491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17, 2020</w:t>
      </w:r>
    </w:p>
    <w:p>
      <w:pPr>
        <w:sectPr>
          <w:pgSz w:w="11900" w:h="16838" w:orient="portrait"/>
          <w:cols w:equalWidth="0" w:num="1">
            <w:col w:w="11240"/>
          </w:cols>
          <w:pgMar w:left="320" w:top="1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24(d)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3, 2020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Fred A. Jackson</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-130175</wp:posOffset>
            </wp:positionV>
            <wp:extent cx="1491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17, 2020</w:t>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24(e)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3, 2020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Kenneth W. McAllister</w:t>
      </w:r>
    </w:p>
    <w:p>
      <w:pPr>
        <w:spacing w:after="0" w:line="3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Kenneth W.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-130175</wp:posOffset>
            </wp:positionV>
            <wp:extent cx="16884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17, 2020</w:t>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Franklin N. Saxon,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Franklin N. Saxon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2020</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Robert G. Culp, IV,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G. Culp, IV</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2020</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Kenneth R. Bowling,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Kenneth R. Bowling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2020</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32(a)</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3, 2020 as filed with the Securities and Exchange Commission on the date hereof (the “Report”), I, Franklin N. Saxon,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32(b)</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3, 2020 as filed with the Securities and Exchange Commission on the date hereof (the “Report”), I, Robert G. Culp, IV,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32(c)</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3, 2020 as filed with the Securities and Exchange Commission on the date hereof (the “Report”), I, Kenneth R. Bowling,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1)"/>
      <w:numFmt w:val="decimal"/>
      <w:start w:val="1"/>
    </w:lvl>
  </w:abstractNum>
  <w:abstractNum w:abstractNumId="2">
    <w:nsid w:val="1DBABF00"/>
    <w:multiLevelType w:val="hybridMultilevel"/>
    <w:lvl w:ilvl="0">
      <w:lvlJc w:val="left"/>
      <w:lvlText w:val="(%1)"/>
      <w:numFmt w:val="decimal"/>
      <w:start w:val="1"/>
    </w:lvl>
  </w:abstractNum>
  <w:abstractNum w:abstractNumId="3">
    <w:nsid w:val="4AD084E9"/>
    <w:multiLevelType w:val="hybridMultilevel"/>
    <w:lvl w:ilvl="0">
      <w:lvlJc w:val="left"/>
      <w:lvlText w:val="(%1)"/>
      <w:numFmt w:val="decimal"/>
      <w:start w:val="781"/>
    </w:lvl>
  </w:abstractNum>
  <w:abstractNum w:abstractNumId="4">
    <w:nsid w:val="1F48EAA1"/>
    <w:multiLevelType w:val="hybridMultilevel"/>
    <w:lvl w:ilvl="0">
      <w:lvlJc w:val="left"/>
      <w:lvlText w:val="(%1)"/>
      <w:numFmt w:val="decimal"/>
      <w:start w:val="1"/>
    </w:lvl>
  </w:abstractNum>
  <w:abstractNum w:abstractNumId="5">
    <w:nsid w:val="1381823A"/>
    <w:multiLevelType w:val="hybridMultilevel"/>
    <w:lvl w:ilvl="0">
      <w:lvlJc w:val="left"/>
      <w:lvlText w:val="(%1)"/>
      <w:numFmt w:val="decimal"/>
      <w:start w:val="2"/>
    </w:lvl>
  </w:abstractNum>
  <w:abstractNum w:abstractNumId="6">
    <w:nsid w:val="5DB70AE5"/>
    <w:multiLevelType w:val="hybridMultilevel"/>
    <w:lvl w:ilvl="0">
      <w:lvlJc w:val="left"/>
      <w:lvlText w:val="(%1)"/>
      <w:numFmt w:val="decimal"/>
      <w:start w:val="1"/>
    </w:lvl>
  </w:abstractNum>
  <w:abstractNum w:abstractNumId="7">
    <w:nsid w:val="100F8FCA"/>
    <w:multiLevelType w:val="hybridMultilevel"/>
    <w:lvl w:ilvl="0">
      <w:lvlJc w:val="left"/>
      <w:lvlText w:val="(%1)"/>
      <w:numFmt w:val="decimal"/>
      <w:start w:val="2"/>
    </w:lvl>
  </w:abstractNum>
  <w:abstractNum w:abstractNumId="8">
    <w:nsid w:val="6590700B"/>
    <w:multiLevelType w:val="hybridMultilevel"/>
    <w:lvl w:ilvl="0">
      <w:lvlJc w:val="left"/>
      <w:lvlText w:val="(%1)"/>
      <w:numFmt w:val="decimal"/>
      <w:start w:val="1"/>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1"/>
      <w:numFmt w:val="upperLetter"/>
      <w:start w:val="68"/>
    </w:lvl>
  </w:abstractNum>
  <w:abstractNum w:abstractNumId="11">
    <w:nsid w:val="98A3148"/>
    <w:multiLevelType w:val="hybridMultilevel"/>
    <w:lvl w:ilvl="0">
      <w:lvlJc w:val="left"/>
      <w:lvlText w:val="(%1)"/>
      <w:numFmt w:val="decimal"/>
      <w:start w:val="1"/>
    </w:lvl>
  </w:abstractNum>
  <w:abstractNum w:abstractNumId="12">
    <w:nsid w:val="799D0247"/>
    <w:multiLevelType w:val="hybridMultilevel"/>
    <w:lvl w:ilvl="0">
      <w:lvlJc w:val="left"/>
      <w:lvlText w:val="%1."/>
      <w:numFmt w:val="decimal"/>
      <w:start w:val="1"/>
    </w:lvl>
  </w:abstractNum>
  <w:abstractNum w:abstractNumId="13">
    <w:nsid w:val="6B94764"/>
    <w:multiLevelType w:val="hybridMultilevel"/>
    <w:lvl w:ilvl="0">
      <w:lvlJc w:val="left"/>
      <w:lvlText w:val="%1."/>
      <w:numFmt w:val="decimal"/>
      <w:start w:val="2"/>
    </w:lvl>
  </w:abstractNum>
  <w:abstractNum w:abstractNumId="14">
    <w:nsid w:val="42C296BD"/>
    <w:multiLevelType w:val="hybridMultilevel"/>
    <w:lvl w:ilvl="0">
      <w:lvlJc w:val="left"/>
      <w:lvlText w:val="%1."/>
      <w:numFmt w:val="decimal"/>
      <w:start w:val="3"/>
    </w:lvl>
  </w:abstractNum>
  <w:abstractNum w:abstractNumId="15">
    <w:nsid w:val="168E121F"/>
    <w:multiLevelType w:val="hybridMultilevel"/>
    <w:lvl w:ilvl="0">
      <w:lvlJc w:val="left"/>
      <w:lvlText w:val="(%1)"/>
      <w:numFmt w:val="decimal"/>
      <w:start w:val="1"/>
    </w:lvl>
  </w:abstractNum>
  <w:abstractNum w:abstractNumId="16">
    <w:nsid w:val="1EBA5D23"/>
    <w:multiLevelType w:val="hybridMultilevel"/>
    <w:lvl w:ilvl="0">
      <w:lvlJc w:val="left"/>
      <w:lvlText w:val="%1."/>
      <w:numFmt w:val="decimal"/>
      <w:start w:val="4"/>
    </w:lvl>
  </w:abstractNum>
  <w:abstractNum w:abstractNumId="17">
    <w:nsid w:val="661E3F1E"/>
    <w:multiLevelType w:val="hybridMultilevel"/>
    <w:lvl w:ilvl="0">
      <w:lvlJc w:val="left"/>
      <w:lvlText w:val="(%1)"/>
      <w:numFmt w:val="decimal"/>
      <w:start w:val="1"/>
    </w:lvl>
  </w:abstractNum>
  <w:abstractNum w:abstractNumId="18">
    <w:nsid w:val="5DC79EA8"/>
    <w:multiLevelType w:val="hybridMultilevel"/>
    <w:lvl w:ilvl="0">
      <w:lvlJc w:val="left"/>
      <w:lvlText w:val="%1."/>
      <w:numFmt w:val="decimal"/>
      <w:start w:val="5"/>
    </w:lvl>
  </w:abstractNum>
  <w:abstractNum w:abstractNumId="19">
    <w:nsid w:val="540A471C"/>
    <w:multiLevelType w:val="hybridMultilevel"/>
    <w:lvl w:ilvl="0">
      <w:lvlJc w:val="left"/>
      <w:lvlText w:val="(%1)"/>
      <w:numFmt w:val="decimal"/>
      <w:start w:val="1"/>
    </w:lvl>
  </w:abstractNum>
  <w:abstractNum w:abstractNumId="20">
    <w:nsid w:val="7BD3EE7B"/>
    <w:multiLevelType w:val="hybridMultilevel"/>
    <w:lvl w:ilvl="0">
      <w:lvlJc w:val="left"/>
      <w:lvlText w:val="%1."/>
      <w:numFmt w:val="decimal"/>
      <w:start w:val="7"/>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1)"/>
      <w:numFmt w:val="decimal"/>
      <w:start w:val="1"/>
    </w:lvl>
  </w:abstractNum>
  <w:abstractNum w:abstractNumId="23">
    <w:nsid w:val="BF72B14"/>
    <w:multiLevelType w:val="hybridMultilevel"/>
    <w:lvl w:ilvl="0">
      <w:lvlJc w:val="left"/>
      <w:lvlText w:val="(%1)"/>
      <w:numFmt w:val="decimal"/>
      <w:start w:val="1"/>
    </w:lvl>
  </w:abstractNum>
  <w:abstractNum w:abstractNumId="24">
    <w:nsid w:val="11447B73"/>
    <w:multiLevelType w:val="hybridMultilevel"/>
    <w:lvl w:ilvl="0">
      <w:lvlJc w:val="left"/>
      <w:lvlText w:val="%1."/>
      <w:numFmt w:val="decimal"/>
      <w:start w:val="9"/>
    </w:lvl>
  </w:abstractNum>
  <w:abstractNum w:abstractNumId="25">
    <w:nsid w:val="42963E5A"/>
    <w:multiLevelType w:val="hybridMultilevel"/>
    <w:lvl w:ilvl="0">
      <w:lvlJc w:val="left"/>
      <w:lvlText w:val="(%1)"/>
      <w:numFmt w:val="decimal"/>
      <w:start w:val="1"/>
    </w:lvl>
  </w:abstractNum>
  <w:abstractNum w:abstractNumId="26">
    <w:nsid w:val="A0382C5"/>
    <w:multiLevelType w:val="hybridMultilevel"/>
    <w:lvl w:ilvl="0">
      <w:lvlJc w:val="left"/>
      <w:lvlText w:val="%1."/>
      <w:numFmt w:val="decimal"/>
      <w:start w:val="10"/>
    </w:lvl>
  </w:abstractNum>
  <w:abstractNum w:abstractNumId="27">
    <w:nsid w:val="8F2B15E"/>
    <w:multiLevelType w:val="hybridMultilevel"/>
    <w:lvl w:ilvl="0">
      <w:lvlJc w:val="left"/>
      <w:lvlText w:val="%1."/>
      <w:numFmt w:val="decimal"/>
      <w:start w:val="12"/>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1."/>
      <w:numFmt w:val="decimal"/>
      <w:start w:val="13"/>
    </w:lvl>
  </w:abstractNum>
  <w:abstractNum w:abstractNumId="30">
    <w:nsid w:val="68EB2F63"/>
    <w:multiLevelType w:val="hybridMultilevel"/>
    <w:lvl w:ilvl="0">
      <w:lvlJc w:val="left"/>
      <w:lvlText w:val="(%1)"/>
      <w:numFmt w:val="decimal"/>
      <w:start w:val="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1)"/>
      <w:numFmt w:val="decimal"/>
      <w:start w:val="1"/>
    </w:lvl>
  </w:abstractNum>
  <w:abstractNum w:abstractNumId="33">
    <w:nsid w:val="6A5EE64"/>
    <w:multiLevelType w:val="hybridMultilevel"/>
    <w:lvl w:ilvl="0">
      <w:lvlJc w:val="left"/>
      <w:lvlText w:val="(%1)"/>
      <w:numFmt w:val="decimal"/>
      <w:start w:val="1"/>
    </w:lvl>
  </w:abstractNum>
  <w:abstractNum w:abstractNumId="34">
    <w:nsid w:val="14330624"/>
    <w:multiLevelType w:val="hybridMultilevel"/>
    <w:lvl w:ilvl="0">
      <w:lvlJc w:val="left"/>
      <w:lvlText w:val="%1."/>
      <w:numFmt w:val="decimal"/>
      <w:start w:val="15"/>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16"/>
    </w:lvl>
  </w:abstractNum>
  <w:abstractNum w:abstractNumId="37">
    <w:nsid w:val="71EA1109"/>
    <w:multiLevelType w:val="hybridMultilevel"/>
    <w:lvl w:ilvl="0">
      <w:lvlJc w:val="left"/>
      <w:lvlText w:val="(%1)"/>
      <w:numFmt w:val="decimal"/>
      <w:start w:val="1"/>
    </w:lvl>
  </w:abstractNum>
  <w:abstractNum w:abstractNumId="38">
    <w:nsid w:val="100F59DC"/>
    <w:multiLevelType w:val="hybridMultilevel"/>
    <w:lvl w:ilvl="0">
      <w:lvlJc w:val="left"/>
      <w:lvlText w:val="(%1)"/>
      <w:numFmt w:val="decimal"/>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decimal"/>
      <w:start w:val="4"/>
    </w:lvl>
  </w:abstractNum>
  <w:abstractNum w:abstractNumId="42">
    <w:nsid w:val="94211F2"/>
    <w:multiLevelType w:val="hybridMultilevel"/>
    <w:lvl w:ilvl="0">
      <w:lvlJc w:val="left"/>
      <w:lvlText w:val="(%1)"/>
      <w:numFmt w:val="decimal"/>
      <w:start w:val="1"/>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1."/>
      <w:numFmt w:val="decimal"/>
      <w:start w:val="17"/>
    </w:lvl>
  </w:abstractNum>
  <w:abstractNum w:abstractNumId="45">
    <w:nsid w:val="4C04A8AF"/>
    <w:multiLevelType w:val="hybridMultilevel"/>
    <w:lvl w:ilvl="0">
      <w:lvlJc w:val="left"/>
      <w:lvlText w:val="%1."/>
      <w:numFmt w:val="decimal"/>
      <w:start w:val="3"/>
    </w:lvl>
  </w:abstractNum>
  <w:abstractNum w:abstractNumId="46">
    <w:nsid w:val="1716703B"/>
    <w:multiLevelType w:val="hybridMultilevel"/>
    <w:lvl w:ilvl="0">
      <w:lvlJc w:val="left"/>
      <w:lvlText w:val="%1."/>
      <w:numFmt w:val="decimal"/>
      <w:start w:val="18"/>
    </w:lvl>
  </w:abstractNum>
  <w:abstractNum w:abstractNumId="47">
    <w:nsid w:val="14E17E33"/>
    <w:multiLevelType w:val="hybridMultilevel"/>
    <w:lvl w:ilvl="0">
      <w:lvlJc w:val="left"/>
      <w:lvlText w:val="%1."/>
      <w:numFmt w:val="decimal"/>
      <w:start w:val="19"/>
    </w:lvl>
  </w:abstractNum>
  <w:abstractNum w:abstractNumId="48">
    <w:nsid w:val="3222E7CD"/>
    <w:multiLevelType w:val="hybridMultilevel"/>
    <w:lvl w:ilvl="0">
      <w:lvlJc w:val="left"/>
      <w:lvlText w:val="%1."/>
      <w:numFmt w:val="decimal"/>
      <w:start w:val="20"/>
    </w:lvl>
  </w:abstractNum>
  <w:abstractNum w:abstractNumId="49">
    <w:nsid w:val="74DE0EE3"/>
    <w:multiLevelType w:val="hybridMultilevel"/>
    <w:lvl w:ilvl="0">
      <w:lvlJc w:val="left"/>
      <w:lvlText w:val="%1."/>
      <w:numFmt w:val="decimal"/>
      <w:start w:val="2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1)"/>
      <w:numFmt w:val="decimal"/>
      <w:start w:val="1"/>
    </w:lvl>
  </w:abstractNum>
  <w:abstractNum w:abstractNumId="52">
    <w:nsid w:val="46B7D447"/>
    <w:multiLevelType w:val="hybridMultilevel"/>
    <w:lvl w:ilvl="0">
      <w:lvlJc w:val="left"/>
      <w:lvlText w:val="(%1)"/>
      <w:numFmt w:val="decimal"/>
      <w:start w:val="6"/>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22"/>
    </w:lvl>
  </w:abstractNum>
  <w:abstractNum w:abstractNumId="55">
    <w:nsid w:val="57FC4FBB"/>
    <w:multiLevelType w:val="hybridMultilevel"/>
    <w:lvl w:ilvl="0">
      <w:lvlJc w:val="left"/>
      <w:lvlText w:val="%1."/>
      <w:numFmt w:val="decimal"/>
      <w:start w:val="23"/>
    </w:lvl>
  </w:abstractNum>
  <w:abstractNum w:abstractNumId="56">
    <w:nsid w:val="CC1016F"/>
    <w:multiLevelType w:val="hybridMultilevel"/>
    <w:lvl w:ilvl="0">
      <w:lvlJc w:val="left"/>
      <w:lvlText w:val="%1."/>
      <w:numFmt w:val="decimal"/>
      <w:start w:val="24"/>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2"/>
    </w:lvl>
  </w:abstractNum>
  <w:abstractNum w:abstractNumId="59">
    <w:nsid w:val="26F324BA"/>
    <w:multiLevelType w:val="hybridMultilevel"/>
    <w:lvl w:ilvl="0">
      <w:lvlJc w:val="left"/>
      <w:lvlText w:val="%1."/>
      <w:numFmt w:val="decimal"/>
      <w:start w:val="3"/>
    </w:lvl>
  </w:abstractNum>
  <w:abstractNum w:abstractNumId="60">
    <w:nsid w:val="7F01579B"/>
    <w:multiLevelType w:val="hybridMultilevel"/>
    <w:lvl w:ilvl="0">
      <w:lvlJc w:val="left"/>
      <w:lvlText w:val="%1"/>
      <w:numFmt w:val="decimal"/>
      <w:start w:val="23"/>
    </w:lvl>
  </w:abstractNum>
  <w:abstractNum w:abstractNumId="61">
    <w:nsid w:val="49DA307D"/>
    <w:multiLevelType w:val="hybridMultilevel"/>
    <w:lvl w:ilvl="0">
      <w:lvlJc w:val="left"/>
      <w:lvlText w:val="%1)"/>
      <w:numFmt w:val="lowerLetter"/>
      <w:start w:val="2"/>
    </w:lvl>
  </w:abstractNum>
  <w:abstractNum w:abstractNumId="62">
    <w:nsid w:val="7055A5F5"/>
    <w:multiLevelType w:val="hybridMultilevel"/>
    <w:lvl w:ilvl="0">
      <w:lvlJc w:val="left"/>
      <w:lvlText w:val="%1)"/>
      <w:numFmt w:val="lowerLetter"/>
      <w:start w:val="3"/>
    </w:lvl>
  </w:abstractNum>
  <w:abstractNum w:abstractNumId="63">
    <w:nsid w:val="5FB8370B"/>
    <w:multiLevelType w:val="hybridMultilevel"/>
    <w:lvl w:ilvl="0">
      <w:lvlJc w:val="left"/>
      <w:lvlText w:val="(%1)"/>
      <w:numFmt w:val="lowerRoman"/>
      <w:start w:val="4"/>
    </w:lvl>
  </w:abstractNum>
  <w:abstractNum w:abstractNumId="64">
    <w:nsid w:val="50801EE1"/>
    <w:multiLevelType w:val="hybridMultilevel"/>
    <w:lvl w:ilvl="0">
      <w:lvlJc w:val="left"/>
      <w:lvlText w:val="%1"/>
      <w:numFmt w:val="decimal"/>
      <w:start w:val="23"/>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Letter"/>
      <w:start w:val="2"/>
    </w:lvl>
  </w:abstractNum>
  <w:abstractNum w:abstractNumId="71">
    <w:nsid w:val="7D5E18F8"/>
    <w:multiLevelType w:val="hybridMultilevel"/>
    <w:lvl w:ilvl="0">
      <w:lvlJc w:val="left"/>
      <w:lvlText w:val="(%1)"/>
      <w:numFmt w:val="lowerLetter"/>
      <w:start w:val="3"/>
    </w:lvl>
  </w:abstractNum>
  <w:abstractNum w:abstractNumId="72">
    <w:nsid w:val="5F3534A4"/>
    <w:multiLevelType w:val="hybridMultilevel"/>
    <w:lvl w:ilvl="0">
      <w:lvlJc w:val="left"/>
      <w:lvlText w:val="(%1)"/>
      <w:numFmt w:val="lowerLetter"/>
      <w:start w:val="12"/>
    </w:lvl>
  </w:abstractNum>
  <w:abstractNum w:abstractNumId="73">
    <w:nsid w:val="73A1821B"/>
    <w:multiLevelType w:val="hybridMultilevel"/>
    <w:lvl w:ilvl="0">
      <w:lvlJc w:val="left"/>
      <w:lvlText w:val="(%1)"/>
      <w:numFmt w:val="lowerLetter"/>
      <w:start w:val="17"/>
    </w:lvl>
  </w:abstractNum>
  <w:abstractNum w:abstractNumId="74">
    <w:nsid w:val="7DE67713"/>
    <w:multiLevelType w:val="hybridMultilevel"/>
    <w:lvl w:ilvl="0">
      <w:lvlJc w:val="left"/>
      <w:lvlText w:val="(%1)"/>
      <w:numFmt w:val="lowerLetter"/>
      <w:start w:val="22"/>
    </w:lvl>
  </w:abstractNum>
  <w:abstractNum w:abstractNumId="75">
    <w:nsid w:val="555C55B5"/>
    <w:multiLevelType w:val="hybridMultilevel"/>
    <w:lvl w:ilvl="0">
      <w:lvlJc w:val="left"/>
      <w:lvlText w:val="(%1)"/>
      <w:numFmt w:val="lowerLetter"/>
      <w:start w:val="27"/>
    </w:lvl>
  </w:abstractNum>
  <w:abstractNum w:abstractNumId="76">
    <w:nsid w:val="3FA62ACA"/>
    <w:multiLevelType w:val="hybridMultilevel"/>
    <w:lvl w:ilvl="0">
      <w:lvlJc w:val="left"/>
      <w:lvlText w:val="%1"/>
      <w:numFmt w:val="lowerLetter"/>
      <w:start w:val="1"/>
    </w:lvl>
    <w:lvl w:ilvl="1">
      <w:lvlJc w:val="left"/>
      <w:lvlText w:val="(%2)"/>
      <w:numFmt w:val="lowerLetter"/>
      <w:start w:val="1"/>
    </w:lvl>
  </w:abstractNum>
  <w:abstractNum w:abstractNumId="77">
    <w:nsid w:val="14FCE74E"/>
    <w:multiLevelType w:val="hybridMultilevel"/>
    <w:lvl w:ilvl="0">
      <w:lvlJc w:val="left"/>
      <w:lvlText w:val="(%1)"/>
      <w:numFmt w:val="lowerLetter"/>
      <w:start w:val="35"/>
    </w:lvl>
    <w:lvl w:ilvl="1">
      <w:lvlJc w:val="left"/>
      <w:lvlText w:val="%2"/>
      <w:numFmt w:val="lowerLetter"/>
      <w:start w:val="1"/>
    </w:lvl>
  </w:abstractNum>
  <w:abstractNum w:abstractNumId="78">
    <w:nsid w:val="6A3DD3E8"/>
    <w:multiLevelType w:val="hybridMultilevel"/>
    <w:lvl w:ilvl="0">
      <w:lvlJc w:val="left"/>
      <w:lvlText w:val="(%1)"/>
      <w:numFmt w:val="lowerLetter"/>
      <w:start w:val="2"/>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1">
    <w:nsid w:val="53299938"/>
    <w:multiLevelType w:val="hybridMultilevel"/>
    <w:lvl w:ilvl="0">
      <w:lvlJc w:val="left"/>
      <w:lvlText w:val="(%1)"/>
      <w:numFmt w:val="decimal"/>
      <w:start w:val="2"/>
    </w:lvl>
  </w:abstractNum>
  <w:abstractNum w:abstractNumId="82">
    <w:nsid w:val="1FBFE8E0"/>
    <w:multiLevelType w:val="hybridMultilevel"/>
    <w:lvl w:ilvl="0">
      <w:lvlJc w:val="left"/>
      <w:lvlText w:val="(%1)"/>
      <w:numFmt w:val="lowerLetter"/>
      <w:start w:val="24"/>
    </w:lvl>
  </w:abstractNum>
  <w:abstractNum w:abstractNumId="83">
    <w:nsid w:val="5092CA79"/>
    <w:multiLevelType w:val="hybridMultilevel"/>
    <w:lvl w:ilvl="0">
      <w:lvlJc w:val="left"/>
      <w:lvlText w:val="(%1)"/>
      <w:numFmt w:val="lowerRoman"/>
      <w:start w:val="4"/>
    </w:lvl>
  </w:abstractNum>
  <w:abstractNum w:abstractNumId="84">
    <w:nsid w:val="1D545C4D"/>
    <w:multiLevelType w:val="hybridMultilevel"/>
    <w:lvl w:ilvl="0">
      <w:lvlJc w:val="left"/>
      <w:lvlText w:val="(%1)"/>
      <w:numFmt w:val="lowerRoman"/>
      <w:start w:val="6"/>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2"/>
    </w:lvl>
  </w:abstractNum>
  <w:abstractNum w:abstractNumId="87">
    <w:nsid w:val="2A155DBC"/>
    <w:multiLevelType w:val="hybridMultilevel"/>
    <w:lvl w:ilvl="0">
      <w:lvlJc w:val="left"/>
      <w:lvlText w:val="(%1)"/>
      <w:numFmt w:val="lowerRoman"/>
      <w:start w:val="1"/>
    </w:lvl>
  </w:abstractNum>
  <w:abstractNum w:abstractNumId="88">
    <w:nsid w:val="1D9F6E5F"/>
    <w:multiLevelType w:val="hybridMultilevel"/>
    <w:lvl w:ilvl="0">
      <w:lvlJc w:val="left"/>
      <w:lvlText w:val="(%1)"/>
      <w:numFmt w:val="lowerLetter"/>
      <w:start w:val="3"/>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6"/>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3"/>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Letter"/>
      <w:start w:val="2"/>
    </w:lvl>
  </w:abstractNum>
  <w:abstractNum w:abstractNumId="96">
    <w:nsid w:val="45E6D486"/>
    <w:multiLevelType w:val="hybridMultilevel"/>
    <w:lvl w:ilvl="0">
      <w:lvlJc w:val="left"/>
      <w:lvlText w:val="%1"/>
      <w:numFmt w:val="lowerLetter"/>
      <w:start w:val="1"/>
    </w:lvl>
    <w:lvl w:ilvl="1">
      <w:lvlJc w:val="left"/>
      <w:lvlText w:val="(%2)"/>
      <w:numFmt w:val="lowerLetter"/>
      <w:start w:val="8"/>
    </w:lvl>
  </w:abstractNum>
  <w:abstractNum w:abstractNumId="97">
    <w:nsid w:val="5C10FE21"/>
    <w:multiLevelType w:val="hybridMultilevel"/>
    <w:lvl w:ilvl="0">
      <w:lvlJc w:val="left"/>
      <w:lvlText w:val="(%1)"/>
      <w:numFmt w:val="lowerLetter"/>
      <w:start w:val="26"/>
    </w:lvl>
    <w:lvl w:ilvl="1">
      <w:lvlJc w:val="left"/>
      <w:lvlText w:val="(%2)"/>
      <w:numFmt w:val="lowerLetter"/>
      <w:start w:val="9"/>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4"/>
    </w:lvl>
  </w:abstractNum>
  <w:abstractNum w:abstractNumId="100">
    <w:nsid w:val="4BD8591A"/>
    <w:multiLevelType w:val="hybridMultilevel"/>
    <w:lvl w:ilvl="0">
      <w:lvlJc w:val="left"/>
      <w:lvlText w:val="(%1)"/>
      <w:numFmt w:val="lowerLetter"/>
      <w:start w:val="8"/>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lowerLetter"/>
      <w:start w:val="1"/>
    </w:lvl>
    <w:lvl w:ilvl="1">
      <w:lvlJc w:val="left"/>
      <w:lvlText w:val="(%2)"/>
      <w:numFmt w:val="lowerRoman"/>
      <w:start w:val="1"/>
    </w:lvl>
  </w:abstractNum>
  <w:abstractNum w:abstractNumId="103">
    <w:nsid w:val="2B0D8DBE"/>
    <w:multiLevelType w:val="hybridMultilevel"/>
    <w:lvl w:ilvl="0">
      <w:lvlJc w:val="left"/>
      <w:lvlText w:val="%1"/>
      <w:numFmt w:val="decimal"/>
      <w:start w:val="1"/>
    </w:lvl>
    <w:lvl w:ilvl="1">
      <w:lvlJc w:val="left"/>
      <w:lvlText w:val="(%2)"/>
      <w:numFmt w:val="lowerRoman"/>
      <w:start w:val="3"/>
    </w:lvl>
  </w:abstractNum>
  <w:abstractNum w:abstractNumId="104">
    <w:nsid w:val="6C80EC70"/>
    <w:multiLevelType w:val="hybridMultilevel"/>
    <w:lvl w:ilvl="0">
      <w:lvlJc w:val="left"/>
      <w:lvlText w:val="(%1)"/>
      <w:numFmt w:val="decimal"/>
      <w:start w:val="1"/>
    </w:lvl>
    <w:lvl w:ilvl="1">
      <w:lvlJc w:val="left"/>
      <w:lvlText w:val="%2"/>
      <w:numFmt w:val="lowerRoman"/>
      <w:start w:val="1"/>
    </w:lvl>
  </w:abstractNum>
  <w:abstractNum w:abstractNumId="105">
    <w:nsid w:val="379E21B5"/>
    <w:multiLevelType w:val="hybridMultilevel"/>
    <w:lvl w:ilvl="0">
      <w:lvlJc w:val="left"/>
      <w:lvlText w:val="(%1)"/>
      <w:numFmt w:val="lowerLetter"/>
      <w:start w:val="24"/>
    </w:lvl>
  </w:abstractNum>
  <w:abstractNum w:abstractNumId="106">
    <w:nsid w:val="69E373"/>
    <w:multiLevelType w:val="hybridMultilevel"/>
    <w:lvl w:ilvl="0">
      <w:lvlJc w:val="left"/>
      <w:lvlText w:val="(%1)"/>
      <w:numFmt w:val="lowerRoman"/>
      <w:start w:val="4"/>
    </w:lvl>
  </w:abstractNum>
  <w:abstractNum w:abstractNumId="107">
    <w:nsid w:val="2C27173B"/>
    <w:multiLevelType w:val="hybridMultilevel"/>
    <w:lvl w:ilvl="0">
      <w:lvlJc w:val="left"/>
      <w:lvlText w:val="(%1)"/>
      <w:numFmt w:val="lowerRoman"/>
      <w:start w:val="13"/>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3"/>
    </w:lvl>
  </w:abstractNum>
  <w:abstractNum w:abstractNumId="110">
    <w:nsid w:val="1DF029D3"/>
    <w:multiLevelType w:val="hybridMultilevel"/>
    <w:lvl w:ilvl="0">
      <w:lvlJc w:val="left"/>
      <w:lvlText w:val="%1."/>
      <w:numFmt w:val="decimal"/>
      <w:start w:val="2"/>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Roman"/>
      <w:start w:val="1"/>
    </w:lvl>
  </w:abstractNum>
  <w:abstractNum w:abstractNumId="113">
    <w:nsid w:val="3DB012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14">
    <w:nsid w:val="2708C9AF"/>
    <w:multiLevelType w:val="hybridMultilevel"/>
    <w:lvl w:ilvl="0">
      <w:lvlJc w:val="left"/>
      <w:lvlText w:val="(%1)"/>
      <w:numFmt w:val="lowerLetter"/>
      <w:start w:val="2"/>
    </w:lvl>
    <w:lvl w:ilvl="1">
      <w:lvlJc w:val="left"/>
      <w:lvlText w:val="%2."/>
      <w:numFmt w:val="decimal"/>
      <w:start w:val="3"/>
    </w:lvl>
    <w:lvl w:ilvl="2">
      <w:lvlJc w:val="left"/>
      <w:lvlText w:val="%3"/>
      <w:numFmt w:val="lowerRoman"/>
      <w:start w:val="1"/>
    </w:lvl>
  </w:abstractNum>
  <w:abstractNum w:abstractNumId="115">
    <w:nsid w:val="5B25ACE2"/>
    <w:multiLevelType w:val="hybridMultilevel"/>
    <w:lvl w:ilvl="0">
      <w:lvlJc w:val="left"/>
      <w:lvlText w:val="%1."/>
      <w:numFmt w:val="decimal"/>
      <w:start w:val="4"/>
    </w:lvl>
    <w:lvl w:ilvl="1">
      <w:lvlJc w:val="left"/>
      <w:lvlText w:val="%2."/>
      <w:numFmt w:val="decimal"/>
      <w:start w:val="5"/>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2"/>
    </w:lvl>
  </w:abstractNum>
  <w:abstractNum w:abstractNumId="118">
    <w:nsid w:val="53B0A9E"/>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19">
    <w:nsid w:val="34FD6B4F"/>
    <w:multiLevelType w:val="hybridMultilevel"/>
    <w:lvl w:ilvl="0">
      <w:lvlJc w:val="left"/>
      <w:lvlText w:val="%1."/>
      <w:numFmt w:val="decimal"/>
      <w:start w:val="6"/>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2"/>
    </w:lvl>
    <w:lvl w:ilvl="1">
      <w:lvlJc w:val="left"/>
      <w:lvlText w:val="(%2)"/>
      <w:numFmt w:val="lowerLetter"/>
      <w:start w:val="1"/>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2"/>
    </w:lvl>
    <w:lvl w:ilvl="1">
      <w:lvlJc w:val="left"/>
      <w:lvlText w:val="(%2)"/>
      <w:numFmt w:val="lowerLetter"/>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2"/>
    </w:lvl>
    <w:lvl w:ilvl="1">
      <w:lvlJc w:val="left"/>
      <w:lvlText w:val="(%2)"/>
      <w:numFmt w:val="lowerLetter"/>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134" Type="http://schemas.openxmlformats.org/officeDocument/2006/relationships/hyperlink" Target="http://www.sec.gov/Archives/edgar/data/723603/000072360302000020/exh3i.txt" TargetMode="External"/><Relationship Id="rId135" Type="http://schemas.openxmlformats.org/officeDocument/2006/relationships/hyperlink" Target="http://www.sec.gov/Archives/edgar/data/0000723603/000115752319001520/a52010021ex3_1.htm" TargetMode="External"/><Relationship Id="rId136" Type="http://schemas.openxmlformats.org/officeDocument/2006/relationships/hyperlink" Target="http://www.sec.gov/Archives/edgar/data/0000723603/000115752319001520/a52010021ex10_1.htm" TargetMode="External"/><Relationship Id="rId137" Type="http://schemas.openxmlformats.org/officeDocument/2006/relationships/hyperlink" Target="http://www.sec.gov/Archives/edgar/data/0000723603/000115752319001969/a52089758ex10_1.htm" TargetMode="External"/><Relationship Id="rId138" Type="http://schemas.openxmlformats.org/officeDocument/2006/relationships/hyperlink" Target="http://www.sec.gov/Archives/edgar/data/0000723603/000115752319001969/a52089758ex10_2.htm" TargetMode="External"/><Relationship Id="rId139" Type="http://schemas.openxmlformats.org/officeDocument/2006/relationships/hyperlink" Target="http://www.sec.gov/Archives/edgar/data/0000723603/000115752319000563/a519489143ex10_2.htm" TargetMode="External"/><Relationship Id="rId140" Type="http://schemas.openxmlformats.org/officeDocument/2006/relationships/hyperlink" Target="http://www.sec.gov/Archives/edgar/data/723603/000115752319000563/a519489143ex10_2.htm" TargetMode="External"/><Relationship Id="rId141" Type="http://schemas.openxmlformats.org/officeDocument/2006/relationships/hyperlink" Target="http://www.sec.gov/Archives/edgar/data/0000723603/000115752317002477/a51677501ex10_1.htm" TargetMode="External"/><Relationship Id="rId142" Type="http://schemas.openxmlformats.org/officeDocument/2006/relationships/hyperlink" Target="http://www.sec.gov/Archives/edgar/data/723603/000115752317002477/a51677501ex10_1.htm" TargetMode="External"/><Relationship Id="rId143" Type="http://schemas.openxmlformats.org/officeDocument/2006/relationships/hyperlink" Target="http://www.sec.gov/Archives/edgar/data/0000723603/000115752315002886/a51159198.htm" TargetMode="External"/><Relationship Id="rId144" Type="http://schemas.openxmlformats.org/officeDocument/2006/relationships/hyperlink" Target="http://www.sec.gov/Archives/edgar/data/723603/000115752315002886/a51159198.htm" TargetMode="External"/><Relationship Id="rId145" Type="http://schemas.openxmlformats.org/officeDocument/2006/relationships/hyperlink" Target="http://www.sec.gov/Archives/edgar/data/0000723603/000115752315002386/a51138490_ex102.htm" TargetMode="External"/><Relationship Id="rId146" Type="http://schemas.openxmlformats.org/officeDocument/2006/relationships/hyperlink" Target="http://www.sec.gov/Archives/edgar/data/723603/000115752315002386/a51138490_ex102.htm" TargetMode="External"/><Relationship Id="rId147" Type="http://schemas.openxmlformats.org/officeDocument/2006/relationships/hyperlink" Target="http://www.sec.gov/Archives/edgar/data/0000723603/000115752307012097/a5562888ex10_3.txt" TargetMode="External"/><Relationship Id="rId148" Type="http://schemas.openxmlformats.org/officeDocument/2006/relationships/hyperlink" Target="http://www.sec.gov/Archives/edgar/data/723603/000115752307012097/a5562888ex10_3.txt" TargetMode="External"/><Relationship Id="rId149" Type="http://schemas.openxmlformats.org/officeDocument/2006/relationships/hyperlink" Target="http://www.sec.gov/Archives/edgar/data/0000723603/000115752314001006/a50814862ex10_1.htm" TargetMode="External"/><Relationship Id="rId150" Type="http://schemas.openxmlformats.org/officeDocument/2006/relationships/hyperlink" Target="http://www.sec.gov/Archives/edgar/data/723603/000115752314001006/a5081486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2020-07-17T13:33:47Z</dcterms:created>
  <dcterms:modified xsi:type="dcterms:W3CDTF">2020-07-17T13:33:47Z</dcterms:modified>
</cp:coreProperties>
</file>