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August 2, 2020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3"/>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incorporation or other organization)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41"/>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4"/>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1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61"/>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5"/>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3"/>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1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4378960</wp:posOffset>
            </wp:positionH>
            <wp:positionV relativeFrom="paragraph">
              <wp:posOffset>-146050</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-146050</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77"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-146050</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-146050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5"/>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1795145</wp:posOffset>
            </wp:positionH>
            <wp:positionV relativeFrom="paragraph">
              <wp:posOffset>-712470</wp:posOffset>
            </wp:positionV>
            <wp:extent cx="95250" cy="9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-712470</wp:posOffset>
            </wp:positionV>
            <wp:extent cx="95250" cy="9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-429895</wp:posOffset>
            </wp:positionV>
            <wp:extent cx="95250" cy="96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-429895</wp:posOffset>
            </wp:positionV>
            <wp:extent cx="95250" cy="96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-146685</wp:posOffset>
            </wp:positionV>
            <wp:extent cx="95250" cy="96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76" w:lineRule="exact"/>
        <w:rPr>
          <w:sz w:val="24"/>
          <w:szCs w:val="24"/>
          <w:color w:val="auto"/>
        </w:rPr>
      </w:pPr>
    </w:p>
    <w:p>
      <w:pPr>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6625590</wp:posOffset>
            </wp:positionH>
            <wp:positionV relativeFrom="paragraph">
              <wp:posOffset>-146685</wp:posOffset>
            </wp:positionV>
            <wp:extent cx="95250" cy="96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6096635</wp:posOffset>
            </wp:positionH>
            <wp:positionV relativeFrom="paragraph">
              <wp:posOffset>-96520</wp:posOffset>
            </wp:positionV>
            <wp:extent cx="95250" cy="9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-96520</wp:posOffset>
            </wp:positionV>
            <wp:extent cx="95250" cy="9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at September 8, 2020: 12,297,830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10-Q</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period ended August 2,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080" w:type="dxa"/>
            <w:vAlign w:val="bottom"/>
            <w:gridSpan w:val="4"/>
          </w:tcPr>
          <w:p>
            <w:pPr>
              <w:jc w:val="center"/>
              <w:ind w:right="3640"/>
              <w:spacing w:after="0"/>
              <w:rPr>
                <w:sz w:val="20"/>
                <w:szCs w:val="20"/>
                <w:color w:val="auto"/>
              </w:rPr>
            </w:pPr>
            <w:r>
              <w:rPr>
                <w:rFonts w:ascii="Times New Roman" w:cs="Times New Roman" w:eastAsia="Times New Roman" w:hAnsi="Times New Roman"/>
                <w:sz w:val="20"/>
                <w:szCs w:val="20"/>
                <w:b w:val="1"/>
                <w:bCs w:val="1"/>
                <w:color w:val="auto"/>
                <w:w w:val="98"/>
              </w:rPr>
              <w:t>Part I -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8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3640" w:type="dxa"/>
            <w:vAlign w:val="bottom"/>
          </w:tcPr>
          <w:p>
            <w:pPr>
              <w:ind w:left="60"/>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Financial Statements: (Unaudited)</w:t>
              </w:r>
            </w:hyperlink>
          </w:p>
        </w:tc>
        <w:tc>
          <w:tcPr>
            <w:tcW w:w="2440" w:type="dxa"/>
            <w:vAlign w:val="bottom"/>
            <w:tcBorders>
              <w:top w:val="single" w:sz="8" w:color="auto"/>
            </w:tcBorders>
            <w:gridSpan w:val="3"/>
          </w:tcPr>
          <w:p>
            <w:pPr>
              <w:spacing w:after="0"/>
              <w:rPr>
                <w:sz w:val="24"/>
                <w:szCs w:val="24"/>
                <w:color w:val="auto"/>
              </w:rPr>
            </w:pPr>
          </w:p>
        </w:tc>
        <w:tc>
          <w:tcPr>
            <w:tcW w:w="3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Consolidated Statements of Net (Loss) Income — Three Months Ended August 2, 2020, and August 4, 2019</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Consolidated Statements of Comprehensive (Loss) Income – Three Months Ended August 2, 2020, and August 4, 2019</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5">
              <w:r>
                <w:rPr>
                  <w:rFonts w:ascii="Times New Roman" w:cs="Times New Roman" w:eastAsia="Times New Roman" w:hAnsi="Times New Roman"/>
                  <w:sz w:val="20"/>
                  <w:szCs w:val="20"/>
                  <w:u w:val="single" w:color="auto"/>
                  <w:color w:val="0000EE"/>
                </w:rPr>
                <w:t>Consolidated Balance Sheets — August 2, 2020, August 4, 2019, and May 3, 2020</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6">
              <w:r>
                <w:rPr>
                  <w:rFonts w:ascii="Times New Roman" w:cs="Times New Roman" w:eastAsia="Times New Roman" w:hAnsi="Times New Roman"/>
                  <w:sz w:val="20"/>
                  <w:szCs w:val="20"/>
                  <w:u w:val="single" w:color="auto"/>
                  <w:color w:val="0000EE"/>
                </w:rPr>
                <w:t>Consolidated Statements of Cash Flows — Three Months Ended August 2, 2020, and August 4, 2019</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7">
              <w:r>
                <w:rPr>
                  <w:rFonts w:ascii="Times New Roman" w:cs="Times New Roman" w:eastAsia="Times New Roman" w:hAnsi="Times New Roman"/>
                  <w:sz w:val="20"/>
                  <w:szCs w:val="20"/>
                  <w:u w:val="single" w:color="auto"/>
                  <w:color w:val="0000EE"/>
                </w:rPr>
                <w:t>Consolidated Statements of Shareholders’ Equity – Three Months Ended August 2, 2020</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8">
              <w:r>
                <w:rPr>
                  <w:rFonts w:ascii="Times New Roman" w:cs="Times New Roman" w:eastAsia="Times New Roman" w:hAnsi="Times New Roman"/>
                  <w:sz w:val="20"/>
                  <w:szCs w:val="20"/>
                  <w:u w:val="single" w:color="auto"/>
                  <w:color w:val="0000EE"/>
                </w:rPr>
                <w:t>Consolidated Statements of Shareholders’ Equity – Three Months Ended August 4, 2019</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9">
              <w:r>
                <w:rPr>
                  <w:rFonts w:ascii="Times New Roman" w:cs="Times New Roman" w:eastAsia="Times New Roman" w:hAnsi="Times New Roman"/>
                  <w:sz w:val="20"/>
                  <w:szCs w:val="20"/>
                  <w:u w:val="single" w:color="auto"/>
                  <w:color w:val="0000EE"/>
                </w:rPr>
                <w:t>Notes to Consolidated 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r>
      <w:tr>
        <w:trPr>
          <w:trHeight w:val="459"/>
        </w:trPr>
        <w:tc>
          <w:tcPr>
            <w:tcW w:w="900" w:type="dxa"/>
            <w:vAlign w:val="bottom"/>
          </w:tcPr>
          <w:p>
            <w:pPr>
              <w:spacing w:after="0"/>
              <w:rPr>
                <w:sz w:val="24"/>
                <w:szCs w:val="24"/>
                <w:color w:val="auto"/>
              </w:rPr>
            </w:pP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32">
              <w:r>
                <w:rPr>
                  <w:rFonts w:ascii="Times New Roman" w:cs="Times New Roman" w:eastAsia="Times New Roman" w:hAnsi="Times New Roman"/>
                  <w:sz w:val="20"/>
                  <w:szCs w:val="20"/>
                  <w:u w:val="single" w:color="auto"/>
                  <w:color w:val="0000EE"/>
                </w:rPr>
                <w:t>Cautionary Statement Concerning Forward-Looking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I-30</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33">
              <w:r>
                <w:rPr>
                  <w:rFonts w:ascii="Times New Roman" w:cs="Times New Roman" w:eastAsia="Times New Roman" w:hAnsi="Times New Roman"/>
                  <w:sz w:val="20"/>
                  <w:szCs w:val="20"/>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I-31</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5">
              <w:r>
                <w:rPr>
                  <w:rFonts w:ascii="Times New Roman" w:cs="Times New Roman" w:eastAsia="Times New Roman" w:hAnsi="Times New Roman"/>
                  <w:sz w:val="20"/>
                  <w:szCs w:val="20"/>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I-43</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5">
              <w:r>
                <w:rPr>
                  <w:rFonts w:ascii="Times New Roman" w:cs="Times New Roman" w:eastAsia="Times New Roman" w:hAnsi="Times New Roman"/>
                  <w:sz w:val="20"/>
                  <w:szCs w:val="20"/>
                  <w:u w:val="single" w:color="auto"/>
                  <w:color w:val="0000EE"/>
                </w:rPr>
                <w:t>Controls and Procedures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I-43</w:t>
            </w:r>
          </w:p>
        </w:tc>
      </w:tr>
      <w:tr>
        <w:trPr>
          <w:trHeight w:val="413"/>
        </w:trPr>
        <w:tc>
          <w:tcPr>
            <w:tcW w:w="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Part II - Other Information</w:t>
            </w:r>
          </w:p>
        </w:tc>
        <w:tc>
          <w:tcPr>
            <w:tcW w:w="368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48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6">
              <w:r>
                <w:rPr>
                  <w:rFonts w:ascii="Times New Roman" w:cs="Times New Roman" w:eastAsia="Times New Roman" w:hAnsi="Times New Roman"/>
                  <w:sz w:val="20"/>
                  <w:szCs w:val="20"/>
                  <w:u w:val="single" w:color="auto"/>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6">
              <w:r>
                <w:rPr>
                  <w:rFonts w:ascii="Times New Roman" w:cs="Times New Roman" w:eastAsia="Times New Roman" w:hAnsi="Times New Roman"/>
                  <w:sz w:val="20"/>
                  <w:szCs w:val="20"/>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6">
              <w:r>
                <w:rPr>
                  <w:rFonts w:ascii="Times New Roman" w:cs="Times New Roman" w:eastAsia="Times New Roman" w:hAnsi="Times New Roman"/>
                  <w:sz w:val="20"/>
                  <w:szCs w:val="20"/>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720" w:type="dxa"/>
            <w:vAlign w:val="bottom"/>
            <w:gridSpan w:val="5"/>
          </w:tcPr>
          <w:p>
            <w:pPr>
              <w:ind w:left="60"/>
              <w:spacing w:after="0"/>
              <w:rPr>
                <w:rFonts w:ascii="Times New Roman" w:cs="Times New Roman" w:eastAsia="Times New Roman" w:hAnsi="Times New Roman"/>
                <w:sz w:val="20"/>
                <w:szCs w:val="20"/>
                <w:u w:val="single" w:color="auto"/>
                <w:color w:val="0000EE"/>
              </w:rPr>
            </w:pPr>
            <w:hyperlink w:anchor="page47">
              <w:r>
                <w:rPr>
                  <w:rFonts w:ascii="Times New Roman" w:cs="Times New Roman" w:eastAsia="Times New Roman" w:hAnsi="Times New Roman"/>
                  <w:sz w:val="20"/>
                  <w:szCs w:val="20"/>
                  <w:u w:val="single" w:color="auto"/>
                  <w:color w:val="0000EE"/>
                </w:rPr>
                <w:t>Exhibits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r>
      <w:tr>
        <w:trPr>
          <w:trHeight w:val="459"/>
        </w:trPr>
        <w:tc>
          <w:tcPr>
            <w:tcW w:w="900" w:type="dxa"/>
            <w:vAlign w:val="bottom"/>
          </w:tcPr>
          <w:p>
            <w:pPr>
              <w:spacing w:after="0"/>
              <w:rPr>
                <w:rFonts w:ascii="Times New Roman" w:cs="Times New Roman" w:eastAsia="Times New Roman" w:hAnsi="Times New Roman"/>
                <w:sz w:val="20"/>
                <w:szCs w:val="20"/>
                <w:u w:val="single" w:color="auto"/>
                <w:color w:val="0000EE"/>
              </w:rPr>
            </w:pPr>
            <w:hyperlink w:anchor="page48">
              <w:r>
                <w:rPr>
                  <w:rFonts w:ascii="Times New Roman" w:cs="Times New Roman" w:eastAsia="Times New Roman" w:hAnsi="Times New Roman"/>
                  <w:sz w:val="20"/>
                  <w:szCs w:val="20"/>
                  <w:u w:val="single" w:color="auto"/>
                  <w:color w:val="0000EE"/>
                </w:rPr>
                <w:t>Signatures</w:t>
              </w:r>
            </w:hyperlink>
          </w:p>
        </w:tc>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r>
      <w:tr>
        <w:trPr>
          <w:trHeight w:val="770"/>
        </w:trPr>
        <w:tc>
          <w:tcPr>
            <w:tcW w:w="9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AUGUST 2, 2020 AND AUGUST 4,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August 2,</w:t>
            </w:r>
          </w:p>
        </w:tc>
        <w:tc>
          <w:tcPr>
            <w:tcW w:w="380" w:type="dxa"/>
            <w:vAlign w:val="bottom"/>
          </w:tcPr>
          <w:p>
            <w:pPr>
              <w:spacing w:after="0"/>
              <w:rPr>
                <w:sz w:val="18"/>
                <w:szCs w:val="18"/>
                <w:color w:val="auto"/>
              </w:rPr>
            </w:pP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August 4,</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64,464</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70,719</w:t>
            </w:r>
          </w:p>
        </w:tc>
        <w:tc>
          <w:tcPr>
            <w:tcW w:w="0" w:type="dxa"/>
            <w:vAlign w:val="bottom"/>
          </w:tcPr>
          <w:p>
            <w:pPr>
              <w:spacing w:after="0"/>
              <w:rPr>
                <w:sz w:val="1"/>
                <w:szCs w:val="1"/>
                <w:color w:val="auto"/>
              </w:rPr>
            </w:pPr>
          </w:p>
        </w:tc>
      </w:tr>
      <w:tr>
        <w:trPr>
          <w:trHeight w:val="214"/>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(54,563)</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9,901</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12,412</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(8,018)</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credit</w:t>
            </w:r>
          </w:p>
        </w:tc>
        <w:tc>
          <w:tcPr>
            <w:tcW w:w="2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8"/>
        </w:trPr>
        <w:tc>
          <w:tcPr>
            <w:tcW w:w="7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1,883</w:t>
            </w:r>
          </w:p>
        </w:tc>
        <w:tc>
          <w:tcPr>
            <w:tcW w:w="38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3,298</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58</w:t>
            </w:r>
          </w:p>
        </w:tc>
        <w:tc>
          <w:tcPr>
            <w:tcW w:w="38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(366)</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8"/>
        </w:trPr>
        <w:tc>
          <w:tcPr>
            <w:tcW w:w="7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1,524</w:t>
            </w:r>
          </w:p>
        </w:tc>
        <w:tc>
          <w:tcPr>
            <w:tcW w:w="38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3,463</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(4,324)</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4"/>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from investment in unconsolidated joint venture</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67</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2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(2,733)</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08"/>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 from discontinued operation</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from discontinued operation</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(2,733)</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from continuing operations per share - basic</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from continuing operations per share - diluted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 per share - basic</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from discontinued operation per share - diluted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per share - 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per share - diluted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Average shares outstanding, basic</w:t>
            </w:r>
          </w:p>
        </w:tc>
        <w:tc>
          <w:tcPr>
            <w:tcW w:w="28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12,287</w:t>
            </w:r>
          </w:p>
        </w:tc>
        <w:tc>
          <w:tcPr>
            <w:tcW w:w="38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12,399</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shares outstanding, diluted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12,287</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12,410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AUGUST 2, 2020 AND AUGUST 4,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August 2,</w:t>
            </w:r>
          </w:p>
        </w:tc>
        <w:tc>
          <w:tcPr>
            <w:tcW w:w="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3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16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(2,733)</w:t>
            </w:r>
          </w:p>
        </w:tc>
        <w:tc>
          <w:tcPr>
            <w:tcW w:w="12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14"/>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Unrealized holding gains on investments, net of tax</w:t>
            </w:r>
          </w:p>
        </w:tc>
        <w:tc>
          <w:tcPr>
            <w:tcW w:w="20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69</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0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(2,664)</w:t>
            </w:r>
          </w:p>
        </w:tc>
        <w:tc>
          <w:tcPr>
            <w:tcW w:w="12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Plus: Comprehensive loss attributable to noncontrolling</w:t>
            </w:r>
          </w:p>
        </w:tc>
        <w:tc>
          <w:tcPr>
            <w:tcW w:w="2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interest associated with discontinued operation</w:t>
            </w:r>
          </w:p>
        </w:tc>
        <w:tc>
          <w:tcPr>
            <w:tcW w:w="20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9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 attributable to Culp, Inc.</w:t>
            </w:r>
          </w:p>
        </w:tc>
        <w:tc>
          <w:tcPr>
            <w:tcW w:w="3160" w:type="dxa"/>
            <w:vAlign w:val="bottom"/>
            <w:gridSpan w:val="2"/>
            <w:vMerge w:val="restart"/>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(2,664)</w:t>
            </w:r>
          </w:p>
        </w:tc>
        <w:tc>
          <w:tcPr>
            <w:tcW w:w="1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shareholders</w:t>
            </w:r>
          </w:p>
        </w:tc>
        <w:tc>
          <w:tcPr>
            <w:tcW w:w="3160" w:type="dxa"/>
            <w:vAlign w:val="bottom"/>
            <w:gridSpan w:val="2"/>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AUGUST 2, 2020, AUGUST 4, 2019, AND MAY 3, 2020</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August 2,</w:t>
            </w: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August 4,</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May 3,</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2019</w:t>
            </w: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39,986</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44,236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69,790</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5,092</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4,271</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983</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29,893</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23,661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25,093</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40,402</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47,593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782</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776</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assets - Discontinued operation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3,557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8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3,547</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2,617</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08"/>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120,685</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122,440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151,685</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42,051</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45,475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43,147</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13,569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3,286</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3,805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7,916</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7,347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7,834</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1,314</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6,443</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5,488</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income taxes receivable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733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593</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1,759</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1,520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Long-term note receivable affiliated with discontinued operation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1,800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assets - Discontinued operation</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23,058</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540</w:t>
            </w: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526</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184,587</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226,247</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Line of credit - China operations</w:t>
            </w:r>
          </w:p>
        </w:tc>
        <w:tc>
          <w:tcPr>
            <w:tcW w:w="1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Paycheck Protection Program Loan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7,606</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25,746</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21,855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23,002</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333</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2,387</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2,270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685</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684</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7,852</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8,104</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restructuring costs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liabilities - Discontinued operation</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1,431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613</w:t>
            </w: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1,116</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1"/>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37,616</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35,552</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40,119</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Line of credit - U.S. operations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29,750</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 - long-term</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117</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333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4,214</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3,081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3,591</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3,640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3,796</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5,311</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2,543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7,869</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7,232</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7,720</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affiliated with discontinued operation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5,931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 - Discontinued operation</w:t>
            </w:r>
          </w:p>
        </w:tc>
        <w:tc>
          <w:tcPr>
            <w:tcW w:w="8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3,599</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58,718</w:t>
            </w: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61,911</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85,386</w:t>
            </w:r>
          </w:p>
        </w:tc>
        <w:tc>
          <w:tcPr>
            <w:tcW w:w="0" w:type="dxa"/>
            <w:vAlign w:val="bottom"/>
          </w:tcPr>
          <w:p>
            <w:pPr>
              <w:spacing w:after="0"/>
              <w:rPr>
                <w:sz w:val="1"/>
                <w:szCs w:val="1"/>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(Notes 10, 17 and 18)</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outstanding 12,291,946 at August 2, 2020; 12,405,014 at August 4,</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615</w:t>
            </w: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2019; and 12,284,946 at May 3, 2020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42,708</w:t>
            </w: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43,803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42,582</w:t>
            </w:r>
          </w:p>
        </w:tc>
        <w:tc>
          <w:tcPr>
            <w:tcW w:w="0" w:type="dxa"/>
            <w:vAlign w:val="bottom"/>
          </w:tcPr>
          <w:p>
            <w:pPr>
              <w:spacing w:after="0"/>
              <w:rPr>
                <w:sz w:val="1"/>
                <w:szCs w:val="1"/>
                <w:color w:val="auto"/>
              </w:rPr>
            </w:pPr>
          </w:p>
        </w:tc>
      </w:tr>
      <w:tr>
        <w:trPr>
          <w:trHeight w:val="214"/>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earnings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82,487</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115,676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86,511</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59</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46</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shareholders' equity attributable to Culp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125,869</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160,146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129,698</w:t>
            </w:r>
          </w:p>
        </w:tc>
        <w:tc>
          <w:tcPr>
            <w:tcW w:w="0" w:type="dxa"/>
            <w:vAlign w:val="bottom"/>
          </w:tcPr>
          <w:p>
            <w:pPr>
              <w:spacing w:after="0"/>
              <w:rPr>
                <w:sz w:val="1"/>
                <w:szCs w:val="1"/>
                <w:color w:val="auto"/>
              </w:rPr>
            </w:pPr>
          </w:p>
        </w:tc>
      </w:tr>
      <w:tr>
        <w:trPr>
          <w:trHeight w:val="21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Noncontrolling interest - Discontinued Operation</w:t>
            </w:r>
          </w:p>
        </w:tc>
        <w:tc>
          <w:tcPr>
            <w:tcW w:w="8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4,190</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125,869</w:t>
            </w: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164,336</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129,698</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184,587</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226,247</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07"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AUGUST 2, 2020 AND AUGUST 4,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August 2,</w:t>
            </w:r>
          </w:p>
        </w:tc>
        <w:tc>
          <w:tcPr>
            <w:tcW w:w="15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August 4,</w:t>
            </w:r>
          </w:p>
        </w:tc>
        <w:tc>
          <w:tcPr>
            <w:tcW w:w="0" w:type="dxa"/>
            <w:vAlign w:val="bottom"/>
          </w:tcPr>
          <w:p>
            <w:pPr>
              <w:spacing w:after="0"/>
              <w:rPr>
                <w:sz w:val="1"/>
                <w:szCs w:val="1"/>
                <w:color w:val="auto"/>
              </w:rPr>
            </w:pPr>
          </w:p>
        </w:tc>
      </w:tr>
      <w:tr>
        <w:trPr>
          <w:trHeight w:val="217"/>
        </w:trPr>
        <w:tc>
          <w:tcPr>
            <w:tcW w:w="7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1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(2,733)</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activities: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1,822</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118</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126</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3,693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Gain on disposal of equipment</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Income from investment in unconsolidated joint venture</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(67)</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Foreign currency exchange loss (gain)</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154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(4,757)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7,592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(1,254)</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(24)</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2,544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183</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Accrued expenses and deferred compensation</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2,377</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Accrued restructuring costs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807</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10,581</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07"/>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(500)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(90)</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the sale of short-term investments (Held to Maturity)</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350</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 of short-term and long-term investments (Held to Maturity)</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(423)</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short-term investments (Available for Sale)</w:t>
            </w:r>
          </w:p>
        </w:tc>
        <w:tc>
          <w:tcPr>
            <w:tcW w:w="24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(34)</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the sale of long-term investments (Rabbi Trust)</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39</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Purchase of long-term investments (Rabbi Trust)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(736)</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4,015</w:t>
            </w:r>
          </w:p>
        </w:tc>
        <w:tc>
          <w:tcPr>
            <w:tcW w:w="0" w:type="dxa"/>
            <w:vAlign w:val="bottom"/>
          </w:tcPr>
          <w:p>
            <w:pPr>
              <w:spacing w:after="0"/>
              <w:rPr>
                <w:sz w:val="1"/>
                <w:szCs w:val="1"/>
                <w:color w:val="auto"/>
              </w:rPr>
            </w:pPr>
          </w:p>
        </w:tc>
      </w:tr>
      <w:tr>
        <w:trPr>
          <w:trHeight w:val="208"/>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associated with lines of credit</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(30,772)</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associated with Paycheck Protection Program Loan</w:t>
            </w:r>
          </w:p>
        </w:tc>
        <w:tc>
          <w:tcPr>
            <w:tcW w:w="24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(7,606)</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(1,291)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acquisition of business</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subordinated loan payable associated with the</w:t>
            </w:r>
          </w:p>
        </w:tc>
        <w:tc>
          <w:tcPr>
            <w:tcW w:w="240" w:type="dxa"/>
            <w:vAlign w:val="bottom"/>
            <w:shd w:val="clear" w:color="auto" w:fill="CFF0FC"/>
          </w:tcPr>
          <w:p>
            <w:pPr>
              <w:spacing w:after="0"/>
              <w:rPr>
                <w:sz w:val="17"/>
                <w:szCs w:val="17"/>
                <w:color w:val="auto"/>
              </w:rPr>
            </w:pPr>
          </w:p>
        </w:tc>
        <w:tc>
          <w:tcPr>
            <w:tcW w:w="1600" w:type="dxa"/>
            <w:vAlign w:val="bottom"/>
            <w:vMerge w:val="restart"/>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noncontrolling interest of discontinued operation</w:t>
            </w:r>
          </w:p>
        </w:tc>
        <w:tc>
          <w:tcPr>
            <w:tcW w:w="24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2"/>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contribution from noncontrolling interest associated</w:t>
            </w:r>
          </w:p>
        </w:tc>
        <w:tc>
          <w:tcPr>
            <w:tcW w:w="240" w:type="dxa"/>
            <w:vAlign w:val="bottom"/>
          </w:tcPr>
          <w:p>
            <w:pPr>
              <w:spacing w:after="0"/>
              <w:rPr>
                <w:sz w:val="17"/>
                <w:szCs w:val="17"/>
                <w:color w:val="auto"/>
              </w:rPr>
            </w:pPr>
          </w:p>
        </w:tc>
        <w:tc>
          <w:tcPr>
            <w:tcW w:w="16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with discontinued operation</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surrendered for withholding taxes payable</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(15)</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(39,684)</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(29,804)</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4,228</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69,790</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40,008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39,986</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44,236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THREE-MONTH PERIOD ENDED AUGUST 2, 2020</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Contributed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0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4"/>
                <w:szCs w:val="14"/>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4"/>
                <w:szCs w:val="14"/>
                <w:color w:val="auto"/>
              </w:rPr>
              <w:t>in Excess</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of Par Value</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12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(Loss) 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May 3, 2020 *</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12,284,946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42,582</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86,511</w:t>
            </w:r>
          </w:p>
        </w:tc>
        <w:tc>
          <w:tcPr>
            <w:tcW w:w="2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129,698</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6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August 2, 2020</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12,291,946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42,708</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82,487</w:t>
            </w:r>
          </w:p>
        </w:tc>
        <w:tc>
          <w:tcPr>
            <w:tcW w:w="26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125,869</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THREE-MONTH PERIOD ENDED AUGUST 4,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342"/>
              <w:spacing w:after="0"/>
              <w:rPr>
                <w:sz w:val="20"/>
                <w:szCs w:val="20"/>
                <w:color w:val="auto"/>
              </w:rPr>
            </w:pPr>
            <w:r>
              <w:rPr>
                <w:rFonts w:ascii="Times New Roman" w:cs="Times New Roman" w:eastAsia="Times New Roman" w:hAnsi="Times New Roman"/>
                <w:sz w:val="14"/>
                <w:szCs w:val="14"/>
                <w:i w:val="1"/>
                <w:iCs w:val="1"/>
                <w:color w:val="auto"/>
              </w:rPr>
              <w:t>Shareholders’ equity attributable to Culp Inc.</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8"/>
        </w:trPr>
        <w:tc>
          <w:tcPr>
            <w:tcW w:w="3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9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Noncontrolling</w:t>
            </w:r>
          </w:p>
        </w:tc>
        <w:tc>
          <w:tcPr>
            <w:tcW w:w="880" w:type="dxa"/>
            <w:vAlign w:val="bottom"/>
          </w:tcPr>
          <w:p>
            <w:pPr>
              <w:spacing w:after="0"/>
              <w:rPr>
                <w:sz w:val="24"/>
                <w:szCs w:val="24"/>
                <w:color w:val="auto"/>
              </w:rPr>
            </w:pPr>
          </w:p>
        </w:tc>
      </w:tr>
      <w:tr>
        <w:trPr>
          <w:trHeight w:val="162"/>
        </w:trPr>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Contributed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jc w:val="center"/>
              <w:ind w:left="202"/>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460" w:type="dxa"/>
            <w:vAlign w:val="bottom"/>
            <w:tcBorders>
              <w:bottom w:val="single" w:sz="8" w:color="auto"/>
            </w:tcBorders>
          </w:tcPr>
          <w:p>
            <w:pPr>
              <w:spacing w:after="0"/>
              <w:rPr>
                <w:sz w:val="14"/>
                <w:szCs w:val="14"/>
                <w:color w:val="auto"/>
              </w:rPr>
            </w:pPr>
          </w:p>
        </w:tc>
        <w:tc>
          <w:tcPr>
            <w:tcW w:w="9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in Excess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9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Discontinued</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Total</w:t>
            </w:r>
          </w:p>
        </w:tc>
      </w:tr>
      <w:tr>
        <w:trPr>
          <w:trHeight w:val="156"/>
        </w:trPr>
        <w:tc>
          <w:tcPr>
            <w:tcW w:w="3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800" w:type="dxa"/>
            <w:vAlign w:val="bottom"/>
            <w:tcBorders>
              <w:bottom w:val="single" w:sz="8" w:color="auto"/>
            </w:tcBorders>
            <w:gridSpan w:val="2"/>
          </w:tcPr>
          <w:p>
            <w:pPr>
              <w:jc w:val="right"/>
              <w:ind w:right="92"/>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9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of Par Value</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780" w:type="dxa"/>
            <w:vAlign w:val="bottom"/>
            <w:tcBorders>
              <w:bottom w:val="single" w:sz="8" w:color="auto"/>
            </w:tcBorders>
          </w:tcPr>
          <w:p>
            <w:pPr>
              <w:jc w:val="center"/>
              <w:ind w:left="202"/>
              <w:spacing w:after="0" w:line="155" w:lineRule="exact"/>
              <w:rPr>
                <w:sz w:val="20"/>
                <w:szCs w:val="20"/>
                <w:color w:val="auto"/>
              </w:rPr>
            </w:pPr>
            <w:r>
              <w:rPr>
                <w:rFonts w:ascii="Times New Roman" w:cs="Times New Roman" w:eastAsia="Times New Roman" w:hAnsi="Times New Roman"/>
                <w:sz w:val="14"/>
                <w:szCs w:val="14"/>
                <w:color w:val="auto"/>
                <w:w w:val="99"/>
              </w:rPr>
              <w:t>Income</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3"/>
              <w:spacing w:after="0" w:line="155" w:lineRule="exact"/>
              <w:rPr>
                <w:sz w:val="20"/>
                <w:szCs w:val="20"/>
                <w:color w:val="auto"/>
              </w:rPr>
            </w:pPr>
            <w:r>
              <w:rPr>
                <w:rFonts w:ascii="Times New Roman" w:cs="Times New Roman" w:eastAsia="Times New Roman" w:hAnsi="Times New Roman"/>
                <w:sz w:val="14"/>
                <w:szCs w:val="14"/>
                <w:color w:val="auto"/>
              </w:rPr>
              <w:t>Operation</w:t>
            </w:r>
          </w:p>
        </w:tc>
        <w:tc>
          <w:tcPr>
            <w:tcW w:w="88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April 28, 2019 *</w:t>
            </w: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12,391,160</w:t>
            </w:r>
          </w:p>
        </w:tc>
        <w:tc>
          <w:tcPr>
            <w:tcW w:w="3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43,694</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115,579</w:t>
            </w:r>
          </w:p>
        </w:tc>
        <w:tc>
          <w:tcPr>
            <w:tcW w:w="78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40</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$ 159,933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4,314</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$ 164,247</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1,338</w:t>
            </w:r>
          </w:p>
        </w:tc>
        <w:tc>
          <w:tcPr>
            <w:tcW w:w="7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1,174</w:t>
            </w:r>
          </w:p>
        </w:tc>
      </w:tr>
      <w:tr>
        <w:trPr>
          <w:trHeight w:val="229"/>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vesting of performance based restricted</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units</w:t>
            </w: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12,776</w:t>
            </w:r>
          </w:p>
        </w:tc>
        <w:tc>
          <w:tcPr>
            <w:tcW w:w="3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3,659</w:t>
            </w:r>
          </w:p>
        </w:tc>
        <w:tc>
          <w:tcPr>
            <w:tcW w:w="34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surrendered for</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3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7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contribution from non-controlling</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associated with discontinued</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operation</w:t>
            </w: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August 4, 2019</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12,405,014</w:t>
            </w:r>
          </w:p>
        </w:tc>
        <w:tc>
          <w:tcPr>
            <w:tcW w:w="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43,803</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115,676</w:t>
            </w:r>
          </w:p>
        </w:tc>
        <w:tc>
          <w:tcPr>
            <w:tcW w:w="7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46</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$ 160,146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4,190</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$ 164,336</w:t>
            </w:r>
          </w:p>
        </w:tc>
      </w:tr>
      <w:tr>
        <w:trPr>
          <w:trHeight w:val="20"/>
        </w:trPr>
        <w:tc>
          <w:tcPr>
            <w:tcW w:w="3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consolidated financial statements of Culp, Inc. and its majority-owned subsidiaries (the “company”) include all adjustments, which are, in the opinion of management, necessary for fair presentation of the results of operations and financial position. All of these adjustments are of a normal recurring nature. Results of operations for interim periods may not be indicative of future results. The unaudited consolidated financial statements should be read in conjunction with the audited consolidated financial statements, which are included in the company’s annual report on Form 10-K filed with the Securities and Exchange Commission on July 17, 2020, for the fiscal year ended May 3,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three-months ended August 2, 2020, and August 4, 2019, represent 13-week and 14-week periods,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August 2, 2020, there were no changes in the nature of our significant accounting policies or the application of those policies from those reported in our annual report on Form 10-K for the year then ended May 3,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Expected Credit Losses (CECL)</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June 2016, the FASB issued ASU No. 2016-13,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xml:space="preserve"> (Topic 326): </w:t>
      </w:r>
      <w:r>
        <w:rPr>
          <w:rFonts w:ascii="Times New Roman" w:cs="Times New Roman" w:eastAsia="Times New Roman" w:hAnsi="Times New Roman"/>
          <w:sz w:val="20"/>
          <w:szCs w:val="20"/>
          <w:i w:val="1"/>
          <w:iCs w:val="1"/>
          <w:color w:val="auto"/>
        </w:rPr>
        <w:t>Measurement of Credit Losses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which requires entities to use a forward looking approach based on expected losses to estimate credit losses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types of financial 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adopted the provisions of Topic 326 on May 4, 2020 and applied this guidance during the first quarter of fiscal 2021. The adoption of Topic 326 did not have an impact on our financial position, results of operations, or cash flows. See notes 4 and 11 of our consolidated financial statements for further details of the adoption of CECL as of May 4, 2020 and our assessments and conclusions as of August 2, 2020.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has considered all recent accounting pronouncements and currently believes there are no recent accounting pronouncements that may have a material impact on our Consolidated Financial Statements.</w:t>
      </w:r>
    </w:p>
    <w:p>
      <w:pPr>
        <w:spacing w:after="0" w:line="128"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HOME ACCESSORIES SEGMENT – DISCONTINUED OPERATION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31, 2020, we sold our entire ownership interest in eLuxury, LLC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which was part of our comprehensive response to the challenging business conditions arising from the COVID-19 global pandemic, is expected to increase our liquidity and allows us to focus on our core businesses of upholstery and mattress fabrics.</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 entered into an amended and restated credit and security agreement with eLuxury and the buyer (the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$1 million we previously loaned to eLuxury and the outstanding trade accounts payable balance of $613,000 due from eLuxury to us has been paid in full in accordance with the terms of the sale agreement outlined above.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Discontinued Operation Financial Statement Presentation and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 Presentation</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Due to the sale of our entire ownership interest in eLuxury, our home accessories segment was eliminated. This sale (and the resulting elimination of the home accessories segment) was the result of our strategic decision to focus on our core business products, which we believe will increase our liquidity and assist with our comprehensive response to the COVID-19 global pandemic. Consequently, we determined that the results from operations and assets and liabilities associated with our home accessories segment were to be excluded from our continuing operations and presented as a discontinued operation in our consolidated financial statements in accordance with ASC Topic 205-20-45. As a result, we classified the results from operations of our home accessories segment separately in captions titled “Discontinued Operations” on our Consolidated Statement of Net Income for the three-months ending August 4, 2019. Additionally, assets and liabilities associated with our home accessories segment as of August 4, 2019, were reclassified from certain amounts reported in the prior period to present separately in captions titled “current assets – discontinued operation”, “noncurrent assets – discontinued operation”, “current liabilities -discontinued operation”, and “noncurrent liabilities – discontinued operation” to conform to current year financial statement presentation.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assets and liabilities of the disposal group that are presented separately as a discontinued operation on the Consolidated Balance Sheet as of August 4,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August 4,</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 - discontinued operation</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23"/>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goodwill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30"/>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 of use asset</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noncurrent assets - discontinued operation</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23,058</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26,615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NET ASSETS</w:t>
            </w: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7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 - discontinued operation</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3"/>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payable - Culp Inc.</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subordinated loan payable - noncontrolling interest</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operating lease liability - long-term</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noncurrent liabilities - discontinued operation</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net assets of discontinued operation</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21,585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Net Loss from Discontinued Operation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major classes of financial statement line items constituting loss before income taxes from discontinued operation that are presented in the Consolidated Statements of Net Income for the three-months ending August 4,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August 4,</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2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(1)</w:t>
            </w:r>
          </w:p>
        </w:tc>
        <w:tc>
          <w:tcPr>
            <w:tcW w:w="2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05"/>
        </w:trPr>
        <w:tc>
          <w:tcPr>
            <w:tcW w:w="632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loss before income taxes from discontinued</w:t>
            </w:r>
          </w:p>
        </w:tc>
        <w:tc>
          <w:tcPr>
            <w:tcW w:w="2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0" w:type="dxa"/>
            <w:vAlign w:val="bottom"/>
          </w:tcPr>
          <w:p>
            <w:pPr>
              <w:spacing w:after="0"/>
              <w:rPr>
                <w:sz w:val="1"/>
                <w:szCs w:val="1"/>
                <w:color w:val="auto"/>
              </w:rPr>
            </w:pPr>
          </w:p>
        </w:tc>
      </w:tr>
      <w:tr>
        <w:trPr>
          <w:trHeight w:val="234"/>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operation</w:t>
            </w:r>
          </w:p>
        </w:tc>
        <w:tc>
          <w:tcPr>
            <w:tcW w:w="2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2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line="269"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is directly attributable to our discontinued operations as it pertains to loans payable assumed by the buyer, (the former noncontrolling interest holder) or required to be paid to Culp Inc. based on the terms of the sale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is a summary of net (loss) income from continuing operations, net loss from discontinued operation, and net (loss) income attributable to Culp Inc. common shareholders and the noncontrolling interest associated with our discontinued operation for the three-months ending August 2, 2020, and August 4,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36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August 4,</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(2,733)</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 attributable to</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income from continuing operations attributable</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(2,733)</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Culp Inc. common shareholders</w:t>
            </w: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from discontinued operation attributable to</w:t>
            </w:r>
          </w:p>
        </w:tc>
        <w:tc>
          <w:tcPr>
            <w:tcW w:w="26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discontinued operation attributable to Culp Inc.</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6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(2,733)</w:t>
            </w: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noncontrolling interest associated with a</w:t>
            </w:r>
          </w:p>
        </w:tc>
        <w:tc>
          <w:tcPr>
            <w:tcW w:w="260" w:type="dxa"/>
            <w:vAlign w:val="bottom"/>
          </w:tcPr>
          <w:p>
            <w:pPr>
              <w:spacing w:after="0"/>
              <w:rPr>
                <w:sz w:val="17"/>
                <w:szCs w:val="17"/>
                <w:color w:val="auto"/>
              </w:rPr>
            </w:pPr>
          </w:p>
        </w:tc>
        <w:tc>
          <w:tcPr>
            <w:tcW w:w="14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Culp Inc.</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(2,733)</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Disclosures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discontinued operation had net cash used in operating activities totaling $1.4 million during the three-months ending August 4, 2019. Our discontinued operation did not have any net cash (used in) or provided by investing activities during the three-months ending August 4, 2019. Our discontinued operation had net cash provided by financing activities, all of which were loan proceeds and capital contributions from Culp, Inc. and the noncontrolling interest holder of eLuxury, totaling $1.4 million during the three-months ending August 4, 2019. We believe our liquidity will improve in the absence of our former home accessories segment due to the significant losses that were incurred by that segment and the funding of its working capital requirements primarily by us through loans and capital contributions that will no longer be required.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 w:name="page12"/>
    <w:bookmarkEnd w:id="11"/>
    <w:p>
      <w:pPr>
        <w:ind w:right="1680"/>
        <w:spacing w:after="0" w:line="431" w:lineRule="auto"/>
        <w:rPr>
          <w:sz w:val="20"/>
          <w:szCs w:val="20"/>
          <w:color w:val="auto"/>
        </w:rPr>
      </w:pPr>
      <w:r>
        <w:rPr>
          <w:rFonts w:ascii="Times New Roman" w:cs="Times New Roman" w:eastAsia="Times New Roman" w:hAnsi="Times New Roman"/>
          <w:sz w:val="20"/>
          <w:szCs w:val="20"/>
          <w:b w:val="1"/>
          <w:bCs w:val="1"/>
          <w:color w:val="auto"/>
        </w:rPr>
        <w:t xml:space="preserve">Continuing Obligations, Financial Commitments, and Continuing Relationships with the Discontinued Operation </w:t>
      </w:r>
      <w:r>
        <w:rPr>
          <w:rFonts w:ascii="Times New Roman" w:cs="Times New Roman" w:eastAsia="Times New Roman" w:hAnsi="Times New Roman"/>
          <w:sz w:val="20"/>
          <w:szCs w:val="20"/>
          <w:color w:val="auto"/>
        </w:rPr>
        <w:t>Supply and Royalty Agreements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sale of our entire ownership interest in eLuxury,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fabrics products of the type we were supplying to eLuxury at the time of the sale transaction, as well as certain home accessories and soft goods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which we referred to eLuxury prior to the sale transaction and new customer relationships we develop for eLuxury going forward, as well of eLuxury products generated by sales representatives that we develop or introduce to eLuxury.</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no guarantees or provisions under either the supply or royalty agreements that require eLuxury to purchase a minimum amount of our products or sell a certain amount of eLuxury products to customer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their business-business sales platform.</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for our Consolidated Statement of Income for the three-months ending August 4, 2019. Therefore, we reported both net sales and cost of sales from continuing operations totaling $174,000 during the three-months ending August 4, 2019, that were previously eliminated in consolidation.</w:t>
      </w:r>
    </w:p>
    <w:p>
      <w:pPr>
        <w:spacing w:after="0" w:line="12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three-months ending August 2, 2020, shipments to eLuxury under the supply arrangement totaled $244,000. During the three-months ending August 2, 2020, we received payments pursuant to the royalty agreement totaling $17,000.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Guarantee</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Additionally, eLuxury, and its sole owner following the sale transaction, have indemnified us from any liabilities and obligations that we would be required to pay regarding this lease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August 2, 2020</w:t>
            </w:r>
          </w:p>
        </w:tc>
        <w:tc>
          <w:tcPr>
            <w:tcW w:w="30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2"/>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7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472</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20" w:type="dxa"/>
            <w:vAlign w:val="bottom"/>
          </w:tcPr>
          <w:p>
            <w:pPr>
              <w:spacing w:after="0"/>
              <w:rPr>
                <w:sz w:val="19"/>
                <w:szCs w:val="19"/>
                <w:color w:val="auto"/>
              </w:rPr>
            </w:pPr>
          </w:p>
        </w:tc>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write-offs, net of recoveries</w:t>
            </w:r>
          </w:p>
        </w:tc>
        <w:tc>
          <w:tcPr>
            <w:tcW w:w="26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three-months ended August 2, 2020, we assessed the credit risk of our customers within our accounts receivable. Our risk assessment includes the respective customer’s (i) financial position; (ii) past payment history; (iii) management’s general ability; (iv) historical loss experience; and (v) the ongoing economic uncertainty associated with the COVID-19 global pandemic. After our risk assessment was completed, we assigned credit grades to our customers, which in turn, were used to determine our allowance for doubtful accounts totaling $552,000 as of August 2, 2020.</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5.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Continuing Operations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Additionally, Read Window Products LLC (“Read”), a wholly-owned subsidiary, is a turn-key provider of window treatments and sourcing of upholstery fabrics and other products, as well as measuring, and installation services of Read’s products for the hospitality and commercial industries. Read also supplies soft goods such as decorative top sheets, coverlets, duvet covers, bed skirts, bolsters, and pillows. Read is included in the upholstery fabrics segment.</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of Read’s own products associated with window treatments.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Discontinued Operation – Home Accessories Segment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are presented as a discontinued operation in our consolidated financial statements.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Prior to its disposal, our former home accessories segment reported net sales totaling $4.3 million during the first quarter of fiscal 2020. Revenue associated with the sales of home accessories products was recognized at the point-in-time when control was transferred to the customer.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For a limited time, extended terms were granted to certain customers in response to the challenging business conditions resulting from the COVID-19 global pandemic. Our customary terms, as well as the limited extended terms, are common within the industries in which we operate and are not considered financing arrangements. There were no contract assets recognized as of August 2, 2020, August 4, 2019, and May 3, 2020.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summary of the activity associated with deferred revenue for the three-month periods ended August 2, 2020, and August 4, 2019,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August 2, 2020</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8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776</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768</w:t>
            </w:r>
          </w:p>
        </w:tc>
      </w:tr>
      <w:tr>
        <w:trPr>
          <w:trHeight w:val="210"/>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685</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684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August 2,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36,103</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26,061</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62,164</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2,300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2,300</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36,103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28,361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64,464</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 w:name="page14"/>
    <w:bookmarkEnd w:id="13"/>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August 4,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38,859</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29,827</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68,686</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2,033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2,033</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38,859</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31,860</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70,719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August 4, 2019</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7,742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6,467</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7,823</w:t>
            </w: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264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2,292</w:t>
            </w:r>
          </w:p>
        </w:tc>
        <w:tc>
          <w:tcPr>
            <w:tcW w:w="2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1,958</w:t>
            </w:r>
          </w:p>
        </w:tc>
      </w:tr>
      <w:tr>
        <w:trPr>
          <w:trHeight w:val="216"/>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6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30,368</w:t>
            </w: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41,516</w:t>
            </w: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38,126</w:t>
            </w:r>
          </w:p>
        </w:tc>
      </w:tr>
      <w:tr>
        <w:trPr>
          <w:trHeight w:val="212"/>
        </w:trPr>
        <w:tc>
          <w:tcPr>
            <w:tcW w:w="39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40,402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50,660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47,907</w:t>
            </w:r>
          </w:p>
        </w:tc>
      </w:tr>
    </w:tbl>
    <w:p>
      <w:pPr>
        <w:spacing w:after="0" w:line="198" w:lineRule="exact"/>
        <w:rPr>
          <w:sz w:val="20"/>
          <w:szCs w:val="20"/>
          <w:color w:val="auto"/>
        </w:rPr>
      </w:pPr>
    </w:p>
    <w:p>
      <w:pPr>
        <w:ind w:left="720" w:hanging="361"/>
        <w:spacing w:after="0" w:line="261"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4, 2019, inventory totaled $50.7 million, of which $47.6 million and $3.1 million were classified as inventory and within current assets – discontinued operation, respectively, in the accompanying Consolidated Balance Sheet</w:t>
      </w:r>
      <w:r>
        <w:rPr>
          <w:rFonts w:ascii="Times New Roman" w:cs="Times New Roman" w:eastAsia="Times New Roman" w:hAnsi="Times New Roman"/>
          <w:sz w:val="19"/>
          <w:szCs w:val="19"/>
          <w:color w:val="auto"/>
        </w:rPr>
        <w:t>.</w:t>
      </w:r>
    </w:p>
    <w:p>
      <w:pPr>
        <w:ind w:left="200" w:hanging="192"/>
        <w:spacing w:after="0"/>
        <w:tabs>
          <w:tab w:leader="none" w:pos="2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4, 2019</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Tradenames</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r>
      <w:tr>
        <w:trPr>
          <w:trHeight w:val="21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2,162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2,238</w:t>
            </w: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 net</w:t>
            </w:r>
          </w:p>
        </w:tc>
        <w:tc>
          <w:tcPr>
            <w:tcW w:w="2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584</w:t>
            </w: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602</w:t>
            </w:r>
          </w:p>
        </w:tc>
      </w:tr>
      <w:tr>
        <w:trPr>
          <w:trHeight w:val="212"/>
        </w:trPr>
        <w:tc>
          <w:tcPr>
            <w:tcW w:w="4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3,380</w:t>
            </w:r>
          </w:p>
        </w:tc>
      </w:tr>
    </w:tbl>
    <w:p>
      <w:pPr>
        <w:spacing w:after="0" w:line="193" w:lineRule="exact"/>
        <w:rPr>
          <w:sz w:val="20"/>
          <w:szCs w:val="20"/>
          <w:color w:val="auto"/>
        </w:rPr>
      </w:pPr>
    </w:p>
    <w:p>
      <w:pPr>
        <w:ind w:left="360" w:hanging="352"/>
        <w:spacing w:after="0" w:line="269"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of August 4, 2019, intangible assets totaled $10.4 million, of which $3.8 million and $6.6 million were classified as intangible assets and within noncurrent assets – discontinued operation, respectively, in the accompanying Consolidated Balance Sheets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tradename totaling $540,000 as of August 2, 2020, pertained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August 2, 2020, no indicators of impairment existed.</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However, during our annual assessment as of May 3, 2020, we performed a qualitative assessment in which we concluded that it was more-likely-than-not that the fair value of Read’s tradename was less than its carrying amount. This conclusion was based on impairment indicators that existed, such as our unfavorable financial performance during the fourth quarter of fiscal 2020 and the significant decline in the price per share of our common stock and market capitalization stemming from the COVID-19 global pandemic. Since we determined it was more-likely-than-not that the fair market value of Read’s tradename was less than its carrying amount, we performed a quantitative impairment test. Our quantitative impairment test involved determining the fair value of Read’s tradename and comparing the respective fair value of Read’s tradename with its carrying amount. Consequently, based on our quantitative impairment test, we recorded an asset impairment charge totaling $143,000 during the fourth quarter of fiscal 2020.</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our quantitative impairment test, we determined the fair value of our tradename was $540,000 using the relief from royalty method. This method used significant unobservable inputs and therefore, the fair value of our tradename was classified as level 3 within the fair value hierarchy.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August 2, 2020</w:t>
            </w: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2,238</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2,538</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2,162</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2,463</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were $3.1 million as of August 2, 2020, August 4, 2019, and May 3, 2020, respectively. Accumulated amortization for these customer relationships were $953,000, $652,000 and $877,000 at August 2, 2020, August 4, 2019, and May 3, 2020, respectively.</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follows: FY 2021 - $226,000; FY 2022 - $301,000; FY 2023 - $301,000; FY 2024 - $301,000; FY 2025 - $301,000; and thereafter - $732,000.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is 7.4 years as of August 2,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August 2, 2020</w:t>
            </w:r>
          </w:p>
        </w:tc>
        <w:tc>
          <w:tcPr>
            <w:tcW w:w="2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659</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non-compete agreement is amortized on a straight-line basis over the fifteen-year life of the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August 2, 2020, August 4, 2019, and May 3, 2020, respectively. Accumulated amortization for our non-compete agreement was $1.5 million as of August 2, 2020, $1.4 million as of August 4, 2019, and $1.4 million as of May 3, 2020.</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2021 - $56,000; FY 2022 - $76,000; FY 2023 - $76,000; FY 2024 - $76,000; FY 2025 - $76,000, and Thereafter - $224,000.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is 7.8 years as of August 2,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Investment in Unconsolidated Joint Venture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Culp International Holdings, Ltd. (Culp International), a wholly-owned subsidiary of the company, entered into a joint venture agreement pursuant to which Culp International owns fifty percent of Class International Holdings, Ltd. (CLIH). CLIH produces cut and sewn mattress covers in an 80,000 square foot facility located in a modern industrial park on the northeastern border of Haiti, which borders the Dominican Republic. CLIH complements our mattress fabric operations with a reactive platform that enhances our ability to meet customer demand while adding a lower cost operation to our platform.</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December 20, 2019, CLIH entered into an agreement to construct an additional plant facility totaling 40,000 square feet, which is currently expected to be completed during the second quarter of fiscal 2021. This new plant facility will be near our existing operations and will provide additional capacity that will enhance our ability to produce sewn covers. This agreement requires payments totaling $1.2 million, of which $600,000 was paid in February 2020, $180,000 was paid May 2020, and the remaining balance of $420,000 is to be paid upon completion.</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CLIH reported net income totaling $134,000 and $26,000 for the three-month periods ending August 2, 2020, and August 4, 2019, respectively. Our equity interest in CLIH’s net income was $67,000 and $13,000 for the three-month periods ending August 2, 2020, and August 4, 2019, respectively.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The following table summarizes information on assets, liabilities, and members’ equity of our equity method investment in CLIH: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4,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3,668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3,161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3,338</w:t>
            </w: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4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3,519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3,041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3,205</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August 2, 2020, August 4, 2019, and May 3, 2020, our investment in CLIH totaled $1.8 million, $1.5 million, and $1.6 million, respectively, which represents the company’s fifty percent ownership interest in CLIH.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4,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3,493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3,038</w:t>
            </w: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8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8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3,420</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5,393</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2,807</w:t>
            </w:r>
          </w:p>
        </w:tc>
      </w:tr>
      <w:tr>
        <w:trPr>
          <w:trHeight w:val="209"/>
        </w:trPr>
        <w:tc>
          <w:tcPr>
            <w:tcW w:w="49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7,969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8,899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5,854</w:t>
            </w:r>
          </w:p>
        </w:tc>
      </w:tr>
    </w:tbl>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August 2, 2020, we had accrued expenses totaling $8.0 million, of which $7.9 million and $117,000 were classified as current accrued expenses and long-term accrued expenses, respectively, in the accompanying Consolidated Balance Sheets. As of August 4, 2019, we had accrued expenses totaling $8.9 million, of which $8.1 million, $333,000, and $462,000 were classified as current accrued expenses, long-term accrued expenses, and current liabilities – discontinued operation, respectively, in the accompanying Consolidated Balance Sheets. As of May 3, 2020, we had accrued expenses totaling $5.9 million, of which $5.7 million and $167,000 were classified as current accrued expenses and long-term accrued expenses, respectively, in the accompanying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Lines of Credit and Paycheck Protection Program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Credit Agreement with Wells Fargo Bank, N.A. (“Wells Fargo”) provides a revolving loan commitment of $30 million, is set to expire on August 15, 2022, and allows us to issue letters of credit not to exceed $1 million.</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Interest is charged at a rate (applicable interest rate of 1.75%, 3.68%, and 1.75% as of August 2, 2020, August 4, 2019, and May 3, 2020, respectively) as a variable spread over LIBOR based on our ratio of debt to EBITDA.</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Outstanding borrowings are secured by a pledge of 65% of the common stock of Culp International Holdings Ltd. (our subsidiary located in the Cayman Islands), as required by the Credit Agreement.</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COVID-19 global pandemic and the uncertainty relating to the unknown duration and overall effect on the company, we proactively took a precautionary measure and borrowed the maximum amount available from this line of credit during the fourth quarter of fiscal 2020. Consequently, we had outstanding borrowings of $29.8 million under the Credit Agreement as of May 3, 2020. During June 2020, we repaid the entire $29.8 million outstanding balance, and as a result, there were no borrowings outstanding under the Credit Agreement as of August 2, 2020. Additionally, there were no borrowings outstanding under the Credit Agreement as of August 4, 2019.</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August 4, 2019, and May 3, 2020, there were $250,000 in outstanding letters of credit (all of which related to workers compensation) provided by the Credit Agreement. As of August 2, 2020, we had $750,000 remaining for the issuance of additional letters of credit.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Seventh Amendment to the Credit Agreement</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June 30, 2020, we entered into a Seventh Amendment to our Credit Agreement which includes provisions that (i) modify the method for calculating the company’s debt to EBITDA covenant under the Credit Agreement solely during the temporary period beginning on the date of the Seventh Amendment and ending on the Rate Determination Date (as defined in the Credit Agreement), next following the end of the company’s fiscal 2021 fourth quarter (such temporary period, the “Modification Period,”), and (ii) amend the pricing matrix used to determine the interest rate payable on loans made under the Credit Agreement solely during the Modification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20"/>
          <w:szCs w:val="20"/>
          <w:color w:val="auto"/>
        </w:rPr>
        <w:t>Specifically, the Seventh Amendment provides that during Modification Period, the company’s ratio of debt to EBITDA shall be determined by excluding the fourth quarter of fiscal 2020 from the calculation thereof, such that the ratio shall be determined using the four most recent quarterly periods other than (i.e. excluding) the fourth quarter of fiscal 2020, rather than calculating on a rolling four-quarter basis. It further provides that during the Modification Period, the Applicable Margin (as defined in the Credit Agreement) set forth the pricing matrix is increased to 1.6% for price level I, 2.05% for price level II, 2.5% for price level III, and 3.00% for price level IV.</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the Seventh Amendment (i) changes the capital expenditure covenant by reducing permitted annual capital expenditures to $10 million during fiscal year 2021, (ii) changes the liens and other indebtedness covenant to reduce the permitted amount of allowable liens and other indebtedness to 5% of consolidated net worth, and (iii) adds a new covenant that prohibits the company, solely during the Modification Period, from paying dividends or repurchasing stock in excess of $10 million in the aggregate during the Modification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China</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an unsecured credit agreement associated with our operations in China that provides for a line of credit up to 40 million RMB’s ($5.7 million USD as of August 2, 2020). This agreement has an interest rate determined by the Chinese government at the time of borrowing and is set to expire on December 4, 2020. As of May 3, 2020, there were outstanding borrowings under the agreement totaling $1.0 million, at an applicable interest rate of 2.41%. During June 2020, we repaid the entire $1.0 million outstanding balance, and as a result, there were no borrowings outstanding under the agreement as of August 2, 2020. Additionally, there were no borrowings outstanding under the agreement as of August 4,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Small Business Administration - Paycheck Protection Program</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April 15, 2020, we received a loan of $7.6 million (the “Loan”) pursuant to the U.S. Small Business Administration (the “SBA”) Paycheck Protection Program (the “PPP”) of the Coronavirus Aid, Relief and Economic Security Act of 2020 (the “CARES Act”). We planned to use the proceeds from the Loan for covered payroll costs, rent, and utilities in accordance with the applicable terms and conditions of the CARES Act. We believed the Loan would enable us to retain more of our employees, maintain payroll and benefits, and make lease and utility payments while producing and supplying critical products for essential businesses during the COVID-19 global pandemic.</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our application and receipt of the Loan, the SBA and U.S. Treasury Department issued new guidance regarding eligibility requirements under the PPP, raising questions regarding the eligibility of publicly traded companies to receive loans under the program. As a result, out of an abundance of caution, we voluntarily repaid the Loan in full on May 13,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August 2, 2020, we were in compliance with these financial covenants.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 of Financial Instruments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assets measured at fair value on a recurring basis:</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Fair value measurements as of August 2, 2020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4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Significant</w:t>
            </w:r>
          </w:p>
        </w:tc>
        <w:tc>
          <w:tcPr>
            <w:tcW w:w="1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5"/>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Significant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unobservable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639"/>
              <w:spacing w:after="0"/>
              <w:rPr>
                <w:sz w:val="20"/>
                <w:szCs w:val="20"/>
                <w:color w:val="auto"/>
              </w:rPr>
            </w:pPr>
            <w:r>
              <w:rPr>
                <w:rFonts w:ascii="Times New Roman" w:cs="Times New Roman" w:eastAsia="Times New Roman" w:hAnsi="Times New Roman"/>
                <w:sz w:val="16"/>
                <w:szCs w:val="16"/>
                <w:color w:val="auto"/>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inputs</w:t>
            </w: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inputs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Level 2</w:t>
            </w: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7,533</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7,533</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Bond Funds</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983</w:t>
            </w:r>
          </w:p>
        </w:tc>
        <w:tc>
          <w:tcPr>
            <w:tcW w:w="14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983</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246</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71</w:t>
            </w:r>
          </w:p>
        </w:tc>
        <w:tc>
          <w:tcPr>
            <w:tcW w:w="14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66</w:t>
            </w:r>
          </w:p>
        </w:tc>
        <w:tc>
          <w:tcPr>
            <w:tcW w:w="1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r>
      <w:tr>
        <w:trPr>
          <w:trHeight w:val="452"/>
        </w:trPr>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August 4, 2019 using:</w:t>
            </w:r>
          </w:p>
        </w:tc>
        <w:tc>
          <w:tcPr>
            <w:tcW w:w="960" w:type="dxa"/>
            <w:vAlign w:val="bottom"/>
            <w:tcBorders>
              <w:bottom w:val="single" w:sz="8" w:color="auto"/>
            </w:tcBorders>
          </w:tcPr>
          <w:p>
            <w:pPr>
              <w:spacing w:after="0"/>
              <w:rPr>
                <w:sz w:val="24"/>
                <w:szCs w:val="24"/>
                <w:color w:val="auto"/>
              </w:rPr>
            </w:pPr>
          </w:p>
        </w:tc>
      </w:tr>
      <w:tr>
        <w:trPr>
          <w:trHeight w:val="207"/>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4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Significant</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Significant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unobservable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639"/>
              <w:spacing w:after="0"/>
              <w:rPr>
                <w:sz w:val="20"/>
                <w:szCs w:val="20"/>
                <w:color w:val="auto"/>
              </w:rPr>
            </w:pPr>
            <w:r>
              <w:rPr>
                <w:rFonts w:ascii="Times New Roman" w:cs="Times New Roman" w:eastAsia="Times New Roman" w:hAnsi="Times New Roman"/>
                <w:sz w:val="16"/>
                <w:szCs w:val="16"/>
                <w:color w:val="auto"/>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inputs</w:t>
            </w: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inputs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Level 2</w:t>
            </w: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6,920</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6,920</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213</w:t>
            </w:r>
          </w:p>
        </w:tc>
        <w:tc>
          <w:tcPr>
            <w:tcW w:w="14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130</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16"/>
        </w:trPr>
        <w:tc>
          <w:tcPr>
            <w:tcW w:w="3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84</w:t>
            </w:r>
          </w:p>
        </w:tc>
        <w:tc>
          <w:tcPr>
            <w:tcW w:w="142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r>
      <w:tr>
        <w:trPr>
          <w:trHeight w:val="452"/>
        </w:trPr>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Fair value measurements as of May 3, 2020 using:</w:t>
            </w:r>
          </w:p>
        </w:tc>
        <w:tc>
          <w:tcPr>
            <w:tcW w:w="960" w:type="dxa"/>
            <w:vAlign w:val="bottom"/>
            <w:tcBorders>
              <w:bottom w:val="single" w:sz="8" w:color="auto"/>
            </w:tcBorders>
          </w:tcPr>
          <w:p>
            <w:pPr>
              <w:spacing w:after="0"/>
              <w:rPr>
                <w:sz w:val="24"/>
                <w:szCs w:val="24"/>
                <w:color w:val="auto"/>
              </w:rPr>
            </w:pPr>
          </w:p>
        </w:tc>
      </w:tr>
      <w:tr>
        <w:trPr>
          <w:trHeight w:val="207"/>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4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Significant</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Significant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4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unobservable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639"/>
              <w:spacing w:after="0"/>
              <w:rPr>
                <w:sz w:val="20"/>
                <w:szCs w:val="20"/>
                <w:color w:val="auto"/>
              </w:rPr>
            </w:pPr>
            <w:r>
              <w:rPr>
                <w:rFonts w:ascii="Times New Roman" w:cs="Times New Roman" w:eastAsia="Times New Roman" w:hAnsi="Times New Roman"/>
                <w:sz w:val="16"/>
                <w:szCs w:val="16"/>
                <w:color w:val="auto"/>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inputs</w:t>
            </w: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inputs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Level 2</w:t>
            </w: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7,496</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7,496</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Bond Funds</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923</w:t>
            </w:r>
          </w:p>
        </w:tc>
        <w:tc>
          <w:tcPr>
            <w:tcW w:w="14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219</w:t>
            </w:r>
          </w:p>
        </w:tc>
        <w:tc>
          <w:tcPr>
            <w:tcW w:w="1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63</w:t>
            </w:r>
          </w:p>
        </w:tc>
        <w:tc>
          <w:tcPr>
            <w:tcW w:w="14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56</w:t>
            </w:r>
          </w:p>
        </w:tc>
        <w:tc>
          <w:tcPr>
            <w:tcW w:w="1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Investments – Available for Sale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short-term investments classified as available for sale consisted of a short-term mutual bond funds and had an accumulated unrealized gain totaling $6,000 as of August 2, 2020, and $9,000, as of May 3, 2020. Our short-term investments classified as available for sale were recorded at their fair values of $983,000, and $923,000 as of August 2, 2020, and May 3, 2020, respectively. As of August 2, 2020, and May 3, 2020, the fair value of our short-term investments approximated their cost basis. There were no short-term investments classified as available for sale on August 4,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and Long-Term Investments - Held-To-Maturity</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investments classified as held-to-maturity consisted of investment grade U.S. corporate bonds, foreign bonds, and government bonds with original maturities that range from 2 to 10 years, all of which have remaining maturities of less than 2 years as of August 2, 2020.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recorded amortized cost.</w:t>
      </w:r>
    </w:p>
    <w:p>
      <w:pPr>
        <w:spacing w:after="0" w:line="14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of August 2, 2020, and May 3, 2020, our held-to-maturity investments recorded at amortized cost totaled $6.4 million and $6.3 million, respectively. The fair value of our held-to-maturity investments as of August 2, 2020, and May 3, 2020, totaled $6.5 million and $6.4 million, respectively. There were no investments classified as held-to-maturity on August 4, 2019.</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bond investments were classified as level 2 as they were traded over the counter within a broker network and not on an active market. The fair value of our bond investments were determined based on a published source that provided an average bid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8" w:name="page19"/>
    <w:bookmarkEnd w:id="18"/>
    <w:p>
      <w:pPr>
        <w:jc w:val="both"/>
        <w:spacing w:after="0" w:line="269" w:lineRule="auto"/>
        <w:rPr>
          <w:sz w:val="20"/>
          <w:szCs w:val="20"/>
          <w:color w:val="auto"/>
        </w:rPr>
      </w:pPr>
      <w:r>
        <w:rPr>
          <w:rFonts w:ascii="Times New Roman" w:cs="Times New Roman" w:eastAsia="Times New Roman" w:hAnsi="Times New Roman"/>
          <w:sz w:val="20"/>
          <w:szCs w:val="20"/>
          <w:color w:val="auto"/>
        </w:rPr>
        <w:t>price. The average bid price was based on various broker prices that were determined based on market conditions, interest rates, and the rating of the respective bond investment.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Expected Credit Loses (CECL)- Available for Sale and Held-To-Maturity Investments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May 4, 2020, we did not have an allowance for credit losses related to our short-term available for sale and held-to-maturity investments, which are comprised mostly of fixed income securities that are predominantly high-grade U.S. and foreign corporate bonds, U.S. Treasury bonds, and short-term mutual bond funds.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our adoption of Topic 326 effective May 4, 2020, we determined that our credit loss exposure was immaterial due to the short-term nature of our mutual bond funds and we have experienced historically low unrealized losses and gains during past reporting periods. In addition, it is not our intention to sell or likely that we will be required to sell our held-to-maturity investments before the recovery of their amortized cost basis.</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we reported an accumulated unrealized gain of $6,000 associated with our short-term investments classified as available for sale. As mentioned above, it is not our intention to sell or is likely that we will be required to sell our held-to-maturity investments before the recovery of their amortized cost basis. Accordingly, we did not record any credit loss expense during the three-months ending August 2,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to set aside funds for participants of our deferred compensation plan (the “Plan”), which enables its participants to credit their contributions to various investment options of the Plan. The investments associated with the rabbi trust consist of a money market fund and various mutual funds that are classified as available for sale.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long-term investments associated with our rabbi trust were recorded at their fair values of $7.9 million, $7.3 million, and $7.8 million as of August 2, 2020, August 4, 2019, and May 3, 2020, respectively. The long-term investments associated with our rabbi trust had an accumulated unrealized gain of $53,000 as of August 2, 2020, an unrealized gain of $46,000 as of August 4, 2019, and an unrealized loss of $19,000 as of May 3, 2020. The fair value of our long-term investments associated with our rabbi trust approximates their cost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approximates fair value because of the short maturity of these financial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Nonrecurring Basis – Fourth Quarter Fiscal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Continuing Operations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accordance with ASC Topic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xml:space="preserve"> we are required to assess our goodwill and tradename for impairment annually or between annual tests if we believe indicators of impairment exist. Accordingly, we performed our annual assessment of goodwill associated with our mattress fabrics segment and goodwill and tradename affiliated with Read as of May 3, 2020. Based on our qualitative assessment we concluded that impairment indicators existed, such as our unfavorable financial performance during the fourth quarter of fiscal 2020 and the significant decline in the price per share of our common stock and market capitalization stemming from the COVID-19 global pandemic. As a result, we determined it was more-likely-than-not that the goodwill associated with our mattress fabrics segment and the goodwill and tradename affiliated with Read were impaired, and therefore, we conducted quantitative asset impairment tests. Consequently, based on the results of our quantitative asset impairment tests as of May 3, 2020, we recorded an asset impairment charge totaling $13.6 million during our fourth quarter of fiscal 2020 for the entire carrying amount of our goodwill associated with our mattress fabrics segment and Read. Additionally, we recorded an asset impairment charge of $143,000 during the fourth quarter of fiscal 2020 which reduced the carrying amount of Read’s tradename to its fair value of $540,000.</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fair values associated with our goodwill and tradename were determined using a discounted cash flow and the relief from royalty methods, respectively. These methods used significant unobservable inputs, and therefore, the fair values of our goodwill and tradename were classified within level 3 of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2020, we record asset impairment charges totaling $6.6 million, of which $4.2 million and $2.4 million were for the entire remaining carrying value associated with our former home accessories segment’s tradename and goodwill. These impairment charges were based on the expected selling price of our entire ownership interest in eLuxury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color w:val="auto"/>
        </w:rPr>
        <w:t>comparison to its carrying amount.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 eLuxury. We believe the expected selling price represents a significant observable input and therefore, the fair values of our former home accessories segment’s tradename and goodwill were classified within level 2 of the fair value hierarchy.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Cash Flow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and income taxes paid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3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2, 2020</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w:t>
            </w:r>
          </w:p>
        </w:tc>
        <w:tc>
          <w:tcPr>
            <w:tcW w:w="3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taxes (1) (2)</w:t>
            </w:r>
          </w:p>
        </w:tc>
        <w:tc>
          <w:tcPr>
            <w:tcW w:w="3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1,822</w:t>
            </w:r>
          </w:p>
        </w:tc>
      </w:tr>
    </w:tbl>
    <w:p>
      <w:pPr>
        <w:spacing w:after="0" w:line="193" w:lineRule="exact"/>
        <w:rPr>
          <w:sz w:val="20"/>
          <w:szCs w:val="20"/>
          <w:color w:val="auto"/>
        </w:rPr>
      </w:pPr>
    </w:p>
    <w:p>
      <w:pPr>
        <w:jc w:val="both"/>
        <w:ind w:left="360" w:hanging="352"/>
        <w:spacing w:after="0" w:line="246"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2017 Tax Cuts and Jobs Act,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our fiscal years 2021 and 2022, respectively. Net income taxes paid for the three-month period ending August 2, 2020, included our first 50% installment of our refundable balance totaling $746,000.</w:t>
      </w:r>
    </w:p>
    <w:p>
      <w:pPr>
        <w:spacing w:after="0" w:line="198" w:lineRule="exact"/>
        <w:rPr>
          <w:rFonts w:ascii="Times New Roman" w:cs="Times New Roman" w:eastAsia="Times New Roman" w:hAnsi="Times New Roman"/>
          <w:sz w:val="20"/>
          <w:szCs w:val="20"/>
          <w:color w:val="auto"/>
        </w:rPr>
      </w:pPr>
    </w:p>
    <w:p>
      <w:pPr>
        <w:jc w:val="both"/>
        <w:ind w:left="36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6"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tax payments totaling $9,000 during the first quarter of fiscal 2021 included income tax payments associated with our foreign jurisdictions totaling $755,000 that were mostly offset by the U.S. income tax refund of $746,000 received during the first quarter of fiscal 2021 as referenced in note (1) above. The income tax payments totaling $1.8 million during the first quarter of fiscal 2020, represented income tax payments associated with our foreign jurisdictions totaling $984,000 and a withholding tax payment of $838,000 paid to the Chinese government for earnings and profits repatriated to the U.S. parent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Income from Continuing Operations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income from continuing operations per share is computed using the weighted-average number of shares outstanding during the period. Diluted net (loss) income from continuing operations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income from continuing operations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548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August 2, 2020</w:t>
            </w:r>
          </w:p>
        </w:tc>
        <w:tc>
          <w:tcPr>
            <w:tcW w:w="1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12,287</w:t>
            </w:r>
          </w:p>
        </w:tc>
        <w:tc>
          <w:tcPr>
            <w:tcW w:w="1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12,399</w:t>
            </w:r>
          </w:p>
        </w:tc>
      </w:tr>
      <w:tr>
        <w:trPr>
          <w:trHeight w:val="213"/>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12,287</w:t>
            </w:r>
          </w:p>
        </w:tc>
        <w:tc>
          <w:tcPr>
            <w:tcW w:w="17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12,410</w:t>
            </w:r>
          </w:p>
        </w:tc>
      </w:tr>
    </w:tbl>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first quarter of fiscal 2021, 27,153 shares of unvested common stock were not included in the computation of diluted net loss from continuing operations per share, as their effect would be antidilutive as result a result of the decrease in the price per share of our common stock during the reporting period in relation to the price per share of our common stock as of the respective grant dates of our stock-based compensation awards. During the first quarter of fiscal 2021, an additional 6,675 shares of unvested common stock were not included in the computation of diluted net loss from continuing operations per share, as we incurred a net loss, in which their effect would be antidilutive. During the first quarter of fiscal 2020, 612 shares of unvested common stock were not included in the computation of diluted net income from continuing operations per share as their effect would be antidilutive, as result of the decrease in the price per share of our common stock during the reporting period in relation to the price per share of our common stock as of the respective grant dates of our stock-based compensation awards.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Continuing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upholstery fabrics segment develops, manufactures, sources, and sells fabrics primarily to residential and commercial furniture manufacturers. Additionally, the segment includes Read, a wholly-owned subsidiary, which is a turn-key provider of window treatments and sourcing of upholstery fabrics and other products, as well as measuring, and installation services of Read’s own products for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presented as a discontinued operation in our consolidated financial statements.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See Note 3 of the consolidated financial statements for detailed financial information of our former home accessories segment. As disclosed in Note 3, a reconciliation is provided that has detailed balance sheet information as of August 4, 2019, that is reconciled to captions titled “current assets – discontinued operation”, “noncurrent assets – discontinued operation”, current liabilities – discontinued operation”, and “noncurrent liabilities – discontinued operation” presented in the Consolidated Balance Sheet as of August 4, 2019. Also, a reconciliation is provided that pertains to detailed income statement information disclosed in Note 3 and is reconciled to net loss from discontinued operation presented in the Consolidated Statements of Net Income for the three-month period ending August 4,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evaluate the operating performance of our current business segments based upon income (loss) from continuing operations before certain unallocated corporate expenses, asset impairments, restructuring credit (expense) and restructuring related charges, and other non-recurring items.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staff, all costs associated with being a public company, and other miscellaneous expenses. Segment assets include assets used in the operations of each segment and primarily consist of accounts receivable, inventories, property, plant, and equipment, and right of use assets. The mattress fabrics segment also includes in segment assets its investment in an unconsolidated joint venture. Goodwill and intangible assets are not included in segment assets, as these assets are not used by the Chief Operating Decision Maker to evaluate the respective segment’s operating performance, allocate resources to the individual segments, or determine executive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Statements of operations for our current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August 2, 2020</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August 4, 2019</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36,103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38,859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28,361</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31,860</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64,464</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70,719</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 by segment:</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4,608</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5,691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5,293</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6,721</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9,901</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12,412</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3,071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3,180</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3,846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2,075</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2,232</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8,018</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9,149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from continuing operations by segment:</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1,845</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2,113</w:t>
            </w:r>
          </w:p>
        </w:tc>
        <w:tc>
          <w:tcPr>
            <w:tcW w:w="2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(2,075)</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1,883</w:t>
            </w:r>
          </w:p>
        </w:tc>
        <w:tc>
          <w:tcPr>
            <w:tcW w:w="28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restructuring credit</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3,298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1,524</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3,463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Balance sheet information for our current operating segments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August 2, 2020</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August 4, 2019</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15,585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12,212</w:t>
            </w:r>
          </w:p>
        </w:tc>
      </w:tr>
      <w:tr>
        <w:trPr>
          <w:trHeight w:val="213"/>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20,070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24,410</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26,620</w:t>
            </w:r>
          </w:p>
        </w:tc>
      </w:tr>
      <w:tr>
        <w:trPr>
          <w:trHeight w:val="219"/>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39,597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43,211</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40,682</w:t>
            </w:r>
          </w:p>
        </w:tc>
      </w:tr>
      <w:tr>
        <w:trPr>
          <w:trHeight w:val="213"/>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Right of use assets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832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219"/>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1,759</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1,602</w:t>
            </w:r>
          </w:p>
        </w:tc>
      </w:tr>
      <w:tr>
        <w:trPr>
          <w:trHeight w:val="207"/>
        </w:trPr>
        <w:tc>
          <w:tcPr>
            <w:tcW w:w="53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9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77,843</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82,008</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81,478</w:t>
            </w:r>
          </w:p>
        </w:tc>
      </w:tr>
      <w:tr>
        <w:trPr>
          <w:trHeight w:val="21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Upholstery Fabrics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14,308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12,881</w:t>
            </w:r>
          </w:p>
        </w:tc>
      </w:tr>
      <w:tr>
        <w:trPr>
          <w:trHeight w:val="219"/>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20,332</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23,183</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21,287</w:t>
            </w:r>
          </w:p>
        </w:tc>
      </w:tr>
      <w:tr>
        <w:trPr>
          <w:trHeight w:val="213"/>
        </w:trPr>
        <w:tc>
          <w:tcPr>
            <w:tcW w:w="5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1,634</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9"/>
        </w:trPr>
        <w:tc>
          <w:tcPr>
            <w:tcW w:w="5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Right of use assets (4)</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3,802</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07"/>
        </w:trPr>
        <w:tc>
          <w:tcPr>
            <w:tcW w:w="53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9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40,076</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39,122</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37,434</w:t>
            </w:r>
          </w:p>
        </w:tc>
      </w:tr>
      <w:tr>
        <w:trPr>
          <w:trHeight w:val="212"/>
        </w:trPr>
        <w:tc>
          <w:tcPr>
            <w:tcW w:w="53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segment assets</w:t>
            </w:r>
          </w:p>
        </w:tc>
        <w:tc>
          <w:tcPr>
            <w:tcW w:w="9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117,919</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121,130</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118,912</w:t>
            </w: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Non-segment assets: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39,986</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44,236</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69,790</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983</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5,092</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4,271</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1,585</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assets - discontinued operation</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3,547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2,116</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593</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832</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Right of use assets (6)</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1,809</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1,908</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Intangible assets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3,286</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3,380</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7,916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7,834</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1,314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2,076</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Noncurrent income taxes receivable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540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note receivable affiliated with discontinued operation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3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Noncurrent assets - discontinued operation</w:t>
            </w:r>
          </w:p>
        </w:tc>
        <w:tc>
          <w:tcPr>
            <w:tcW w:w="9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23,058</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184,587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3"/>
          </w:tcPr>
          <w:p>
            <w:pPr>
              <w:spacing w:after="0" w:line="20" w:lineRule="exact"/>
              <w:rPr>
                <w:sz w:val="1"/>
                <w:szCs w:val="1"/>
                <w:color w:val="auto"/>
              </w:rPr>
            </w:pPr>
          </w:p>
        </w:tc>
      </w:tr>
      <w:tr>
        <w:trPr>
          <w:trHeight w:val="199"/>
        </w:trPr>
        <w:tc>
          <w:tcPr>
            <w:tcW w:w="5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spacing w:after="0"/>
              <w:rPr>
                <w:sz w:val="17"/>
                <w:szCs w:val="17"/>
                <w:color w:val="auto"/>
              </w:rPr>
            </w:pPr>
          </w:p>
        </w:tc>
      </w:tr>
      <w:tr>
        <w:trPr>
          <w:trHeight w:val="230"/>
        </w:trPr>
        <w:tc>
          <w:tcPr>
            <w:tcW w:w="5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August 2, 2020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(7):</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545</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669</w:t>
            </w: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534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9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726</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909</w:t>
            </w: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1,631</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1,620</w:t>
            </w:r>
          </w:p>
        </w:tc>
      </w:tr>
      <w:tr>
        <w:trPr>
          <w:trHeight w:val="213"/>
        </w:trPr>
        <w:tc>
          <w:tcPr>
            <w:tcW w:w="5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w:t>
            </w:r>
          </w:p>
        </w:tc>
      </w:tr>
      <w:tr>
        <w:trPr>
          <w:trHeight w:val="216"/>
        </w:trPr>
        <w:tc>
          <w:tcPr>
            <w:tcW w:w="53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Discontinued Operation</w:t>
            </w:r>
          </w:p>
        </w:tc>
        <w:tc>
          <w:tcPr>
            <w:tcW w:w="9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r>
      <w:tr>
        <w:trPr>
          <w:trHeight w:val="209"/>
        </w:trPr>
        <w:tc>
          <w:tcPr>
            <w:tcW w:w="5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1,822</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1,905</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60" w:hanging="352"/>
        <w:spacing w:after="0" w:line="24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$39.6 million as of August 2, 2020, represents property, plant, and equipment of $27.0 million and $12.6 million located in the U.S. and Canada, respectively. The $43.2 million as of August 4, 2019, represents property, plant, and equipment of $31.2 million and $12.0 million located in the U.S. and Canada, respectively. The $40.7 million as of May 3, 2020, represents property, plant, and equipment of $27.7 million and $13.0 million located in the U.S. and Canada, respectively.</w:t>
      </w:r>
    </w:p>
    <w:p>
      <w:pPr>
        <w:spacing w:after="0" w:line="139" w:lineRule="exact"/>
        <w:rPr>
          <w:rFonts w:ascii="Times New Roman" w:cs="Times New Roman" w:eastAsia="Times New Roman" w:hAnsi="Times New Roman"/>
          <w:sz w:val="20"/>
          <w:szCs w:val="20"/>
          <w:color w:val="auto"/>
        </w:rPr>
      </w:pPr>
    </w:p>
    <w:p>
      <w:pPr>
        <w:ind w:left="360" w:hanging="352"/>
        <w:spacing w:after="0" w:line="26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$832 as of August 2, 2020 represents right of use assets of $297 and $535 located in the U.S. and Canada, respectively. The $235 as of August 4, 2019, and the $362 as of May 3, 2020, represents right of use assets located in the U.S.</w:t>
      </w:r>
    </w:p>
    <w:p>
      <w:pPr>
        <w:spacing w:after="0" w:line="118"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$1.6 million as of August 2, 2020, represents property, plant, and equipment of $1.2 million and $456 located in the U.S. and China, respectively. The $1.9 million as of August 4, 2019, represents property, plant, and equipment of $1.3 million and $548 located in the U.S. and China, respectively. The $1.6 million as of May 3, 2020, represents property, plant, and equipment of $1.2 million and $471 located in the U.S. and China,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jc w:val="both"/>
        <w:ind w:left="360" w:hanging="352"/>
        <w:spacing w:after="0" w:line="24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$3.8 million as of August 2, 2020, represents right of use assets of $3.1 million and $710 located in China and the U.S., respectively. The $3.1 million as of August 4, 2019, represents right of use assets of $1.8 million and $1.3 million located in China and the U.S., respectively. The $1.6 million as of May 3, 2020, represents right of use assets of $857 and $776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$820, $408, and $832 as of August 2, 2020, August 4, 2019, and May 3, 2020,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360" w:hanging="352"/>
        <w:spacing w:after="0" w:line="26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$1.8 million, $2.2 million, and $1.9 million as of August 2, 2020, August 4, 2019, and May 3, 2020, respectively, represents right of use assets located in the U.S</w:t>
      </w:r>
    </w:p>
    <w:p>
      <w:pPr>
        <w:spacing w:after="0" w:line="118"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income tax expense for the three-month periods ending August 2, 2020, and August 4, 2019, were allocated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6"/>
                <w:szCs w:val="16"/>
                <w:color w:val="auto"/>
              </w:rPr>
              <w:t>August 4,</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auto"/>
            </w:tcBorders>
            <w:vMerge w:val="continue"/>
          </w:tcPr>
          <w:p>
            <w:pPr>
              <w:spacing w:after="0"/>
              <w:rPr>
                <w:sz w:val="20"/>
                <w:szCs w:val="20"/>
                <w:color w:val="auto"/>
              </w:rPr>
            </w:pPr>
          </w:p>
        </w:tc>
        <w:tc>
          <w:tcPr>
            <w:tcW w:w="3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2020</w:t>
            </w: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700" w:type="dxa"/>
            <w:vAlign w:val="bottom"/>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8"/>
              </w:rPr>
              <w:t>4,324</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FF0FC"/>
          </w:tcPr>
          <w:p>
            <w:pPr>
              <w:spacing w:after="0"/>
              <w:rPr>
                <w:sz w:val="19"/>
                <w:szCs w:val="19"/>
                <w:color w:val="auto"/>
              </w:rPr>
            </w:pPr>
          </w:p>
        </w:tc>
        <w:tc>
          <w:tcPr>
            <w:tcW w:w="3700" w:type="dxa"/>
            <w:vAlign w:val="bottom"/>
            <w:tcBorders>
              <w:bottom w:val="single" w:sz="8" w:color="auto"/>
            </w:tcBorders>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8"/>
              </w:rPr>
              <w:t>4,324</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recorded income tax expense of $4.3 million, or 283.7% of income before income taxes from continuing operations, for the three-month period ended August 2, 2020, compared with income tax expense of $1.7 million, or 48.9% of income before income taxes from continuing operations, for the three-month period ended August 4, 2019. Our effective income tax rates associated with our continuing operations for the three-month periods ended August 2, 2020, and August 4, 2019, were based upon the estimated effective income tax rate applicable for the full year after giving effect to any significant items related specifically to interim periods.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three-month periods ending August 2, 2020 and August 4,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398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August 2,</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August 4,</w:t>
            </w:r>
          </w:p>
        </w:tc>
      </w:tr>
      <w:tr>
        <w:trPr>
          <w:trHeight w:val="219"/>
        </w:trPr>
        <w:tc>
          <w:tcPr>
            <w:tcW w:w="57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rPr>
              <w:t>2020</w:t>
            </w:r>
          </w:p>
        </w:tc>
        <w:tc>
          <w:tcPr>
            <w:tcW w:w="15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2019</w:t>
            </w:r>
          </w:p>
        </w:tc>
      </w:tr>
      <w:tr>
        <w:trPr>
          <w:trHeight w:val="21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98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21.0%</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474.4</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income tax law change</w:t>
            </w:r>
          </w:p>
        </w:tc>
        <w:tc>
          <w:tcPr>
            <w:tcW w:w="398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(232.5)</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9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9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19.6</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3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1.2</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5700" w:type="dxa"/>
            <w:vAlign w:val="bottom"/>
            <w:tcBorders>
              <w:bottom w:val="single" w:sz="8" w:color="auto"/>
            </w:tcBorders>
            <w:shd w:val="clear" w:color="auto" w:fill="CFF0FC"/>
          </w:tcPr>
          <w:p>
            <w:pPr>
              <w:spacing w:after="0"/>
              <w:rPr>
                <w:sz w:val="18"/>
                <w:szCs w:val="18"/>
                <w:color w:val="auto"/>
              </w:rPr>
            </w:pPr>
          </w:p>
        </w:tc>
        <w:tc>
          <w:tcPr>
            <w:tcW w:w="398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283.7%</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Tax Law Change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July 20, 2020, the U.S Treasury Department finalized and enacted previously proposed regulations regarding the Global Intangible Low Taxed Income (“GILTI”) tax provisions of the Tax Cuts and Jobs Act of 2017 (“TCJA”). Prior to this enactment, GILTI represented a significant U.S. income tax on our foreign earnings during fiscal 2019 ($2.1 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of fiscal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Allowance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continuing economic uncertainty associated with the COVID-19 global pandemic. As a result of the significant weight of this negative evidence, we believe it is more-likely-than-not that our U.S. net 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recorded a $271,000 income tax charge through our first quarter of fiscal 2021 to provide for a full valuation allowance against a U.S. income tax loss carryforward that is originating during the current fiscal year. The $271,000 was included in our annual effective income tax rate and not treated as a discrete event.</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August 2, 2020, August 4, 2019, and May 3, 2020, valuation allowances against our net deferred income taxes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August 2, 2020</w:t>
            </w:r>
          </w:p>
        </w:tc>
        <w:tc>
          <w:tcPr>
            <w:tcW w:w="16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7,830</w:t>
            </w:r>
          </w:p>
        </w:tc>
        <w:tc>
          <w:tcPr>
            <w:tcW w:w="16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711</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867</w:t>
            </w:r>
          </w:p>
        </w:tc>
      </w:tr>
      <w:tr>
        <w:trPr>
          <w:trHeight w:val="213"/>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2,281</w:t>
            </w:r>
          </w:p>
        </w:tc>
        <w:tc>
          <w:tcPr>
            <w:tcW w:w="1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2,281</w:t>
            </w:r>
          </w:p>
        </w:tc>
      </w:tr>
      <w:tr>
        <w:trPr>
          <w:trHeight w:val="209"/>
        </w:trPr>
        <w:tc>
          <w:tcPr>
            <w:tcW w:w="50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10,111</w:t>
            </w:r>
          </w:p>
        </w:tc>
        <w:tc>
          <w:tcPr>
            <w:tcW w:w="16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711</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accordance with ASC Topic 740, we assess whether the undistributed earnings from our foreign subsidiaries will be reinvested indefinitely or eventually distributed to our U.S. parent company. As of August 2, 2020, we assessed the liquidity requirements of our U.S. parent company and determined that our undistributed earnings from our foreign subsidiaries would not be reinvested indefinitely and would be eventually distributed to our U.S. parent company. The conclusion reached from our assessment has been consistent with prior years. ASC Topic 740 requires that a deferred tax liability should be recorded for undistributed earnings from foreign subsidiaries that will not be reinvested indefinitely, and as a result we recorded a deferred tax liability associated with undistributed earnings from our foreign subsidiaries.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TCJA, a U.S. corporation is allowed a 100% dividend received deduction for earnings and profits received from a 10% owned foreign corporation. Therefore, a deferred tax liability will be required only for withholding taxes that are incurred by our foreign subsidiaries at the time earnings and profits are distributed. As a result, as of August 2, 2020, August 4, 2019, and May 3, 2020, we recorded a deferred income tax liability of $3.6 million, $2.9 million, and $3.4 million, respectively, for withholding taxes on undistributed earnings and profits from our foreign subsidiaries.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jc w:val="both"/>
        <w:spacing w:after="0" w:line="246" w:lineRule="auto"/>
        <w:rPr>
          <w:sz w:val="20"/>
          <w:szCs w:val="20"/>
          <w:color w:val="auto"/>
        </w:rPr>
      </w:pPr>
      <w:r>
        <w:rPr>
          <w:rFonts w:ascii="Times New Roman" w:cs="Times New Roman" w:eastAsia="Times New Roman" w:hAnsi="Times New Roman"/>
          <w:sz w:val="20"/>
          <w:szCs w:val="20"/>
          <w:color w:val="auto"/>
        </w:rPr>
        <w:t>As of August 2, 2020, we had a $1.4 million total gross unrecognized income tax benefit, of which $1.1 million and $380,000 were recorded to income taxes payable-long-term and noncurrent deferred income taxes, respectively, in the accompanying Consolidated Balance Sheets. As of August 4, 2019, we had a $914,000 total gross unrecognized income tax benefit that was recorded to income taxes payable-long-term in the accompanying Consolidated Balance Sheets. As of May 3, 2020, we had a $1.3 million total gross income tax benefit that was recorded to income taxes payable-long term in the accompanying Consolidated Balance Sheets.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we had a $1.4 million total gross unrecognized income tax benefit, of which $1.1 million would favorably affect the income tax rate in future periods. As of August 4, 2019, the entire $914,000 total gross unrecognized income tax benefit would have favorably affected the income tax rate in future periods. As of May 3, 2020, the entire $1.3 million total gross unrecognized income would have favorably affected the income tax rate in future periods.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there were 683,818 shares available for future equity-based grants under our 2015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certain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 have been achieved may be adjusted based on a market-based total shareholder return component as defined in the related restricted stock unit agreements.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Compensation cost for share-based awards is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performance-based restricted stock units granted to certain senior executives during the three-months ended August 2, 2020.</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units granted to certain senior executives on July 18, 2019 and August 2,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1030"/>
              <w:spacing w:after="0"/>
              <w:rPr>
                <w:sz w:val="20"/>
                <w:szCs w:val="20"/>
                <w:color w:val="auto"/>
              </w:rPr>
            </w:pPr>
            <w:r>
              <w:rPr>
                <w:rFonts w:ascii="Times New Roman" w:cs="Times New Roman" w:eastAsia="Times New Roman" w:hAnsi="Times New Roman"/>
                <w:sz w:val="18"/>
                <w:szCs w:val="18"/>
                <w:i w:val="1"/>
                <w:iCs w:val="1"/>
                <w:color w:val="auto"/>
              </w:rPr>
              <w:t>July 18,</w:t>
            </w:r>
          </w:p>
        </w:tc>
        <w:tc>
          <w:tcPr>
            <w:tcW w:w="520" w:type="dxa"/>
            <w:vAlign w:val="bottom"/>
          </w:tcPr>
          <w:p>
            <w:pPr>
              <w:spacing w:after="0"/>
              <w:rPr>
                <w:sz w:val="19"/>
                <w:szCs w:val="19"/>
                <w:color w:val="auto"/>
              </w:rPr>
            </w:pPr>
          </w:p>
        </w:tc>
        <w:tc>
          <w:tcPr>
            <w:tcW w:w="2000" w:type="dxa"/>
            <w:vAlign w:val="bottom"/>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August 2,</w:t>
            </w:r>
          </w:p>
        </w:tc>
      </w:tr>
      <w:tr>
        <w:trPr>
          <w:trHeight w:val="236"/>
        </w:trPr>
        <w:tc>
          <w:tcPr>
            <w:tcW w:w="48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i w:val="1"/>
                <w:iCs w:val="1"/>
                <w:color w:val="auto"/>
              </w:rPr>
              <w:t>2019</w:t>
            </w: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i w:val="1"/>
                <w:iCs w:val="1"/>
                <w:color w:val="auto"/>
              </w:rPr>
              <w:t>2018</w:t>
            </w: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18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18.49</w:t>
            </w:r>
          </w:p>
        </w:tc>
        <w:tc>
          <w:tcPr>
            <w:tcW w:w="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24.35</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18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 (1) (2)</w:t>
            </w:r>
          </w:p>
        </w:tc>
        <w:tc>
          <w:tcPr>
            <w:tcW w:w="180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29.9% - 82.3%</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Correlation coefficient of peer companies (1) (2)</w:t>
            </w:r>
          </w:p>
        </w:tc>
        <w:tc>
          <w:tcPr>
            <w:tcW w:w="1800" w:type="dxa"/>
            <w:vAlign w:val="bottom"/>
          </w:tcPr>
          <w:p>
            <w:pPr>
              <w:spacing w:after="0"/>
              <w:rPr>
                <w:sz w:val="20"/>
                <w:szCs w:val="20"/>
                <w:color w:val="auto"/>
              </w:rPr>
            </w:pPr>
          </w:p>
        </w:tc>
        <w:tc>
          <w:tcPr>
            <w:tcW w:w="2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0.00 - 0.43</w:t>
            </w:r>
          </w:p>
        </w:tc>
        <w:tc>
          <w:tcPr>
            <w:tcW w:w="520" w:type="dxa"/>
            <w:vAlign w:val="bottom"/>
          </w:tcPr>
          <w:p>
            <w:pPr>
              <w:spacing w:after="0"/>
              <w:rPr>
                <w:sz w:val="20"/>
                <w:szCs w:val="20"/>
                <w:color w:val="auto"/>
              </w:rPr>
            </w:pP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02" w:lineRule="exact"/>
        <w:rPr>
          <w:sz w:val="20"/>
          <w:szCs w:val="20"/>
          <w:color w:val="auto"/>
        </w:rPr>
      </w:pPr>
    </w:p>
    <w:p>
      <w:pPr>
        <w:jc w:val="both"/>
        <w:ind w:left="360" w:hanging="352"/>
        <w:spacing w:after="0" w:line="249"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July 18, 2019 grant date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6" w:name="page27"/>
    <w:bookmarkEnd w:id="26"/>
    <w:p>
      <w:pPr>
        <w:jc w:val="both"/>
        <w:ind w:left="360" w:hanging="352"/>
        <w:spacing w:after="0" w:line="249"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August 2, 2018 grant date were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 and a Non-Employee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grant performance-based restricted stock units which could earn up to a certain number of shares of common stock if certain performance targets are met over a three-fiscal year performance period as defined in the related restricted stock unit agreements.</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(closing price of our common stock) on the date when the performance criteria were met.</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granted to our key employees or any non-employees during the three-months ended August 2,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certain senior executives and key employees that are currently unvested as of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(4)</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Performance-Based</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Restricted Stock</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8"/>
              </w:rPr>
              <w:t>Units Awarded</w:t>
            </w:r>
          </w:p>
        </w:tc>
        <w:tc>
          <w:tcPr>
            <w:tcW w:w="1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Price Per Share</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2"/>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18, 2019 (1)</w:t>
            </w:r>
          </w:p>
        </w:tc>
        <w:tc>
          <w:tcPr>
            <w:tcW w:w="3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93,653</w:t>
            </w:r>
          </w:p>
        </w:tc>
        <w:tc>
          <w:tcPr>
            <w:tcW w:w="18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5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July 18, 2019 (2)</w:t>
            </w:r>
          </w:p>
        </w:tc>
        <w:tc>
          <w:tcPr>
            <w:tcW w:w="3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29,227</w:t>
            </w:r>
          </w:p>
        </w:tc>
        <w:tc>
          <w:tcPr>
            <w:tcW w:w="180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5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2, 2018 (1)</w:t>
            </w:r>
          </w:p>
        </w:tc>
        <w:tc>
          <w:tcPr>
            <w:tcW w:w="3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86,599</w:t>
            </w:r>
          </w:p>
        </w:tc>
        <w:tc>
          <w:tcPr>
            <w:tcW w:w="18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5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August 2, 2018 (2)</w:t>
            </w:r>
          </w:p>
        </w:tc>
        <w:tc>
          <w:tcPr>
            <w:tcW w:w="3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47,800</w:t>
            </w:r>
          </w:p>
        </w:tc>
        <w:tc>
          <w:tcPr>
            <w:tcW w:w="1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certain senior executives.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75"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if certain performance goals will be met as of the end of the vesting period, and in turn the number of shares that are expected to be awarded at the end vesting period. These amounts represent the number of shares that were expected to vest as of August 2, 2020.</w:t>
      </w:r>
    </w:p>
    <w:p>
      <w:pPr>
        <w:spacing w:after="0" w:line="13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certain senior executives on July 18, 2019.</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($0.76 per $1 or a reduction of $5.84 to the closing price of the common stock on the date of grant) determined using the Monte Carlo simulation model for the market-based total shareholder return component and the closing price of our common stock ($24.35) for the performance-based component of the performance-based restricted stock units granted to certain senior executives on August 2, 2018.</w:t>
      </w:r>
    </w:p>
    <w:p>
      <w:pPr>
        <w:spacing w:after="0" w:line="13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7" w:name="page28"/>
    <w:bookmarkEnd w:id="27"/>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performance-based restricted stock units that vested during the three-month periods ending August 2, 2020 and August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96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Performance-Based</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3960" w:type="dxa"/>
            <w:vAlign w:val="bottom"/>
          </w:tcPr>
          <w:p>
            <w:pPr>
              <w:jc w:val="center"/>
              <w:ind w:left="1939"/>
              <w:spacing w:after="0"/>
              <w:rPr>
                <w:sz w:val="20"/>
                <w:szCs w:val="20"/>
                <w:color w:val="auto"/>
              </w:rPr>
            </w:pPr>
            <w:r>
              <w:rPr>
                <w:rFonts w:ascii="Times New Roman" w:cs="Times New Roman" w:eastAsia="Times New Roman" w:hAnsi="Times New Roman"/>
                <w:sz w:val="16"/>
                <w:szCs w:val="16"/>
                <w:color w:val="auto"/>
              </w:rPr>
              <w:t>Restricted Stock</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Price</w:t>
            </w:r>
          </w:p>
        </w:tc>
        <w:tc>
          <w:tcPr>
            <w:tcW w:w="340" w:type="dxa"/>
            <w:vAlign w:val="bottom"/>
          </w:tcPr>
          <w:p>
            <w:pPr>
              <w:spacing w:after="0"/>
              <w:rPr>
                <w:sz w:val="18"/>
                <w:szCs w:val="18"/>
                <w:color w:val="auto"/>
              </w:rPr>
            </w:pPr>
          </w:p>
        </w:tc>
      </w:tr>
      <w:tr>
        <w:trPr>
          <w:trHeight w:val="2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960" w:type="dxa"/>
            <w:vAlign w:val="bottom"/>
            <w:tcBorders>
              <w:bottom w:val="single" w:sz="8" w:color="auto"/>
            </w:tcBorders>
          </w:tcPr>
          <w:p>
            <w:pPr>
              <w:jc w:val="center"/>
              <w:ind w:left="1939"/>
              <w:spacing w:after="0"/>
              <w:rPr>
                <w:sz w:val="20"/>
                <w:szCs w:val="20"/>
                <w:color w:val="auto"/>
              </w:rPr>
            </w:pPr>
            <w:r>
              <w:rPr>
                <w:rFonts w:ascii="Times New Roman" w:cs="Times New Roman" w:eastAsia="Times New Roman" w:hAnsi="Times New Roman"/>
                <w:sz w:val="16"/>
                <w:szCs w:val="16"/>
                <w:color w:val="auto"/>
                <w:w w:val="98"/>
              </w:rPr>
              <w:t>Units Vested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Per Share</w:t>
            </w:r>
          </w:p>
        </w:tc>
        <w:tc>
          <w:tcPr>
            <w:tcW w:w="340" w:type="dxa"/>
            <w:vAlign w:val="bottom"/>
            <w:tcBorders>
              <w:bottom w:val="single" w:sz="8" w:color="auto"/>
            </w:tcBorders>
          </w:tcPr>
          <w:p>
            <w:pPr>
              <w:spacing w:after="0"/>
              <w:rPr>
                <w:sz w:val="19"/>
                <w:szCs w:val="19"/>
                <w:color w:val="auto"/>
              </w:rPr>
            </w:pPr>
          </w:p>
        </w:tc>
      </w:tr>
      <w:tr>
        <w:trPr>
          <w:trHeight w:val="21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2021 (1)</w:t>
            </w:r>
          </w:p>
        </w:tc>
        <w:tc>
          <w:tcPr>
            <w:tcW w:w="3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3,277</w:t>
            </w: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4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Fiscal 2021 (1)</w:t>
            </w:r>
          </w:p>
        </w:tc>
        <w:tc>
          <w:tcPr>
            <w:tcW w:w="3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3,710</w:t>
            </w:r>
          </w:p>
        </w:tc>
        <w:tc>
          <w:tcPr>
            <w:tcW w:w="142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2020 (1)</w:t>
            </w:r>
          </w:p>
        </w:tc>
        <w:tc>
          <w:tcPr>
            <w:tcW w:w="3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11,351</w:t>
            </w: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w:t>
            </w:r>
          </w:p>
        </w:tc>
        <w:tc>
          <w:tcPr>
            <w:tcW w:w="4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2020 (2)</w:t>
            </w:r>
          </w:p>
        </w:tc>
        <w:tc>
          <w:tcPr>
            <w:tcW w:w="3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4,961</w:t>
            </w:r>
          </w:p>
        </w:tc>
        <w:tc>
          <w:tcPr>
            <w:tcW w:w="142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86</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senior executives and key employees.</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Non-employee</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60" w:hanging="352"/>
        <w:spacing w:after="0" w:line="269"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 based restricted stock units vested.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recorded a (credit) or a charge to compensation expense of $(11,000) and compensation expense of $68,000 within selling, general, and administrative expenses for the three-month periods ending August 2, 2020, and August 4, 2019, respectively. Compensation cost is recorded based on an assessment each reporting period to determine the probability if certain performance goals will be met as of the end of the vesting period. If certain performance goals are not expected to be achieved, compensation cost would not be recorded, and any previously recognized compensation cost would be reversed.</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August 2, 2020, there were no performance-based restricted stock units expected to vest. Therefore, there was no unrecognized compensation cost related to our outstanding performance-based restricted stock units as of August 2,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time-based restricted stock unit awards associated with certain senior executives and key members of management that are unvested as of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w w:val="99"/>
              </w:rPr>
              <w:t>Time-Based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Restricted Stock</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880" w:type="dxa"/>
            <w:vAlign w:val="bottom"/>
            <w:tcBorders>
              <w:bottom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rPr>
              <w:t>Units Awarded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Price Per Share</w:t>
            </w:r>
          </w:p>
        </w:tc>
        <w:tc>
          <w:tcPr>
            <w:tcW w:w="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18, 2019</w:t>
            </w:r>
          </w:p>
        </w:tc>
        <w:tc>
          <w:tcPr>
            <w:tcW w:w="3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34,399</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56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w:t>
            </w:r>
          </w:p>
        </w:tc>
        <w:tc>
          <w:tcPr>
            <w:tcW w:w="17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August 2, 2018</w:t>
            </w:r>
          </w:p>
        </w:tc>
        <w:tc>
          <w:tcPr>
            <w:tcW w:w="3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w:t>
            </w:r>
          </w:p>
        </w:tc>
        <w:tc>
          <w:tcPr>
            <w:tcW w:w="17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720" w:firstLine="8"/>
        <w:spacing w:after="0" w:line="415" w:lineRule="auto"/>
        <w:tabs>
          <w:tab w:leader="none" w:pos="35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Price per share represents closing price of common stock on the date the respective award was granted. </w:t>
      </w:r>
      <w:r>
        <w:rPr>
          <w:rFonts w:ascii="Times New Roman" w:cs="Times New Roman" w:eastAsia="Times New Roman" w:hAnsi="Times New Roman"/>
          <w:sz w:val="20"/>
          <w:szCs w:val="20"/>
          <w:u w:val="single" w:color="auto"/>
          <w:color w:val="auto"/>
        </w:rPr>
        <w:t>Overall</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$67,000 and $16,000 within selling, general, and administrative expenses associated with our time-based restricted stock unit awards for the three-month periods ending August 2, 2020, and August 4, 2019,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the remaining unrecognized compensation cost related to our time-based restricted stock units was $556,000, which is expected to be recognized over a weighted average vesting period of 2.1 years. As of August 2, 2020, the time-based restricted stock units that are expected to vest had a fair value totaling $493,000.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Award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7,000 shares of common stock to our outside directors on July 1, 2020. These shares of common stock vested immediately and were measured at their fair value on the date of grant. The fair value of this award was $10.00 per share on July 1, 2020, which represents the closing price of our common stock on the date of grant.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3,659 shares of common stock to our outside directors on July 1, 2019. These shares of common stock vested immediately and were measured at their fair value on the date of grant. The fair value of this award was $19.21 per share on July 1, 2019, which represents the closing price of our common stock on the date of grant.</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$70,000 of compensation expense within selling, general, and administrative expenses for common stock awards to our outside directors for the three-months ending August 2, 2020, and August 4, 2019,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recognize a right of use asset and lease liability on the commencement date of a lease arrangement based on the present value of lease payments over the lease term.</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operating leases have remaining lease terms of 1 to 6 years, with renewal options for additional periods ranging up to 10 years. A lease term may include renewal options if it is reasonably certain that the option to renew a lease period will be exercised. A renewal option is considered reasonably certain to be exercised if there is a significant economic incentive, as defined in ASC Topic 842, to exercise the renewal option on the date a lease arrangement is commenced. Currently, renewal options are not included in the lease terms for any of our leases, as there is not a significant economic incentive for us to exercise any of our renewal options.</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Most of our leases do not provide an implicit interest rate, and as a result, we use our incremental borrowing rate based on information available on the commencement date of a lease arrangement in determining the present value of lease our payments.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 and lease liabilities associated with our operating leases as of August 2, 2020, August 4, 2019, and May 3,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4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August 2,</w:t>
            </w:r>
          </w:p>
        </w:tc>
        <w:tc>
          <w:tcPr>
            <w:tcW w:w="34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August 4,</w:t>
            </w:r>
          </w:p>
        </w:tc>
        <w:tc>
          <w:tcPr>
            <w:tcW w:w="38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May 3,</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vMerge w:val="continue"/>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2019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w:t>
            </w:r>
          </w:p>
        </w:tc>
        <w:tc>
          <w:tcPr>
            <w:tcW w:w="2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6,443</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6,530</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3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2,387</w:t>
            </w:r>
          </w:p>
        </w:tc>
        <w:tc>
          <w:tcPr>
            <w:tcW w:w="3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2,456</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2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4,214</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3,955</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60" w:hanging="352"/>
        <w:spacing w:after="0" w:line="246"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August 4, 2019, right of use assets totaled $6.5 million, of which $5.5 million and $1.0 million were classified as right of use asset and within noncurrent assets – discontinued operation, respectively, in the accompanying Consolidated Balance Sheet. At August 4, 2019, operating lease liabilities totaled $6.4 million, of which $2.3 million, $186,000, $3.1 million, and $874,000 were classified as operating lease liability – current, within current liabilities – discontinued operation, operating lease liability – long-term, and within noncurrent liabilities – discontinued operation, respectively, in the accompanying Consolidated Balance Sheet.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Three Months</w:t>
            </w:r>
          </w:p>
        </w:tc>
      </w:tr>
      <w:tr>
        <w:trPr>
          <w:trHeight w:val="210"/>
        </w:trPr>
        <w:tc>
          <w:tcPr>
            <w:tcW w:w="6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2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Ended</w:t>
            </w:r>
          </w:p>
        </w:tc>
      </w:tr>
      <w:tr>
        <w:trPr>
          <w:trHeight w:val="219"/>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August 2, 2020</w:t>
            </w:r>
          </w:p>
        </w:tc>
      </w:tr>
      <w:tr>
        <w:trPr>
          <w:trHeight w:val="21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3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r>
      <w:tr>
        <w:trPr>
          <w:trHeight w:val="213"/>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3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3,154</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three-month period ending August 2, 2020, we entered into agreements that extended the lease term for two buildings associated with our upholstery fabrics operations located in China through December 2024, resulting in $2.6 million of additional right of use assets and lease liabilities. Also, we entered into a new agreement to lease a warehouse associated with our mattress fabrics operations in Canada. This lease agreement has a three-year term that is set to expire in June 2023, resulting in a $550,000 additional right of use assets and lease liability.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Three Months</w:t>
            </w:r>
          </w:p>
        </w:tc>
      </w:tr>
      <w:tr>
        <w:trPr>
          <w:trHeight w:val="210"/>
        </w:trPr>
        <w:tc>
          <w:tcPr>
            <w:tcW w:w="6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2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Ended</w:t>
            </w:r>
          </w:p>
        </w:tc>
      </w:tr>
      <w:tr>
        <w:trPr>
          <w:trHeight w:val="219"/>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3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657</w:t>
            </w:r>
          </w:p>
        </w:tc>
      </w:tr>
      <w:tr>
        <w:trPr>
          <w:trHeight w:val="213"/>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3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lease expense for the three-months ended August 2, 2020, and August 4, 2019, was $658,000 and $719,000, respectively. Short-term lease and variable lease expenses were immaterial for the three-months ended August 2, 2020, and August 4, 2019.</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2021,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2,050</w:t>
            </w:r>
          </w:p>
        </w:tc>
      </w:tr>
      <w:tr>
        <w:trPr>
          <w:trHeight w:val="21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1,765</w:t>
            </w: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1,350</w:t>
            </w:r>
          </w:p>
        </w:tc>
      </w:tr>
      <w:tr>
        <w:trPr>
          <w:trHeight w:val="21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1,079</w:t>
            </w:r>
          </w:p>
        </w:tc>
      </w:tr>
      <w:tr>
        <w:trPr>
          <w:trHeight w:val="21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r>
      <w:tr>
        <w:trPr>
          <w:trHeight w:val="213"/>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6,907</w:t>
            </w:r>
          </w:p>
        </w:tc>
      </w:tr>
      <w:tr>
        <w:trPr>
          <w:trHeight w:val="213"/>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9"/>
        </w:trPr>
        <w:tc>
          <w:tcPr>
            <w:tcW w:w="9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6,601</w:t>
            </w:r>
          </w:p>
        </w:tc>
      </w:tr>
      <w:tr>
        <w:trPr>
          <w:trHeight w:val="20"/>
        </w:trPr>
        <w:tc>
          <w:tcPr>
            <w:tcW w:w="9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35"/>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9"/>
              </w:rPr>
              <w:t>As of August 2, 2020, the weighted average remaining lease term and discount rate for our operating leases follows: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0"/>
        </w:trPr>
        <w:tc>
          <w:tcPr>
            <w:tcW w:w="9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33"/>
        </w:trPr>
        <w:tc>
          <w:tcPr>
            <w:tcW w:w="9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August 2, 2020</w:t>
            </w:r>
          </w:p>
        </w:tc>
      </w:tr>
      <w:tr>
        <w:trPr>
          <w:trHeight w:val="21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 years</w:t>
            </w:r>
          </w:p>
        </w:tc>
      </w:tr>
      <w:tr>
        <w:trPr>
          <w:trHeight w:val="213"/>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448"/>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9"/>
              </w:rPr>
              <w:t>As of August 4, 2019, the weighted average remaining lease term and discount rate for our operating leases follows: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0"/>
        </w:trPr>
        <w:tc>
          <w:tcPr>
            <w:tcW w:w="9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34"/>
        </w:trPr>
        <w:tc>
          <w:tcPr>
            <w:tcW w:w="9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2"/>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 years</w:t>
            </w:r>
          </w:p>
        </w:tc>
      </w:tr>
      <w:tr>
        <w:trPr>
          <w:trHeight w:val="213"/>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Litigation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 Capital Expenditures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August 4, 2019, and May 3, 2020, we had total amounts due regarding capital expenditures totaling $333,000, $50,000, and $107,000, respectively, which pertained to outstanding vendor invoices, none of which were financed. These total outstanding amounts were required to be paid based on normal credit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Commitments – Capital Expenditures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had open purchase commitments to acquire equipment for our mattress fabrics segment totaling $2.0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subsidiaries located in China are required to transfer 10% of their net income, as determined in accordance with the People’s Republic of China (PRC) accounting rules and regulations, to a statutory surplus reserve fund until such reserve balance reaches 50% of the company’s registered capital.</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August 2, 2020, the company’s statutory surplus reserve was $4.2 million, representing 10% of accumulated earnings and profits determined in accordance with PRC accounting rules and regulations. The surplus reserve fund is non-distributable other than during liquidation and can be used to fund previous years’ losses, if any. The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0" w:name="page31"/>
    <w:bookmarkEnd w:id="30"/>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subsidiaries located in China can transfer funds to the parent company except for the statutory surplus reserve of $4.2 million to assist with debt repayment, capital expenditures, and other expenses of the company’s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pandemic, we announced on April 3, 2020, that our board of directors temporarily suspended the share repurchase program given the ongoing economic disruption and uncertainty. Accordingly, we did not purchase any shares of our common stock during the three-month period ending August 2, 2020. Additionally, we did not purchase any shares of our common stock during the three-month period ending August 4,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had $5.0 million available for repurchases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Dividend Program</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September 2, 2020, we announced that our board of directors approved a quarterly cash dividend of $0.105 per share. This payment will be made on or about October 15, 2020, to shareholders of record as of October 8, 2020.</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three-months ended August 2, 2020, dividend payments totaled $1.3 million, which represented a quarterly dividend payment of $0.105 per share. During the three-months ended August 4, 2019, dividend payments totaled $1.2 million, which represented a quarterly dividend payment of $0.10 per share.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the company will realize these expectations, meet its guidance, or that these beliefs will prove correct.</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and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are included in Item 1A “Risk Factors” section in our Form 10-K filed with the Securities and Exchange Commission on July 17, 2020, for the fiscal year ended May 3, 2020, and our subsequent periodic reports filed with the Securities and Exchange Commission. A forward-looking statement is neither a prediction nor a guarantee of future events or circumstances, and those future events or circumstances may not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spacing w:after="0"/>
        <w:tabs>
          <w:tab w:leader="none" w:pos="106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Financial Statements and Notes and other exhibits included elsewhere in this report.</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sold our majority ownership interest in eLuxury, LLC (“eLuxury”) on March 31, 2020, resulting in the elimination of our home accessories segment at such time. Accordingly, the results of operations and assets and liabilities for this segment are excluded from the company’s continuing operations for the three-month period ended August 4, 2019 and presented as a discontinued operation in this report. See Note 3 - Home Accessories Segment - Discontinued Operation, of the consolidated financial statements for further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three-months ended August 2, 2020, and August 4, 2019, represent 13-week and 14-week periods, respectively.</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 The mattress fabrics segment manufactures, sources, and sells fabrics and mattress covers primarily to bedding manufacturers. We have wholly owned mattress fabric operations located in Stokesdale, NC, High Point, NC, and Quebec, Canada, as well as a fifty-percent owned cut and sew mattress cover operation located in Haiti.</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We have wholly owned upholstery fabric operations located in Shanghai, China, and Burlington, NC. Additionally, Read Window Products, LLC (“Read”), a wholly owned subsidiary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current business segments based upon income (loss) from continuing operations before certain unallocated corporate expenses, asset impairments, restructuring credit (expense) and related charges, and other non-recurring items. Cost of sales in each segment includes costs to develop, manufacture, or source our products, including costs such as raw material costs and finished goods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20" w:type="dxa"/>
            <w:vAlign w:val="bottom"/>
            <w:gridSpan w:val="3"/>
          </w:tcPr>
          <w:p>
            <w:pPr>
              <w:jc w:val="right"/>
              <w:ind w:right="1359"/>
              <w:spacing w:after="0"/>
              <w:rPr>
                <w:sz w:val="20"/>
                <w:szCs w:val="20"/>
                <w:color w:val="auto"/>
              </w:rPr>
            </w:pPr>
            <w:r>
              <w:rPr>
                <w:rFonts w:ascii="Times New Roman" w:cs="Times New Roman" w:eastAsia="Times New Roman" w:hAnsi="Times New Roman"/>
                <w:sz w:val="16"/>
                <w:szCs w:val="16"/>
                <w:color w:val="auto"/>
              </w:rPr>
              <w:t>Three Months Ended</w:t>
            </w:r>
          </w:p>
        </w:tc>
        <w:tc>
          <w:tcPr>
            <w:tcW w:w="1500" w:type="dxa"/>
            <w:vAlign w:val="bottom"/>
          </w:tcPr>
          <w:p>
            <w:pPr>
              <w:spacing w:after="0"/>
              <w:rPr>
                <w:sz w:val="18"/>
                <w:szCs w:val="18"/>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August 2, 2020</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August 4, 2019</w:t>
            </w:r>
          </w:p>
        </w:tc>
        <w:tc>
          <w:tcPr>
            <w:tcW w:w="1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64,464</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70,719</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3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9,901</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12,412</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1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17.6%</w:t>
            </w:r>
          </w:p>
        </w:tc>
        <w:tc>
          <w:tcPr>
            <w:tcW w:w="1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(220)bp</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8,018</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9,149</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1,883</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3,298</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1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8"/>
                <w:szCs w:val="18"/>
                <w:color w:val="auto"/>
              </w:rPr>
            </w:pPr>
          </w:p>
        </w:tc>
        <w:tc>
          <w:tcPr>
            <w:tcW w:w="1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w:t>
            </w:r>
          </w:p>
        </w:tc>
        <w:tc>
          <w:tcPr>
            <w:tcW w:w="1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(180)bp</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1,524</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3,463</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(56.0)%</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3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4,324</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1,692</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155.6%</w:t>
            </w:r>
          </w:p>
        </w:tc>
      </w:tr>
      <w:tr>
        <w:trPr>
          <w:trHeight w:val="216"/>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1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(2,733)</w:t>
            </w:r>
          </w:p>
        </w:tc>
        <w:tc>
          <w:tcPr>
            <w:tcW w:w="2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1,784</w:t>
            </w:r>
          </w:p>
        </w:tc>
        <w:tc>
          <w:tcPr>
            <w:tcW w:w="150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(253.2)%</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net sales for the first quarter of fiscal 2021 decreased by 8.8% compared with the same period a year ago, with mattress fabric sales declining 7.1% and upholstery fabric sales declining 11.0%. The first quarter of fiscal 2021 had 13 weeks compared to 14 weeks for the first quarter of fiscal 2020.</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net sales for both the mattress fabrics and upholstery fabrics segments reflects the ongoing economic disruption caused by the COVID-19 pandemic, especially in the beginning of the first quarter. Although demand started to increase beginning in mid-May as customers and retail stores resumed operations, the first few weeks of the first quarter were significantly affected by the virus. The decrease also reflects one less week of sales for the first quarter as compared to the prior year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Before Income Taxes from Continuing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Overall, our income before income taxes from continuing operations was $1.5 million, compared with $3.5 million for the prior-year period.</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performance for the first quarter of fiscal 2021 was affected by the continued disruption from the COVID-19 pandemic, as well as significant inventory reductions and manufacturing inefficiencies associated with the dramatic ramp up in operations for our mattress fabrics segment. These pressures were partially offset by lower SG&amp;A expenses primarily due to lower compensation expense, as well as reduced spending on professional fees and travel and entertainment, compared with the same period a year ago.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recorded income tax expense of $4.3 million, or 283.7% of income before income tax expense from continuing operations for the three-month period ending August 2, 2020, compared with income tax expense of $1.7 million, or 48.9% of income before income tax expense from continuing operations for the prior year period. This increase in our income tax expense is primarily due to a $3.7 million net income tax charge, which consists of a $7.2 million non-cash income tax charge to record a full valuation allowance against the company’s U.S. net deferred income tax assets, partially offset by a $3.5 million non-cash income tax benefit resulting from the re-establishing of certain U.S. federal net operating loss carryforwards in connection with the U.S. Treasury regulations enacted during the first quarter of fiscal 2021 regarding the Global Intangible Low Taxed Income tax provisions of the Tax Cuts and Jobs Act of 2017. Additionally, this increase reflects the continued shift in the mix of our taxable income that has been mostly earned by our foreign operations located in China and Canada, which have higher income tax rates in relation to the U.S.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15 of the consolidated financial statements for further details regarding our provision for income taxes from continuing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August 2, 2020, our cash and cash equivalents, short-term investments (available for sale), and short-term and long-term investments (held-to-maturity) totaled $47.4 million compared with $77.1 million as of May 3, 2020.</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decrease from the end of fiscal 2020 is attributable to repayment of all of the outstanding borrowings associated with our U.S. and China lines of credit and the loan we received under the Paycheck Protection Program of the Coronavirus Aid, Relief and Economic Security Act of 2020 (such loan, the “PPP loan”), which borrowings totaled $38.4 million. Excluding the repayments made on our lines of credit and the PPP loan, our cash and cash equivalents, short-term investments (available for sale), and short-term and long-term investments (held-to-maturity) as of August 2, 2020, would have increased $8.7 million as compared to May 3, 2020. This increase was mostly due to (i) net cash provided by operating activities totaling $10.6 million, partially offset by (ii) a cash payment of $1.3 million in the form of a regular quarterly dividend payment to shareholders; and (iii) $500,000 of capital expenditures that were primarily related to our mattress fabrics segment.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net cash provided by operating activities was $10.6 million during the first quarter of fiscal 2021, compared with $2.0 million of net cash provided by operating activities during the first quarter of fiscal 2020. This increase is due mostly to improved working capital management. Additionally, our discontinued operation had net cash used in operating activities totaling $1.4 million during the first quarter of fiscal 2020. Our discontinued operation did not have any net cash (used in) or provided by investing activities during the first quarter of fiscal 2020. Our discontinued operation had net cash provided by financing activities, all of which were loan proceeds and capital contributions from the company and the non-controlling interest holder of eLuxury, totaling $1.4 million during the first quarter of fiscal 2020. We believe our liquidity will improve in the absence of our former home accessories segment due to the significant losses incurred by that segment and the funding of its working capital requirements primarily by the company through loans and capital contributions that will no longer be required.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there were no outstanding borrowings under our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Program</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September 2, 2020, we announced that our board of directors approved a quarterly cash dividend of $0.105 per share. This payment will be made on or about October 15, 2020, to shareholders of record as of October 8, 2020.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fiscal 2021, dividend payments totaled $1.3 million, which represented a quarterly dividend payment of $0.105 per share. During the first quarter of fiscal 2020, dividend payments totaled $1.2 million, which represented a quarterly dividend payment of $0.10 per share.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 Repurchase Program</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during the three-month period August 2, 2020. Additionally, we did not purchase any share of our common stock during the three-month period August 4,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had $5.0 million available for repurchases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20" w:type="dxa"/>
            <w:vAlign w:val="bottom"/>
            <w:gridSpan w:val="3"/>
          </w:tcPr>
          <w:p>
            <w:pPr>
              <w:jc w:val="right"/>
              <w:ind w:right="1119"/>
              <w:spacing w:after="0"/>
              <w:rPr>
                <w:sz w:val="20"/>
                <w:szCs w:val="20"/>
                <w:color w:val="auto"/>
              </w:rPr>
            </w:pPr>
            <w:r>
              <w:rPr>
                <w:rFonts w:ascii="Times New Roman" w:cs="Times New Roman" w:eastAsia="Times New Roman" w:hAnsi="Times New Roman"/>
                <w:sz w:val="16"/>
                <w:szCs w:val="16"/>
                <w:color w:val="auto"/>
              </w:rPr>
              <w:t>Three Months Ended</w:t>
            </w:r>
          </w:p>
        </w:tc>
        <w:tc>
          <w:tcPr>
            <w:tcW w:w="1300" w:type="dxa"/>
            <w:vAlign w:val="bottom"/>
          </w:tcPr>
          <w:p>
            <w:pPr>
              <w:spacing w:after="0"/>
              <w:rPr>
                <w:sz w:val="18"/>
                <w:szCs w:val="18"/>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August 2, 2020</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August 4, 2019</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36,103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38,859</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88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4,608</w:t>
            </w:r>
          </w:p>
        </w:tc>
        <w:tc>
          <w:tcPr>
            <w:tcW w:w="2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5,691</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14.6%</w:t>
            </w:r>
          </w:p>
        </w:tc>
        <w:tc>
          <w:tcPr>
            <w:tcW w:w="1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(180)bp</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8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2,763</w:t>
            </w:r>
          </w:p>
        </w:tc>
        <w:tc>
          <w:tcPr>
            <w:tcW w:w="2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3,071</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1,845</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2,620</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1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6.7%</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(160)bp</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decrease in mattress fabrics net sales reflects the continued economic disruption from the COVID-19 pandemic. Additionally, the first quarter of fiscal 2021 was a 13-week period, compared with a 14-week period in the first quarter of fiscal 2020.</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Sales at the beginning of the quarter were significantly affected by the virus, but we experienced a greater than expected increase in demand beginning in mid-May as government restrictions were lifted and customers and retail stores resumed operations. This increase continued throughout the remainder of the quarter across all product offerings, including our CLASS mattress cover operations, approximating pre-pandemic demand levels at quarter end. We returned all of our previously furloughed workers and rapidly expanded our production schedules to meet this growing demand.</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this uncertain environment, we have continued to manage our business with a focus on creative designs, innovative products, and customer services. These efforts are supported by our global manufacturing and sourcing operations in the U.S., Canada, Haiti, Asia, and Turkey, which provide us with flexible production and distribution capabilities to adapt to changing customer needs. We have also continued to leverage our ‘Re.Imagine Culp Home Fashions’ 3D image rendering services for product innovation and design collaboration opportunities.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believe the improved demand trends during the quarter were primarily being driven by a surge in consumer focus on the home environment and overall comfort, leading to more discretionary spending moving to home furnishings. Additionally, demand trends for mattress covers remain favorable, driven by ongoing growth in the boxed bedding space, and we continue to work collaboratively with new and existing customers to develop fresh, innovative products. We have an efficient global platform that allows us to maximize our full supply chain potential from fabric to finished cover in the U.S., Haiti, and Asia. We expect our building expansion in Haiti to be completed during the second quarter of fiscal 2021, which will provide additional capacity and enhance our ability to produce sewn covers in North America. To further support our future growth plan, we are also investing $4.0 million in additional knit machines to expand our fabric production capacity in North America.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 w:name="page36"/>
    <w:bookmarkEnd w:id="35"/>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while we believe our global platform for fabric and covers in Haiti and Asia has us well positioned to capture market share with imported mattresses as business conditions continue to adjust to the effects of the COVID-19 pandemic, we are also encouraged by the recent anti-dumping duty petitions filed with the U.S. International Trade Commission (ITC) and U.S. Department of Commerce against seven countries for engaging in unfair trade practices relating to low-priced mattress imports, as well as the ITC’s preliminary determination allowing these petitions to move forward. If successful, we believe the proposed relief being sought will benefit the domestic mattress industry and, in turn, be favorable for our business.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Despite positive sales trends during the first quarter, we expect the COVID-19 pandemic will continue to have an impact on our business through at least the second quarter of fiscal 2021. The ongoing economic and health effects of the pandemic remain unknown and depend on factors beyond our knowledge or control, including the duration and severity of the outbreak, actions taken to contain its spread and mitigate the public health and economic effects, and the short- and long-term disruption on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and Operating Income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mattress fabrics profitability was primarily due to manufacturing inefficiencies associated with the dramatic ramp up in operations as demand began to increase during the quarter, as well as significant inventory reductions. These pressures were partially offset by lower SG&amp;A expenses due primarily to lower compensation expense and reduced spending on travel and entertainment. Despite these challenges, we believe business conditions are stabilizing and will result in improved profitability going forward, barring additional disruption related to the pandemic.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investment in unconsolidated joint venture.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4,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15,585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12,632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12,212</w:t>
            </w:r>
          </w:p>
        </w:tc>
      </w:tr>
      <w:tr>
        <w:trPr>
          <w:trHeight w:val="21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0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20,070</w:t>
            </w:r>
          </w:p>
        </w:tc>
        <w:tc>
          <w:tcPr>
            <w:tcW w:w="2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24,410</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26,620</w:t>
            </w:r>
          </w:p>
        </w:tc>
      </w:tr>
      <w:tr>
        <w:trPr>
          <w:trHeight w:val="21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0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39,597</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43,211</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40,682</w:t>
            </w:r>
          </w:p>
        </w:tc>
      </w:tr>
      <w:tr>
        <w:trPr>
          <w:trHeight w:val="21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0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832</w:t>
            </w:r>
          </w:p>
        </w:tc>
        <w:tc>
          <w:tcPr>
            <w:tcW w:w="2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216"/>
        </w:trPr>
        <w:tc>
          <w:tcPr>
            <w:tcW w:w="4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20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1,759</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1,520</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1,602</w:t>
            </w:r>
          </w:p>
        </w:tc>
      </w:tr>
      <w:tr>
        <w:trPr>
          <w:trHeight w:val="210"/>
        </w:trPr>
        <w:tc>
          <w:tcPr>
            <w:tcW w:w="47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77,843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82,008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81,478</w:t>
            </w:r>
          </w:p>
        </w:tc>
      </w:tr>
    </w:tbl>
    <w:p>
      <w:pPr>
        <w:spacing w:after="0" w:line="193"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August 2, 2020, accounts receivable increased by $3.0 million, or 23.6%, compared with August 4, 2019. This increase reflects slower cash collections beginning in the fourth quarter of fiscal 2020 and continuing into our first quarter of fiscal 2021 as a result of the COVID-19 global pandemic. We experienced slower cash collections during the first quarter of fiscal 2021 because we granted extended credit terms to certain customers in response to the challenging business conditions stemming from the pandemic. These extended credit terms are not considered financing arrangements, and we did not experience significant customer delinquencies during the quarter in light of these extended credit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Days’ sales outstanding was 39 days for the first quarter of fiscal 2021, as compared with 32 days for the first quarter of fiscal 2020.</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accounts receivable increased by $3.4 million, or 27.6%, compared with May 3, 2020. This increase reflects the increase in net sales during the first quarter of fiscal 2021 compared with the fourth quarter of fiscal 2020. Net sales for the first quarter of fiscal 2021 were $36.1 million, an increase $12.7 million, or 54.6%, compared with $23.4 million for the fourth quarter of fiscal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inventory decreased by $4.3 million, or 17.8%, compared with August 4, 2019. Additionally, as of August 2, 2020, inventory decreased by $6.6 million, or 24.6%, compared with May 3, 2020. These trends reflect improved inventory management by aligning our inventory purchases to reflect current demand trends.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$39.6 million as of August 2, 2020, represents property, plant, and equipment of $27.0 million and $12.6 million located in the U.S. and Canada, respectively. The $43.2 million as of August 4, 2019, represents property, plant, and equipment of $31.2 million and $12.0 million located in the U.S. and Canada, respectively. The $40.7 million as of May 3, 2020, represents property, plant, and equipment located of $27.7 million and $13.0 million located in the U.S. and Canada, respectively.</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property, plant, and equipment decreased as compared with August 4, 2019, and May 3, 2020. This trend represents a decrease in capital expenditure requirements and a progression toward a more maintenance level of spending on machinery and equipment, as well as significant cost cutting measures during the fourth quarter of fiscal 2020 and the first quarter of fiscal 2021, as part of our comprehensive response to COVID-19.</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a result of the 54.6% sequential increase in our net sales from the fourth quarter of fiscal 2020 to the first quarter of fiscal 2021, we are investing $4 million in additional knit machines to expand our capacity in North America to support our future growth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$832 as of August 2, 2020, represents right of use assets of $297 and $535 located in the U.S. and Canada, respectively. The $235 as of August 4, 2019, and the $362 as of May 3, 2020, represent right of use assets located in the U.S.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August 2, 2020, right of use assets increased as compared with August 4, 2019, and May 3, 2020. This increase reflects the addition of a new warehouse lease agreement associated with our operation located in Canada that was entered into during the first quarter of fiscal 2021. This lease agreement has a three-year term and is set to expire during fiscal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in Unconsolidated Joint Venture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investment in unconsolidated joint venture represents our fifty percent ownership of Class International Holdings Ltd. (See Note 8 to the consolidated financial statements for further details).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40" w:type="dxa"/>
            <w:vAlign w:val="bottom"/>
            <w:gridSpan w:val="3"/>
          </w:tcPr>
          <w:p>
            <w:pPr>
              <w:jc w:val="right"/>
              <w:ind w:right="1119"/>
              <w:spacing w:after="0"/>
              <w:rPr>
                <w:sz w:val="20"/>
                <w:szCs w:val="20"/>
                <w:color w:val="auto"/>
              </w:rPr>
            </w:pPr>
            <w:r>
              <w:rPr>
                <w:rFonts w:ascii="Times New Roman" w:cs="Times New Roman" w:eastAsia="Times New Roman" w:hAnsi="Times New Roman"/>
                <w:sz w:val="16"/>
                <w:szCs w:val="16"/>
                <w:color w:val="auto"/>
              </w:rPr>
              <w:t>Three Months Ended</w:t>
            </w: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August 2, 2020</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August 4, 2019</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 Change</w:t>
            </w:r>
          </w:p>
        </w:tc>
      </w:tr>
      <w:tr>
        <w:trPr>
          <w:trHeight w:val="21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26,011</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29,630</w:t>
            </w:r>
          </w:p>
        </w:tc>
        <w:tc>
          <w:tcPr>
            <w:tcW w:w="9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Produced</w:t>
            </w:r>
          </w:p>
        </w:tc>
        <w:tc>
          <w:tcPr>
            <w:tcW w:w="1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2,230</w:t>
            </w: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2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28,361</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31,860</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upholstery fabrics net sales reflects the continued economic disruption from the COVID-19 pandemic. Additionally, the first quarter of fiscal 2021 was a 13-week period, compared with a 14-week period in the first quarter of fiscal 2020.</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began the quarter slowly due to ongoing closures and restrictions related to the pandemic, but experienced a gradual increase in orders and shipments beginning in mid-May as customers and retail stores started to reopen, followed by a swift upturn during the month of June and further acceleration to end the quarter. We returned all of our previously furloughed workers to meet this rapid increase in demand during the quarter. Our platform in Asia, including our cut and sew capabilities in Vietnam, as well as our long-term supplier relationships, provided support and enabled us to respond quickly and meet the needs of our customers.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Despite the challenges, we were pleased with the sales improvement throughout the quarter as demand increased in most of our businesses, including our residential upholstery business which features our popular lines of Livesmart® and LiveSmart Evolve™ performance fabrics. We have benefited from our ability to continue representing our products for customers through our innovative virtual showcase presentations. Also, our strong product placements with customers prior to the COVID-19 outbreak have advanced our recovery as business conditions improve.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hospitality business was pressured by the COVID-19 disruption during the first quarter due to ongoing disruption in the travel and leisure industries. However, Read Window Products, our window treatment and installation services business, was less affected and provided a meaningful contribution due to existing project orders already in progress prior to the virus outbreak, as well as its emphasis on vacation club properties. We believe the ongoing impact of COVID-19 may continue to negatively affect our hospitality business, at least in the short-term, as it remains uncertain whether hotels and other hospitality venues will undertake new refurnishing projects in the current environment.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7" w:name="page38"/>
    <w:bookmarkEnd w:id="37"/>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we are encouraged by the sales trends experienced during the last four weeks of the first quarter, as well as trends suggesting increases in consumer discretionary spending on home furnishings. However, despite these positive trends, we expect the COVID-19 pandemic will continue to have an impact on our business through at least the second quarter of fiscal 2021. The ongoing economic and health effects of the pandemic, as well as the duration of such effects, remain unknown and depend on factors beyond our knowledge or control. At this time, we cannot reasonably estimate the ongoing impact of the COVID-19 pandemic on our upholstery fabrics segment; however, if conditions worsen, the impact on our employees, suppliers, consumers, and the global economy could adversely affect our operations and financial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Three Months Ended</w:t>
            </w:r>
          </w:p>
        </w:tc>
        <w:tc>
          <w:tcPr>
            <w:tcW w:w="1400" w:type="dxa"/>
            <w:vAlign w:val="bottom"/>
          </w:tcPr>
          <w:p>
            <w:pPr>
              <w:spacing w:after="0"/>
              <w:rPr>
                <w:sz w:val="18"/>
                <w:szCs w:val="18"/>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August 2, 2020</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August 4, 2019</w:t>
            </w: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5,293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6,721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1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21.1%</w:t>
            </w: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(240)bp</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3,180</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3,846</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2,113</w:t>
            </w:r>
          </w:p>
        </w:tc>
        <w:tc>
          <w:tcPr>
            <w:tcW w:w="2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2,875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9.0%</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(150)bp</w:t>
            </w:r>
          </w:p>
        </w:tc>
      </w:tr>
      <w:tr>
        <w:trPr>
          <w:trHeight w:val="21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credit</w:t>
            </w:r>
          </w:p>
        </w:tc>
        <w:tc>
          <w:tcPr>
            <w:tcW w:w="1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35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decrease in upholstery fabrics profitability was primarily due to the decrease in sales noted above, partially offset by lower SG&amp;A expenses due to lower compensation expense and reduced spending on travel and entertainment.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4,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14,308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11,029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12,881</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5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20,332</w:t>
            </w:r>
          </w:p>
        </w:tc>
        <w:tc>
          <w:tcPr>
            <w:tcW w:w="2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23,183</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21,287</w:t>
            </w: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1,856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3"/>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3,802</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3,054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0"/>
        </w:trPr>
        <w:tc>
          <w:tcPr>
            <w:tcW w:w="4260" w:type="dxa"/>
            <w:vAlign w:val="bottom"/>
            <w:tcBorders>
              <w:bottom w:val="single" w:sz="8" w:color="auto"/>
            </w:tcBorders>
            <w:shd w:val="clear" w:color="auto" w:fill="CFF0FC"/>
          </w:tcPr>
          <w:p>
            <w:pPr>
              <w:spacing w:after="0"/>
              <w:rPr>
                <w:sz w:val="18"/>
                <w:szCs w:val="18"/>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40,076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39,122</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37,434</w:t>
            </w:r>
          </w:p>
        </w:tc>
      </w:tr>
    </w:tbl>
    <w:p>
      <w:pPr>
        <w:spacing w:after="0" w:line="193"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August 2, 2020, accounts receivable increased by $3.3 million, or 29.7%, compared with August 4, 2019. This increase reflects slower cash collections beginning in the fourth quarter of fiscal 2020 and continuing into our first quarter of fiscal 2021 as a result of the COVID-19 global pandemic. We experienced slower cash collections during the first quarter of fiscal 2021 primarily because we granted extended credit terms to certain customers in response to the challenging business conditions stemming from the pandemic. These extended credit terms are not considered financing arrangements, and we did not experience significant customer delinquencies during the quarter in light of these extended credit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Days’ sales outstanding was 44 days during the first quarter of fiscal 2021, as compared with 32 days during the first quarter of fiscal 2020.</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accounts receivable increased by $1.4 million, or 11.1%, compared with May 3, 2020. This increase reflects the increase in net sales during the first quarter of fiscal 2021 compared with the fourth quarter of fiscal 2020. Net sales during the first quarter of fiscal 2021 were $28.4 million, an increase $4.3 million, or 18.1%, compared with net sales of $24.0 million during the fourth quarter of fiscal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of August 2, 2020, inventory decreased by $2.9 million, or 12.3%, compared with August 4, 2019. Additionally, as of August 2, 2020, inventory decreased by $1.0 million, or 4.5%, compared with May 3, 2020. These trends reflect improved inventory management by aligning our inventory purchases to reflect current demand trends.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$1.6 million as of August 2, 2020, represents property, plant, and equipment of $1.2 million and $456,000 located in the U.S. and China, respectively. The $1.9 million as of August 4, 2019, represents property, plant, and equipment of $1.3 million and $548,000 located in the U.S. and China, respectively. The $1.6 million as of May 3, 2020, represents property, plant, and equipment of $1.2 million and $471,000 located in the U.S. and China,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$3.8 million as of August 2, 2020, represents right of use assets of $3.1 million and $710,000 located in China and the U.S., respectively. The $3.1 million as of August 4, 2019, represents right of use assets of $1.8 million and $1.3 million located in China and the U.S., respectively. The $1.6 million as of May 3, 2020, represents right of use assets of $857,000 and $776,000 located in the U.S. and China, respectively.</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right of use assets increased as compared with August 4, 2019, and May 3, 2020. This increase primarily reflects the renewal of certain lease agreements that extended the lease terms for two buildings associated with our operations located in China. The amount of the increase associated with our right of use assets is based on the length of the lease term remaining on our leases prior to its expiration or option to renew in relation to the reporting periods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As previously disclosed, we sold our majority ownership interest in eLuxury, LLC (“eLuxury”) during the fourth quarter of fiscal 2020, resulting in the elimination of our home accessories segment at such time. Accordingly, there are no results of operations and assets and liabilities for the home accessories segment in the company’s continuing operations for the first quarter of fiscal 2021, and the results for this segment are excluded from the company’s continuing operations for the three-month period ended August 4, 2019 and have been reclassified and presented as a discontinued operation in our consolidated financial statements. See Note 3 - Home Accessories Segment - Discontinued Operation, of the consolidated financial statements for further details, and see also the section titled “Item 7. MANAGEMENT’S DISCUSSION AND ANALYSIS OF FINANCIAL CONDITION – 2020 compared with 2019 – Segment Analysis - Discontinued Operation</w:t>
      </w:r>
    </w:p>
    <w:p>
      <w:pPr>
        <w:spacing w:after="0" w:line="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 Home Accessories Segment” in our Form 10-K filed with the Securities and Exchange Commission on July 17, 2020, for the fiscal year ended May 3, 2020,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2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color w:val="auto"/>
              </w:rPr>
              <w:t>Three Months Ended</w:t>
            </w:r>
          </w:p>
        </w:tc>
        <w:tc>
          <w:tcPr>
            <w:tcW w:w="1500" w:type="dxa"/>
            <w:vAlign w:val="bottom"/>
          </w:tcPr>
          <w:p>
            <w:pPr>
              <w:spacing w:after="0"/>
              <w:rPr>
                <w:sz w:val="18"/>
                <w:szCs w:val="18"/>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August 2, 2020</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August 4, 2019</w:t>
            </w: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8,018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9,149</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7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7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260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1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first quarter of fiscal 2021 compared with the first quarter of fiscal 2020 is mostly due to our significant cost cutting measures during the fourth quarter of fiscal 2020 that continued into the first quarter of fiscal 2021 as part of our comprehensive response to the COVID-19 global pandemic. These significant cost cutting measures primarily related to compensation and included (i) implementing temporary salary reductions, (ii) making workforce adjustments to align with demand, and (iii) suspending merit pay increases. Additionally, we aggressively reduced discretionary spending such as professional fees and travel and entertainment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three-months ended August 2, 2020, our interest expense is attributable to interest paid on amounts borrowed during the fourth quarter of fiscal 2020 in connection with the disruption from the COVID-19 global pandemic. As a result of the uncertainty relating to the duration of the pandemic and its overall effect on our business, we proactively borrowed $30.8 million under our lines of credit and applied for and received a $7.6 million loan under the SBA’s Paycheck Protection Program. During the first quarter of fiscal 2021, we repaid in full the PPP loan and all of the borrowings that were outstanding under our lines of credit as of May 3, 2020, and as a result, we did not have any outstanding borrowings under our lines of credit as of August 2, 2020.</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three-months ended August 4, 2019, we did not report any interest expense associated with our continuing operations, which reflects our historically low amount of borrowings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Interest income reflects interest earned on our current investments of excess cash held in money market funds, mutual funds, short-term bond funds, and investment-grade U.S. corporate, foreign, and government bonds, as well as interest earned on money market and mutual fund investments associated with our rabbi trust that funds our deferred compensation plan. The decrease in interest income during the first quarter of fiscal 2021 compared with the first quarter of fiscal 2020 is due mostly to a decrease in interest rates associated with these investments.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other expense during the first quarter of fiscal 2021, as compared to the prior year period, is due mostly to less favorable foreign currency exchange rates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recorded income tax expense of $4.3 million, or 283.7% of income before income taxes from continuing operations, for the three-month period ended August 2, 2020, compared with income tax expense of $1.7 million, or 48.9% of income before income taxes from continuing operations, for the three-month period ended August 4, 2019. Our effective income tax rates associated with our continuing operations for the three-month periods ended August 2, 2020, and August 4, 2019, were based upon the estimated effective income tax rate applicable for the full year after giving effect to any significant items related specifically to interim periods.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three-month periods ending August 2, 2020 and August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125095</wp:posOffset>
            </wp:positionV>
            <wp:extent cx="22713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5560" w:type="dxa"/>
            <w:vAlign w:val="bottom"/>
            <w:gridSpan w:val="2"/>
          </w:tcPr>
          <w:p>
            <w:pPr>
              <w:jc w:val="right"/>
              <w:ind w:right="109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6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August 2, 2020</w:t>
            </w: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August 4, 2019</w:t>
            </w:r>
          </w:p>
        </w:tc>
      </w:tr>
      <w:tr>
        <w:trPr>
          <w:trHeight w:val="21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21.0%</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474.4</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income tax law change</w:t>
            </w:r>
          </w:p>
        </w:tc>
        <w:tc>
          <w:tcPr>
            <w:tcW w:w="39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(232.5)</w:t>
            </w:r>
          </w:p>
        </w:tc>
        <w:tc>
          <w:tcPr>
            <w:tcW w:w="1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9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9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19.6</w:t>
            </w:r>
          </w:p>
        </w:tc>
        <w:tc>
          <w:tcPr>
            <w:tcW w:w="1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3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1.2</w:t>
            </w:r>
          </w:p>
        </w:tc>
        <w:tc>
          <w:tcPr>
            <w:tcW w:w="1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5680" w:type="dxa"/>
            <w:vAlign w:val="bottom"/>
            <w:tcBorders>
              <w:bottom w:val="single" w:sz="8" w:color="auto"/>
            </w:tcBorders>
            <w:shd w:val="clear" w:color="auto" w:fill="CFF0FC"/>
          </w:tcPr>
          <w:p>
            <w:pPr>
              <w:spacing w:after="0"/>
              <w:rPr>
                <w:sz w:val="18"/>
                <w:szCs w:val="18"/>
                <w:color w:val="auto"/>
              </w:rPr>
            </w:pPr>
          </w:p>
        </w:tc>
        <w:tc>
          <w:tcPr>
            <w:tcW w:w="39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283.7%</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Tax Law Change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July 20, 2020, the U.S Treasury Department finalized and enacted previously proposed regulations regarding the GILTI tax provisions of the Tax Cuts and Jobs Act of 2017 (“TCJA”). Prior to this enactment, GILTI represented a significant U.S. income tax on our foreign earnings during fiscal 2019 ($2.1 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of fiscal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fiscal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continuing economic uncertainty associated with the COVID-19 global pandemic. As a result of the significant weight of this negative evidence, we believe it is more-likely-than-not that our U.S. net 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recorded a $271,000 income tax charge through our first quarter of fiscal 2021 to provide for a full valuation allowance against a U.S. income tax loss carryforward that is originating during the current fiscal year. The $271,000 was included in our annual effective income tax rate and not treated as a discrete event.</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August 2, 2020, August 4, 2019, and May 3, 2020, valuation allowances against our net deferred income taxes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August 2, 2020</w:t>
            </w:r>
          </w:p>
        </w:tc>
        <w:tc>
          <w:tcPr>
            <w:tcW w:w="16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August 4, 2019</w:t>
            </w: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7,830</w:t>
            </w:r>
          </w:p>
        </w:tc>
        <w:tc>
          <w:tcPr>
            <w:tcW w:w="16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711</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867</w:t>
            </w:r>
          </w:p>
        </w:tc>
      </w:tr>
      <w:tr>
        <w:trPr>
          <w:trHeight w:val="213"/>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2,281</w:t>
            </w:r>
          </w:p>
        </w:tc>
        <w:tc>
          <w:tcPr>
            <w:tcW w:w="1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2,281</w:t>
            </w:r>
          </w:p>
        </w:tc>
      </w:tr>
      <w:tr>
        <w:trPr>
          <w:trHeight w:val="210"/>
        </w:trPr>
        <w:tc>
          <w:tcPr>
            <w:tcW w:w="50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10,111</w:t>
            </w:r>
          </w:p>
        </w:tc>
        <w:tc>
          <w:tcPr>
            <w:tcW w:w="16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711</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accordance with ASC Topic 740, we assess whether the undistributed earnings from our foreign subsidiaries will be reinvested indefinitely or eventually distributed to our U.S. parent company. ASC Topic 740 requires that a deferred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15 of the consolidated financial statements for disclosures regarding our assessments of our recorded deferred income tax liability balances associated with undistributed earnings from our foreign subsidiaries as of August 2, 2020, August 4, 2019, and May 3, 2020,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15 located of the consolidated financial statements for disclosures regarding our assessments of our uncertain income tax positions as of August 2, 2020, August 4, 2019, and May 3, 2020,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Paid</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Our net income tax payments totaled $9,000 during the first quarter of fiscal 2021 compared with $1.8 million during the first quarter of fiscal 2020. The net income tax payments totaling $9,000 represented income tax payments associated with our foreign jurisdictions totaling $755,000 that were mostly offset by a U.S. income tax refund of $746,000 (see </w:t>
      </w:r>
      <w:r>
        <w:rPr>
          <w:rFonts w:ascii="Times New Roman" w:cs="Times New Roman" w:eastAsia="Times New Roman" w:hAnsi="Times New Roman"/>
          <w:sz w:val="20"/>
          <w:szCs w:val="20"/>
          <w:i w:val="1"/>
          <w:iCs w:val="1"/>
          <w:color w:val="auto"/>
        </w:rPr>
        <w:t>United States</w:t>
      </w:r>
      <w:r>
        <w:rPr>
          <w:rFonts w:ascii="Times New Roman" w:cs="Times New Roman" w:eastAsia="Times New Roman" w:hAnsi="Times New Roman"/>
          <w:sz w:val="20"/>
          <w:szCs w:val="20"/>
          <w:color w:val="auto"/>
        </w:rPr>
        <w:t xml:space="preserve"> section below for further details). The income tax payments totaling $1.8 million represented income tax payments associated with our foreign jurisdictions totaling $984,000 and a withholding tax payment of $838,000 paid to the Chinese government for earnings and profits repatriated to the U.S. parent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Alternative Minimum Tax (AMT)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decrease in tax payments during the first quarter of fiscal 2021 reflects the provisions of the TCJA, as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of our fiscal 2021 and fiscal 2022 years, respectively. Net income taxes paid for the three-month period ending August 2, 2020, included our first 50% installment of our refundable balance totaling $746,000.</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accordance with the provisions of the Coronavirus Aid, Relief and Economic Security Act of 2020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currently do not expect to pay income taxes in the U.S. on a cash basis during fiscal 2021 due to: (i) our exclusion from the GILTI tax as a result of the U.S. Treasury regulations finalized and enacted on July 20, 2020; (ii) AMT income tax refunds totaling $1.5 million received during the first and second quarters of fiscal 2021; (iii) the immediate expensing of U.S. capital expenditures, and (iv) our existing U.S. Federal net operating loss carryforwards totaling $21.9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$40.0 million and short-term investments (available for sale) of $1 million as of August 2, 2020, cash flow from operations, and the current availability ($35.7 million) under our revolving credit lines will be sufficient to fund our foreseeable business needs and our contractual obligations.</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August 2, 2020, our cash and cash equivalents, short-term investments (available for sale), and short-term and long-term investments (held-to-maturity) totaled $47.4 million, compared with $77.1 million as of May 3, 2020.</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decrease from the end of fiscal 2020 is attributable to repayment of all of the outstanding borrowings associated with our U.S. and China lines of credit and the PPP loan, which borrowings totaled $38.4 million. Excluding the repayments made on our lines of credit and the PPP loan, our cash and cash equivalents, short-term investments (available for sale), and short-term and long-term investments (held-to-maturity) as of August 2, 2020, would have increased $8.7 million as compared to May 3, 2020. This increase was mostly due to (i) net cash provided by operating activities totaling $10.6 million, partially offset by (ii) a cash payment of $1.3 million in the form of a regular quarterly dividend payment to shareholders, and (iii) $500,000 of capital expenditures that were primarily related to our mattress fabrics segment.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net cash provided by operating activities was $10.6 million during the first quarter of fiscal 2021, compared with $2.0 of net cash provided by operating activities during the first quarter of fiscal 2020. This increase is due mostly to improved working capital management. Additionally, our discontinued operation had net cash used in operating activities totaling $1.4 million during the first quarter of fiscal 2020. Our discontinued operation did not have any net cash (used in) or provided by investing activities during the first quarter of fiscal</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2020. Our discontinued operation had net cash provided by financing activities, all of which were loan proceeds and capital contributions from the company and the non-controlling interest holder of eLuxury, totaling $1.4 million during the first quarter of fiscal 2020. We believe our liquidity will improve in the absence of our former home accessories segment due to the significant losses incurred by that segment and the funding of its working capital requirements primarily by the company through loans and capital contributions that will no longer be required.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there were no outstanding borrowings under our lines of credit.</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income taxes we pay also affects our liquidity. See the section titled “Income Taxes Paid” of this Item 2 - Management’s Discussion and Analysis of Financial Condition section for further details.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cash and cash equivalents and short-term investments (available for sale) balance may be adversely affected by factors beyond our control, such as the continuing uncertainty of the COVID-19 global pandemic, lower net sales due to consumer demand, and delays in receipt of payment on accounts receivable.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 summary of our cash and cash equivalents, short-term investments (available for sale), and short-term and long-term investments (held-to-maturity) by geographic area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August 4,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41,598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37,906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65,327</w:t>
            </w: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27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3,974</w:t>
            </w:r>
          </w:p>
        </w:tc>
        <w:tc>
          <w:tcPr>
            <w:tcW w:w="2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4,654</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10,531</w:t>
            </w:r>
          </w:p>
        </w:tc>
      </w:tr>
      <w:tr>
        <w:trPr>
          <w:trHeight w:val="21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27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1,761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1,160</w:t>
            </w:r>
          </w:p>
        </w:tc>
      </w:tr>
      <w:tr>
        <w:trPr>
          <w:trHeight w:val="21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2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406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47,375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44,236</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77,060</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As discussed above, the decrease in our cash and investments, specifically in the U.S., as of August 2, 2020, compared with May 3, 2020, is attributable to repayment of all of the outstanding borrowings associated with our lines of credit and PPP loan, which totaled $38.4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during the three-month period ending August 2, 2020. Additionally, we did not purchase any share of our common stock during the three-month period ending August 4,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had $5.0 million available for repurchases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Program</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September 2, 2020, we announced that our board of directors approved a quarterly cash dividend of $0.105 per share. This payment will be made on or about October 15, 2020, to shareholders of record as of October 8, 2020.</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three-months ended August 2, 2020, dividend payments totaled $1.3 million, which represented a quarterly dividend payment of $0.105 per share. During the three-months ended August 4, 2019, dividend payments totaled $1.2 million, which represented a quarterly dividend payment of $0.10 per share.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conditions, and other factors we consider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(accounts receivable and inventories, less accounts payable-trade, accounts payable-capital expenditures, and deferred revenue) was $43.5 million as of August 2, 2020, compared with $48.7 million as of August 4, 2019, and $49.4 million as of May 3, 2020. Operating working capital turnover was 5.0 during the first quarter of fiscal 2021, compared with 5.7 during the first quarter of fiscal 2020 and 5.1 during the fourth quarter of fiscal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as of August 2, 2020, totaling $29.9 million, increased $6.2 million, or 26.3%, compared with $23.7 million at August 4, 2019. This increase reflects slower cash collections on accounts receivable beginning in the fourth quarter of fiscal 2020 and continuing into our first quarter of fiscal 2021 as a result of the COVID-19 global pandemic. We experienced slower cash collections during the first quarter of fiscal 2021 because we granted extended credit terms to certain customers in response to the challenging business conditions stemming from the pandemic. These extended credit terms are not considered financing arrangements, and we did not experience significant customer delinquencies during the quarter in light of these extended credit terms.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August 2, 2020, accounts receivable increased by $4.8 million, or 19.1%, compared with May 3, 2020. This increase reflects the increase in net sales during the first quarter of fiscal 2021 compared with the fourth quarter of fiscal 2020. Net sales during the first quarter of fiscal 2021 were $64.5 million, an increase of $17.1 million, or 36%, compared with net sales of $47.4 million during the fourth quarter of fiscal 2020.</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Days’ sales outstanding were 41 days for the first quarter of fiscal 2021, compared with 30 days for the first quarter of fiscal 2020 and 48 days for the fourth quarter of fiscal 2020.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Inventories as of August 2, 2020, totaling $40.4 million, decreased $7.2 million, or 15.1%, compared with $47.6 million as of August 4, 2019. Additionally, as of August 2, 2020, inventory decreased by $7.5 million, or 15.7%, compared with May 3, 2020. These trends reflect improved inventory management by aligning our inventory purchases to reflect current demand trends.</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5.3 for the first quarter of fiscal 2021, compared with 4.9 for the first quarter of fiscal 2020 and 3.5 for the fourth quarter of fiscal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Accounts payable- trade as of August 2, 2020, totaling $25.7 million, increased $3.9 million, or 17.8%, compared with $21.9 million as of August 4, 2019. This increase in accounts payable reflects our negotiation of temporary credit terms with our vendors and landlords as part of our comprehensive response to the COVID-19 global pandemic.</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payable- trade as of August 2, 2020, totaling $25.7 million, increased $2.7 million, or 11.9%, compared with $23.0 million as of May 3, 2020. This increase represents the increase in net sales and temporary extension of terms negotiated with our vendors during the first quarter of fiscal 2021 compared with the fourth quarter of fiscal 2020. Net sales during the first quarter of fiscal 2021 were $64.5 million, an increase of $17.1 million, or 36%, compared with net sales of $47.4 million during the fourth quarter of fiscal 2020.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Arrangements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did not have any outstanding borrowings associated with our revolving credit agreements.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August 2, 2020, we were in compliance with these financial covenants.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details of our revolving credit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Capital expenditures on a cash basis were $500,000 for the first quarter of fiscal 2021, compared with $935,000 for the same period a year ago. Capital expenditures primarily related to our mattress fabrics segment for both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$1.8 million for the first quarter of fiscal 2021, compared with $1.9 million for the same period a year ago.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mostly related to our mattress fabrics segment for both periods.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fiscal 2021, we are projecting cash capital expenditures to be in the range of $8.5 million to $9.0 million. Depreciation expense is projected to be approximately $7.0 million in fiscal 2021. The estimated capital expenditures and depreciation expense for fiscal 2021 mostly relate to the mattress fabrics segment. These are management’s current expectations only, and changes in our business and the unknown duration and financial impact of the COVID-19 global pandemic could cause changes in plans for capital expenditure and expectations related to depreciation expense. Funding for capital expenditures is expected to be primarily from cash provided by 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August 2, 2020, we had total amounts due regarding capital expenditures totaling $333,000 pertaining to outstanding vendor invoices, none of which were financed. The total amount outstanding of 333,000 is required to be paid based on normal credit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2, 2020, we had open purchase commitments to acquire equipment for our mattress fabrics segment totaling $2.0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Critical Accounting Policies and Recent Accounting Developments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August 2, 2020, there were no changes in our significant accounting policies or the application of those policies from those reported in our annual report on Form 10-K for the year ended May 3, 2020.</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since the filing of our Form 10-K for the year ended May 3,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Obligations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than as disclosed in Note 17 of the consolidated financial statements, as of August 3, 2020, there were no significant or new contractual obligations from those reported in our annual report on Form 10-K for the year ended May 3,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Inflation</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3.</w:t>
      </w:r>
      <w:r>
        <w:rPr>
          <w:sz w:val="20"/>
          <w:szCs w:val="20"/>
          <w:color w:val="auto"/>
        </w:rPr>
        <w:tab/>
      </w:r>
      <w:r>
        <w:rPr>
          <w:rFonts w:ascii="Times New Roman" w:cs="Times New Roman" w:eastAsia="Times New Roman" w:hAnsi="Times New Roman"/>
          <w:sz w:val="19"/>
          <w:szCs w:val="19"/>
          <w:u w:val="single" w:color="auto"/>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U.S. revolving credit agreement requires interest to be charged at a rate (applicable interest rate of 1.75% at August 2, 2020) as a variable spread over LIBOR based on the company’s ratio of debt to EBITDA as defined in the U.S. revolving credit agreement. As of August 2, 2020, there were no outstanding borrowings under our U.S. revolving credit agreement. Our revolving credit agreement associated with our operations located in China bears interest at a rate determined by the Chinese government. As of August 2, 2020, there were not any borrowing outstanding pursuant to our revolving credit agreement associated with our operations located in China.</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although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August 2, 2020, would not have had a significant impact on our results of operations or financial position.</w:t>
      </w:r>
    </w:p>
    <w:p>
      <w:pPr>
        <w:spacing w:after="0" w:line="1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4.</w:t>
      </w:r>
      <w:r>
        <w:rPr>
          <w:sz w:val="20"/>
          <w:szCs w:val="20"/>
          <w:color w:val="auto"/>
        </w:rPr>
        <w:tab/>
      </w:r>
      <w:r>
        <w:rPr>
          <w:rFonts w:ascii="Times New Roman" w:cs="Times New Roman" w:eastAsia="Times New Roman" w:hAnsi="Times New Roman"/>
          <w:sz w:val="19"/>
          <w:szCs w:val="19"/>
          <w:u w:val="single" w:color="auto"/>
          <w:color w:val="auto"/>
        </w:rPr>
        <w:t>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August 2, 2020,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Executive Chairman, Chief Executive Officer, and Chief Financial Officer. Based upon that evaluation, our Executive Chairman,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August 2, 2020,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1.</w:t>
      </w:r>
      <w:r>
        <w:rPr>
          <w:sz w:val="20"/>
          <w:szCs w:val="20"/>
          <w:color w:val="auto"/>
        </w:rPr>
        <w:tab/>
      </w:r>
      <w:r>
        <w:rPr>
          <w:rFonts w:ascii="Times New Roman" w:cs="Times New Roman" w:eastAsia="Times New Roman" w:hAnsi="Times New Roman"/>
          <w:sz w:val="19"/>
          <w:szCs w:val="19"/>
          <w:u w:val="single" w:color="auto"/>
          <w:color w:val="auto"/>
        </w:rPr>
        <w:t>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August 2, 2020. Our legal proceedings are disclosed in the company’s annual report on Form 10-K filed with the Securities and Exchange Commission on July 17, 2020, for the fiscal year ended May 3, 2020.</w:t>
      </w:r>
    </w:p>
    <w:p>
      <w:pPr>
        <w:spacing w:after="0" w:line="1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u w:val="single" w:color="auto"/>
          <w:color w:val="auto"/>
        </w:rPr>
        <w:t>Item 1A.</w:t>
      </w:r>
      <w:r>
        <w:rPr>
          <w:sz w:val="20"/>
          <w:szCs w:val="20"/>
          <w:color w:val="auto"/>
        </w:rPr>
        <w:tab/>
      </w:r>
      <w:r>
        <w:rPr>
          <w:rFonts w:ascii="Times New Roman" w:cs="Times New Roman" w:eastAsia="Times New Roman" w:hAnsi="Times New Roman"/>
          <w:sz w:val="19"/>
          <w:szCs w:val="19"/>
          <w:u w:val="single" w:color="auto"/>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August 2, 2020. Our risk factors are disclosed in Item 1A “Risk Factors” of the company’s annual report on Form 10-K filed with the Securities and Exchange Commission on July 17, 2020 for the fiscal year ended May 3, 2020.</w:t>
      </w:r>
    </w:p>
    <w:p>
      <w:pPr>
        <w:spacing w:after="0" w:line="1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Unregistered Sales of Equity Securities and Use of Proceeds</w:t>
      </w:r>
    </w:p>
    <w:p>
      <w:pPr>
        <w:spacing w:after="0" w:line="17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4"/>
              </w:rPr>
              <w:t>Total</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as Part of</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Number</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Publicly</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of Shares</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Price Paid</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rPr>
              <w:t>Purchased</w:t>
            </w:r>
          </w:p>
        </w:tc>
        <w:tc>
          <w:tcPr>
            <w:tcW w:w="3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Programs (1)</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4, 2020 to June 7, 2020</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1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June 8, 2020 to July 5, 2020</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6, 2020 to August 2, 2020</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bl>
    <w:p>
      <w:pPr>
        <w:spacing w:after="0" w:line="202" w:lineRule="exact"/>
        <w:rPr>
          <w:sz w:val="20"/>
          <w:szCs w:val="20"/>
          <w:color w:val="auto"/>
        </w:rPr>
      </w:pPr>
    </w:p>
    <w:p>
      <w:pPr>
        <w:jc w:val="both"/>
        <w:ind w:left="360" w:hanging="352"/>
        <w:spacing w:after="0" w:line="281"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 As part of our comprehensive response to the COVID-19 pandemic, we announced on April 3, 2020, that our board of directors temporarily suspended the share repurchase program given the ongoing economic disruption and uncertainty.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6" w:name="page47"/>
    <w:bookmarkEnd w:id="46"/>
    <w:p>
      <w:pPr>
        <w:spacing w:after="0"/>
        <w:tabs>
          <w:tab w:leader="none" w:pos="1840" w:val="left"/>
        </w:tabs>
        <w:rPr>
          <w:sz w:val="20"/>
          <w:szCs w:val="20"/>
          <w:color w:val="auto"/>
        </w:rPr>
      </w:pPr>
      <w:r>
        <w:rPr>
          <w:rFonts w:ascii="Times New Roman" w:cs="Times New Roman" w:eastAsia="Times New Roman" w:hAnsi="Times New Roman"/>
          <w:sz w:val="20"/>
          <w:szCs w:val="20"/>
          <w:u w:val="single" w:color="auto"/>
          <w:color w:val="auto"/>
        </w:rPr>
        <w:t>Item 6.</w:t>
      </w:r>
      <w:r>
        <w:rPr>
          <w:sz w:val="20"/>
          <w:szCs w:val="20"/>
          <w:color w:val="auto"/>
        </w:rPr>
        <w:tab/>
      </w:r>
      <w:r>
        <w:rPr>
          <w:rFonts w:ascii="Times New Roman" w:cs="Times New Roman" w:eastAsia="Times New Roman" w:hAnsi="Times New Roman"/>
          <w:sz w:val="19"/>
          <w:szCs w:val="19"/>
          <w:u w:val="single" w:color="auto"/>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1">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31.3</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2">
              <w:r>
                <w:rPr>
                  <w:rFonts w:ascii="Times New Roman" w:cs="Times New Roman" w:eastAsia="Times New Roman" w:hAnsi="Times New Roman"/>
                  <w:sz w:val="16"/>
                  <w:szCs w:val="16"/>
                  <w:u w:val="single" w:color="auto"/>
                  <w:color w:val="0000EE"/>
                </w:rPr>
                <w:t>Certification of Chief Financial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4">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32.3</w:t>
            </w:r>
          </w:p>
        </w:tc>
        <w:tc>
          <w:tcPr>
            <w:tcW w:w="8960" w:type="dxa"/>
            <w:vAlign w:val="bottom"/>
          </w:tcPr>
          <w:p>
            <w:pPr>
              <w:ind w:left="60"/>
              <w:spacing w:after="0"/>
              <w:rPr>
                <w:rFonts w:ascii="Times New Roman" w:cs="Times New Roman" w:eastAsia="Times New Roman" w:hAnsi="Times New Roman"/>
                <w:sz w:val="16"/>
                <w:szCs w:val="16"/>
                <w:u w:val="single" w:color="auto"/>
                <w:color w:val="0000EE"/>
              </w:rPr>
            </w:pPr>
            <w:hyperlink w:anchor="page55">
              <w:r>
                <w:rPr>
                  <w:rFonts w:ascii="Times New Roman" w:cs="Times New Roman" w:eastAsia="Times New Roman" w:hAnsi="Times New Roman"/>
                  <w:sz w:val="16"/>
                  <w:szCs w:val="16"/>
                  <w:u w:val="single" w:color="auto"/>
                  <w:color w:val="0000EE"/>
                </w:rPr>
                <w:t>Certification of Chief Financial Officer Pursuant to Section 906 of Sarbanes-Oxley Act of 2002.</w:t>
              </w:r>
            </w:hyperlink>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CULP, INC.</w:t>
            </w:r>
          </w:p>
        </w:tc>
      </w:tr>
      <w:tr>
        <w:trPr>
          <w:trHeight w:val="212"/>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(Registrant)</w:t>
            </w:r>
          </w:p>
        </w:tc>
      </w:tr>
      <w:tr>
        <w:trPr>
          <w:trHeight w:val="408"/>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11, 2020</w:t>
            </w:r>
          </w:p>
        </w:tc>
        <w:tc>
          <w:tcPr>
            <w:tcW w:w="25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Kenneth R. Bowling</w:t>
            </w:r>
          </w:p>
        </w:tc>
      </w:tr>
      <w:tr>
        <w:trPr>
          <w:trHeight w:val="18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Kenneth R. Bowling</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(Authorized to sign on behalf of the registrant and also signing as principal</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financial officer)</w:t>
            </w:r>
          </w:p>
        </w:tc>
      </w:tr>
      <w:tr>
        <w:trPr>
          <w:trHeight w:val="610"/>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B. Gallagher, Jr.</w:t>
            </w:r>
          </w:p>
        </w:tc>
      </w:tr>
      <w:tr>
        <w:trPr>
          <w:trHeight w:val="18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Thomas B. Gallagher, Jr.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Corporate Controller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(Authorized to sign on behalf of the registrant and also signing as principal</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100" w:type="dxa"/>
            <w:vAlign w:val="bottom"/>
            <w:gridSpan w:val="5"/>
          </w:tcPr>
          <w:p>
            <w:pPr>
              <w:ind w:left="37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Exhibit</w:t>
            </w:r>
          </w:p>
        </w:tc>
      </w:tr>
      <w:tr>
        <w:trPr>
          <w:trHeight w:val="277"/>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676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of Co-Principal Executive Officer Pursuant to Section 302 of Sarbanes-Oxley Act of 2002.</w:t>
            </w:r>
          </w:p>
        </w:tc>
        <w:tc>
          <w:tcPr>
            <w:tcW w:w="3340" w:type="dxa"/>
            <w:vAlign w:val="bottom"/>
            <w:tcBorders>
              <w:top w:val="single" w:sz="8" w:color="auto"/>
            </w:tcBorders>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Certification of Co-Principal Executive Officer Pursuant to Section 302 of Sarbanes-Oxley Act of 2002.</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24"/>
                <w:szCs w:val="24"/>
                <w:color w:val="auto"/>
              </w:rPr>
            </w:pPr>
          </w:p>
        </w:tc>
        <w:tc>
          <w:tcPr>
            <w:tcW w:w="62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 Section 302 of Sarbanes-Oxley Act of 2002.</w:t>
            </w:r>
          </w:p>
        </w:tc>
        <w:tc>
          <w:tcPr>
            <w:tcW w:w="480" w:type="dxa"/>
            <w:vAlign w:val="bottom"/>
            <w:tcBorders>
              <w:top w:val="single" w:sz="8" w:color="0000EE"/>
            </w:tcBorders>
          </w:tcPr>
          <w:p>
            <w:pPr>
              <w:spacing w:after="0"/>
              <w:rPr>
                <w:sz w:val="24"/>
                <w:szCs w:val="24"/>
                <w:color w:val="auto"/>
              </w:rPr>
            </w:pPr>
          </w:p>
        </w:tc>
        <w:tc>
          <w:tcPr>
            <w:tcW w:w="3360" w:type="dxa"/>
            <w:vAlign w:val="bottom"/>
            <w:gridSpan w:val="2"/>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6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of Co-Principal Executive Officer Pursuant to Section 906 of Sarbanes-Oxley Act of 2002.</w:t>
            </w:r>
          </w:p>
        </w:tc>
        <w:tc>
          <w:tcPr>
            <w:tcW w:w="334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Certification of Co-Principal Executive Officer Pursuant to Section 906 of Sarbanes-Oxley Act of 2002.</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4"/>
                <w:szCs w:val="24"/>
                <w:color w:val="auto"/>
              </w:rPr>
            </w:pPr>
          </w:p>
        </w:tc>
        <w:tc>
          <w:tcPr>
            <w:tcW w:w="6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 Section 906 of Sarbanes-Oxley Act of 2002.</w:t>
            </w:r>
          </w:p>
        </w:tc>
        <w:tc>
          <w:tcPr>
            <w:tcW w:w="500" w:type="dxa"/>
            <w:vAlign w:val="bottom"/>
            <w:tcBorders>
              <w:top w:val="single" w:sz="8" w:color="0000EE"/>
            </w:tcBorders>
            <w:gridSpan w:val="2"/>
          </w:tcPr>
          <w:p>
            <w:pPr>
              <w:spacing w:after="0"/>
              <w:rPr>
                <w:sz w:val="24"/>
                <w:szCs w:val="24"/>
                <w:color w:val="auto"/>
              </w:rPr>
            </w:pPr>
          </w:p>
        </w:tc>
        <w:tc>
          <w:tcPr>
            <w:tcW w:w="3360" w:type="dxa"/>
            <w:vAlign w:val="bottom"/>
            <w:gridSpan w:val="2"/>
          </w:tcPr>
          <w:p>
            <w:pPr>
              <w:spacing w:after="0"/>
              <w:rPr>
                <w:sz w:val="24"/>
                <w:szCs w:val="24"/>
                <w:color w:val="auto"/>
              </w:rPr>
            </w:pPr>
          </w:p>
        </w:tc>
      </w:tr>
      <w:tr>
        <w:trPr>
          <w:trHeight w:val="339"/>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II-4</w:t>
      </w:r>
    </w:p>
    <w:p>
      <w:pPr>
        <w:sectPr>
          <w:pgSz w:w="11900" w:h="16838" w:orient="portrait"/>
          <w:cols w:equalWidth="0" w:num="1">
            <w:col w:w="11240"/>
          </w:cols>
          <w:pgMar w:left="320" w:top="34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Franklin N. Saxon, certify that:</w:t>
      </w:r>
    </w:p>
    <w:p>
      <w:pPr>
        <w:spacing w:after="0" w:line="189" w:lineRule="exact"/>
        <w:rPr>
          <w:sz w:val="20"/>
          <w:szCs w:val="20"/>
          <w:color w:val="auto"/>
        </w:rPr>
      </w:pPr>
    </w:p>
    <w:p>
      <w:pPr>
        <w:ind w:left="620" w:hanging="612"/>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2020</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2020</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2020</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8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August 2, 2020, as filed with the Securities and Exchange Commission on the date hereof (the “Report”), I, Franklin N. Saxon,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44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August 2, 2020,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August 2, 2020,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abstractNum>
  <w:abstractNum w:abstractNumId="5">
    <w:nsid w:val="1BEFD79F"/>
    <w:multiLevelType w:val="hybridMultilevel"/>
    <w:lvl w:ilvl="0">
      <w:lvlJc w:val="left"/>
      <w:lvlText w:val="%1."/>
      <w:numFmt w:val="decimal"/>
      <w:start w:val="7"/>
    </w:lvl>
    <w:lvl w:ilvl="1">
      <w:lvlJc w:val="left"/>
      <w:lvlText w:val="%2"/>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endash "/>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2020-09-11T10:13:58Z</dcterms:created>
  <dcterms:modified xsi:type="dcterms:W3CDTF">2020-09-11T10:13:58Z</dcterms:modified>
</cp:coreProperties>
</file>