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CULP ROBERT GEORGE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877"/>
        <w:gridCol w:w="434"/>
        <w:gridCol w:w="709"/>
        <w:gridCol w:w="1175"/>
        <w:gridCol w:w="984"/>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4,874</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133,959</w:t>
            </w:r>
            <w:r>
              <w:rPr>
                <w:rFonts w:ascii="Times;serif" w:hAnsi="Times;serif"/>
                <w:color w:val="008000"/>
                <w:position w:val="7"/>
                <w:sz w:val="16"/>
                <w:sz w:val="20"/>
                <w:shd w:fill="FFFFFF" w:val="clear"/>
              </w:rPr>
              <w:t>(1)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318,071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Anna S. Culp Irrevocable Trust</w:t>
            </w:r>
            <w:r>
              <w:rPr>
                <w:rFonts w:ascii="Times;serif" w:hAnsi="Times;serif"/>
                <w:color w:val="008000"/>
                <w:position w:val="7"/>
                <w:sz w:val="16"/>
                <w:sz w:val="20"/>
                <w:shd w:fill="FFFFFF" w:val="clear"/>
              </w:rPr>
              <w:t>(3)</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Robert G. Culp, V Irrevocable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Estimated number of shares based on calculation from information provided by 401(k) plan administrator regarding units in the stock fund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Estimated share purchase price based on information provided by 401(k) plan administrator.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of record by CIBC National Trust Company in a trust for the benefit of the reporting person's daughter. The reporting person is the sole trustee of this trust, and the reporting person has sole voting, dispositive and investment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4280"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3893</Characters>
  <CharactersWithSpaces>4541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