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both"/>
        <w:rPr/>
      </w:pPr>
      <w:bookmarkStart w:id="0" w:name="culp-20260311.htm"/>
      <w:bookmarkStart w:id="1" w:name="ksculp20260311"/>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5"/>
        </w:rPr>
        <w:t>UNITED STATES</w:t>
        <w:br/>
        <w:t>SECURITIES AND EXCHANGE COMMISSION</w:t>
      </w:r>
      <w:r>
        <w:rPr>
          <w:rFonts w:ascii="Times New Roman" w:hAnsi="Times New Roman"/>
          <w:b/>
          <w:color w:val="000000"/>
          <w:sz w:val="36"/>
        </w:rPr>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5"/>
        </w:rPr>
        <w:t xml:space="preserve">FORM </w:t>
      </w:r>
      <w:r>
        <w:rPr>
          <w:rFonts w:ascii="Times New Roman" w:hAnsi="Times New Roman"/>
          <w:b/>
          <w:color w:val="000000"/>
          <w:sz w:val="35"/>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51" w:type="dxa"/>
        <w:jc w:val="left"/>
        <w:tblInd w:w="0" w:type="dxa"/>
        <w:tblLayout w:type="fixed"/>
        <w:tblCellMar>
          <w:top w:w="28" w:type="dxa"/>
          <w:left w:w="28" w:type="dxa"/>
          <w:bottom w:w="28" w:type="dxa"/>
          <w:right w:w="28" w:type="dxa"/>
        </w:tblCellMar>
      </w:tblPr>
      <w:tblGrid>
        <w:gridCol w:w="5551"/>
      </w:tblGrid>
      <w:tr>
        <w:trPr/>
        <w:tc>
          <w:tcPr>
            <w:tcW w:w="5551" w:type="dxa"/>
            <w:tcBorders/>
            <w:vAlign w:val="center"/>
          </w:tcPr>
          <w:p>
            <w:pPr>
              <w:pStyle w:val="TableContents"/>
              <w:bidi w:val="0"/>
              <w:spacing w:before="0" w:after="283"/>
              <w:jc w:val="left"/>
              <w:rPr>
                <w:sz w:val="4"/>
                <w:szCs w:val="4"/>
              </w:rPr>
            </w:pPr>
            <w:r>
              <w:rPr>
                <w:sz w:val="4"/>
                <w:szCs w:val="4"/>
              </w:rPr>
            </w:r>
          </w:p>
        </w:tc>
      </w:tr>
      <w:tr>
        <w:trPr/>
        <w:tc>
          <w:tcPr>
            <w:tcW w:w="5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March 11,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4"/>
        </w:rPr>
      </w:pPr>
      <w:r>
        <w:rPr>
          <w:rFonts w:ascii="Times New Roman" w:hAnsi="Times New Roman"/>
          <w:b/>
          <w:color w:val="000000"/>
          <w:sz w:val="44"/>
        </w:rPr>
        <w:t>Culp,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51"/>
        <w:gridCol w:w="864"/>
        <w:gridCol w:w="869"/>
        <w:gridCol w:w="1846"/>
        <w:gridCol w:w="1336"/>
      </w:tblGrid>
      <w:tr>
        <w:trPr/>
        <w:tc>
          <w:tcPr>
            <w:tcW w:w="95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North Carolina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1-12597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56-1001967</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410 W. English Rd 5th Floor</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High Point, North Carolina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27262</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336</w:t>
            </w:r>
            <w:r>
              <w:rPr>
                <w:rFonts w:ascii="Times New Roman" w:hAnsi="Times New Roman"/>
                <w:color w:val="000000"/>
                <w:sz w:val="20"/>
              </w:rPr>
              <w:t xml:space="preserve"> </w:t>
            </w:r>
            <w:r>
              <w:rPr>
                <w:rFonts w:ascii="Times New Roman" w:hAnsi="Times New Roman"/>
                <w:b/>
                <w:color w:val="000000"/>
                <w:sz w:val="20"/>
              </w:rPr>
              <w:t>889-5161</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30" w:type="dxa"/>
        <w:jc w:val="left"/>
        <w:tblInd w:w="0" w:type="dxa"/>
        <w:tblLayout w:type="fixed"/>
        <w:tblCellMar>
          <w:top w:w="28" w:type="dxa"/>
          <w:left w:w="28" w:type="dxa"/>
          <w:bottom w:w="28" w:type="dxa"/>
          <w:right w:w="28" w:type="dxa"/>
        </w:tblCellMar>
      </w:tblPr>
      <w:tblGrid>
        <w:gridCol w:w="3466"/>
        <w:gridCol w:w="146"/>
        <w:gridCol w:w="946"/>
        <w:gridCol w:w="146"/>
        <w:gridCol w:w="382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$0.05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CULP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This report and the exhibits attached hereto contain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Forward-looking statements are statements that include projections, expectations, or beliefs about future events or results or otherwise are not statements of historical fact. Such statements are often but not always characterized by qualifying words such as “expect,” “believe,” “will,” “may,” “should,” “could,” “potential,” “continue,” “target,” “predict”, “seek,” “anticipate,” “estimate,” “intend,” “plan,” “project,” and their derivatives, and include but are not limited to statements about expectations, projections, or trends for our future operations, strategic initiatives and plans, restructuring and integration actions, production levels, new product launches, sales, profit margins, profitability, operating (loss) income, capital expenditures, working capital levels, cost savings (including, without limitation, anticipated cost savings from restructuring actions), income taxes, SG&amp;A or other expenses, pre-tax (loss) income, earnings, cash flow, and other performance or liquidity measures, as well as any statements regarding dividends, share repurchases, liquidity, use of cash and cash requirements, ending cash balances and cash positions, borrowing capacity, investments, potential acquisitions, cash and non-cash restructuring and restructuring-related charges, expenses, and/or credits, net proceeds from restructuring related asset dispositions, future economic or industry trends, public health epidemics, or other future developments. There can be no assurance that we will realize these expectations or meet our guidance, or that these beliefs will prove correct.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Factors that could influence the matters discussed in such statements include the level of housing starts and sales of existing homes, demand for home furnishings products,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Changes in consumer tastes or preferences toward products not produced by us could erode demand for our products. Changes in tariffs or trade policy, including changes in U.S. trade enforcement priorities, or changes in the value of the U.S. dollar versus other currencies, could affect our financial results because a significant portion of our operations are located outside the United States. Relatedly, litigation is ongoing as to whether businesses that paid tariffs that were invalidated by the U.S. Supreme Court in February 2026 may receive refunds for those tariffs, and it is uncertain whether or when the Company may receive any such refunds, which could be significant. Also, economic or political instability in international areas could affect our operations or sources of goods in those areas, as well as demand for our products in international markets. The future performance of our business depends in part on our success in conducting and finalizing acquisition negotiations and integrating acquired businesses into our existing operations. The impact of public health epidemics on employees, customers, suppliers, and the global economy, such as the coronavirus pandemic, could also adversely affect our operations and financial performance. In addition, the impact of potential asset impairments, including impairments of property, plant, and equipment, inventory, or intangible assets, as well as the impact of valuation allowances applied against our net deferred income tax assets, could affect our financial results. Increases in freight costs, labor costs, and raw material prices, including increases in market prices for petrochemical products, can also significantly affect the prices we pay for shipping, labor, and raw materials, respectively, and in turn, increase our operating costs and decrease our profitability. Also, our success in diversifying our supply chain with reliable partners to effectively service our global platform could affect our operations and adversely affect our financial results. Finally, the future performance of our business also depends on our ability to successfully restructure our bedding operations and return the segment to profitability as well as successfully integrate our bedding and upholstery divisions, neither of which may meet our expectations. Further information about these factors, as well as other factors that could affect our future operations or financial results and the matters discussed in forward-looking statements, is included in Item 1A “Risk Factors” in our most recent Form 10-K and Form 10-Q reports filed with the Securities and Exchange Commission.</w:t>
      </w:r>
    </w:p>
    <w:p>
      <w:pPr>
        <w:pStyle w:val="TextBody"/>
        <w:bidi w:val="0"/>
        <w:jc w:val="both"/>
        <w:rPr>
          <w:rFonts w:ascii="Times New Roman" w:hAnsi="Times New Roman"/>
          <w:sz w:val="20"/>
        </w:rPr>
      </w:pPr>
      <w:r>
        <w:rPr>
          <w:rFonts w:ascii="Times New Roman" w:hAnsi="Times New Roman"/>
          <w:b/>
          <w:color w:val="000000"/>
          <w:sz w:val="20"/>
        </w:rPr>
        <w:t>Many of these factors are macroeconomic in nature and are, therefore, beyond our control. Should one or more of these risks or uncertainties materialize, or should underlying assumptions prove incorrect, our actual results, performance or achievements may vary materially from those described in this report and the exhibits attached hereto as anticipated, believed, estimated, expected, intended, planned or projected. The forward-looking statements included in this report and the exhibits attached hereto are made only as of the date of this report. Unless required by United States federal securities laws, we neither intend nor assume any obligation to update these forward-looking statements for any reason after the date of this report to conform these statements to actual results or to changes in our expectations. A forward-looking statement is neither a prediction nor a guarantee of future events or circumstances, and those future events or circumstances may not occur.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Additional risks and uncertainties that we do not presently know about or that we currently consider to be immaterial may also affect our business operations or financial results.</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11, 2026, we issued a news release to announce our financial results for our third quarter ended February 1, 2026. A copy of the news release is attached hereto as Exhibit 99.1.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set forth in this Item 2.02 of this Current Report, and in Exhibit 99.1, is intended to be “furnished” under Item 2.02 of Form 8-K. Such information shall not be deemed “filed” for the purposes of Section 18 of the Securities Exchange Act of 1934, as amended (the "Exchange Act"), nor shall it be deemed incorporated by reference in any filing under the Securities Act of 1933, as amended, except as shall be expressly set forth by specific reference in such filing.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news release contains adjusted income statement information for the three-month and nine-month periods ended February 1, 2026, and January 26, 2025, which disclose adjusted gross profit and adjusted income (loss) from operations, both of which are non-U.S. GAAP performance measures that eliminate items which are not expected to occur on a recurring or regular basis. For the three-month and nine-month periods ended February 1, 2026, these items include restructuring credits, restructuring-related charges, and restructuring expenses associated with the sale of our former mattress fabrics manufacturing facility in Quebec, Canada, segment integration initiatives including the transition of operations within our upholstery segment from leased locations to our owned facility in Stokesdale, North Carolina, and similar items. The company has included this adjusted information in order to show operational performance excluding the effects of items not expected to occur on a recurring or regular basis. Details of these calculations and a reconciliation to information from our U.S. GAAP financial statements are set forth in the news release. Management believes this presentation aids in the comparison of financial results among comparable financial periods. Management uses adjusted income statement information in evaluating the financial performance of our overall operations and business segments. Also, adjusted income statement information is used as a performance measure in our incentive-based executive compensation program. We note, however, that this adjusted income statement information should not be viewed in isolation or as a substitute for income (loss) from operations calculated in accordance with U.S. GAAP.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news release contains disclosures about our net debt, which is a non-U.S. GAAP liquidity measure that we define as cash and cash equivalents (which we sometimes refer to as “cash”) plus investments that are available to fund operations minus the total amount of outstanding borrowings under our lines of credit or other debt instruments. Details of these calculations and a reconciliation to information from our U.S. GAAP financial statements are set forth in the news release. We believe this non-GAAP measure is useful to investors as it provides a way to compare our cash or debt position across periods on a consistent basis, regardless of the impact of financing activities. Also, net debt is used as a performance measure in our incentive-based executive compensation program. Net debt should not be viewed in isolation by investors and should not be used as a substitute for GAAP measures of 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news release contains disclosures about adjusted free cash flow, a non-U.S. GAAP liquidity measure that we define as net cash (used in) provided by operating activities, less cash capital expenditures and any payments on vendor-financed capital expenditures, plus any proceeds from the sale of property, plant, and equipment, plus proceeds from note receivable, plus proceeds from the sale of investments associated with our rabbi trust, less the purchase of investments associated with our rabbi trust, and plus or minus the effects of foreign currency exchange rate changes on cash and cash equivalents, in each case to the extent any such amount is incurred during the period presented. Details of these calculations and a reconciliation to information from our U.S. GAAP financial statements are set forth in the news release. Management believes the disclosure of adjusted free cash flow provides useful information to investors because it measures our available cash flow for potential debt repayment, stock repurchases, dividends, additions to cash and investments, or other corporate purposes. We note, however, that not all of the company’s adjusted free cash flow is available for discretionary spending, as we may have mandatory debt payments and other cash requirements that must be deducted from our cash available for future use. In operating our business, management uses adjusted free cash flow to make decisions about what commitments of cash to make for operations, such as capital expenditures (and possible financing arrangements for these expenditures), purchases of inventory or supplies, SG&amp;A expenditure levels, compensation, and other commitments of cash, while still allowing for adequate cash to meet known future commitments for cash, such as debt repayment, and also for making decisions about dividend payments and share repurchases.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news release contains disclosures about our adjusted EBITDA, which is a non-U.S. GAAP performance measure that reflects net (loss) income excluding income tax expense (benefit), net interest income, and restructuring expense or credit and restructuring related charges or credits, as well as depreciation and amortization expense, and stock-based compensation expense. Beginning in the quarter ended November 2, 2025, we modified our presentation of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to also exclude non-cash foreign exchange impacts. We believe this change enhances investor insight into our operational performance by removing the non-cash impact of changes in foreign currency exchange rates. In order to facilitate comparisons among periods, we have applied this modified definition of adjusted EBITDA to all periods presented in the news release. This measure also excludes other non-recurring charges and credits associated with our business, if and to the extent any such amount is incurred during the period presented. Details of these calculations and a reconciliation to information from our U.S. GAAP financial statements are set forth in the news release. We believe presentation of adjusted EBITDA is useful to investors because earnings before interest income and expense, income taxes, depreciation and amortization, and similar performance measures that exclude certain charges from earnings, are often used by investors and financial analysts in evaluating and comparing companies in our industry. Also, adjusted EBITDA is used as a performance measure in our incentive-based executive compensation program. We note, however, that such measures are not defined uniformly by various companies, with differing expenses being excluded from net income to calculate these performance measures. For this reason, adjusted EBITDA should not be viewed in isolation by investors and should not be used as a substitute for net income (loss) calculated in accordance with GAAP, nor should it be used for direct comparisons with similarly titled performance measures reported by other companies. Use of adjusted EBITDA as an analytical tool has limitations in that this measure does not reflect all expenses that are necessary to fund and operate our business, including funds required to pay taxes, service our debt, and fund capital expenditures, among others. Management uses adjusted EBITDA to help it analyze the company’s earnings and operating performance, by excluding the effects of expenses that depend upon capital structure and debt level, tax provisions, and non-cash items such as depreciation, amortization and stock-based compensation expense that do not require immediate uses of cash.</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8023" w:type="dxa"/>
        <w:jc w:val="left"/>
        <w:tblInd w:w="0" w:type="dxa"/>
        <w:tblLayout w:type="fixed"/>
        <w:tblCellMar>
          <w:top w:w="28" w:type="dxa"/>
          <w:left w:w="28" w:type="dxa"/>
          <w:bottom w:w="28" w:type="dxa"/>
          <w:right w:w="28" w:type="dxa"/>
        </w:tblCellMar>
      </w:tblPr>
      <w:tblGrid>
        <w:gridCol w:w="1276"/>
        <w:gridCol w:w="146"/>
        <w:gridCol w:w="660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Number</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r>
      <w:tr>
        <w:trPr/>
        <w:tc>
          <w:tcPr>
            <w:tcW w:w="1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culp-ex99_1.htm">
              <w:r>
                <w:rPr>
                  <w:rStyle w:val="InternetLink"/>
                  <w:rFonts w:ascii="Times New Roman" w:hAnsi="Times New Roman"/>
                  <w:color w:val="0000FF"/>
                  <w:sz w:val="20"/>
                  <w:u w:val="single"/>
                </w:rPr>
                <w:t>News Release dated March 11, 2026</w:t>
              </w:r>
            </w:hyperlink>
          </w:p>
        </w:tc>
      </w:tr>
      <w:tr>
        <w:trPr/>
        <w:tc>
          <w:tcPr>
            <w:tcW w:w="12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1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Pursuant to the requirements of the Securities Exchange Act of 1934, the Registrant has duly caused this report to be signed on its behalf by the undersigned, hereunto duly authorized.</w:t>
      </w:r>
    </w:p>
    <w:p>
      <w:pPr>
        <w:pStyle w:val="TextBody"/>
        <w:bidi w:val="0"/>
        <w:jc w:val="both"/>
        <w:rPr/>
      </w:pPr>
      <w:r>
        <w:rPr/>
        <w:t> </w:t>
      </w:r>
    </w:p>
    <w:tbl>
      <w:tblPr>
        <w:tblW w:w="3122" w:type="dxa"/>
        <w:jc w:val="left"/>
        <w:tblInd w:w="0" w:type="dxa"/>
        <w:tblLayout w:type="fixed"/>
        <w:tblCellMar>
          <w:top w:w="28" w:type="dxa"/>
          <w:left w:w="28" w:type="dxa"/>
          <w:bottom w:w="28" w:type="dxa"/>
          <w:right w:w="28" w:type="dxa"/>
        </w:tblCellMar>
      </w:tblPr>
      <w:tblGrid>
        <w:gridCol w:w="161"/>
        <w:gridCol w:w="109"/>
        <w:gridCol w:w="406"/>
        <w:gridCol w:w="244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2"/>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CULP, INC.</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(Registrant)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By:</w:t>
            </w:r>
          </w:p>
        </w:tc>
        <w:tc>
          <w:tcPr>
            <w:tcW w:w="24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 Kenneth R. Bowling</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Dated March 11, 2026</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 w:name="culp-ex99_1.htm"/>
      <w:bookmarkStart w:id="3" w:name="ksculpex99_1"/>
      <w:bookmarkEnd w:id="2"/>
      <w:bookmarkEnd w:id="3"/>
      <w:r>
        <w:rPr>
          <w:rFonts w:ascii="Arial" w:hAnsi="Arial"/>
          <w:b/>
          <w:color w:val="000000"/>
          <w:sz w:val="20"/>
        </w:rPr>
        <w:t>Exhibit 99.1</w:t>
      </w:r>
      <w:r>
        <w:br w:type="page"/>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1047750" cy="1019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47750" cy="1019175"/>
                    </a:xfrm>
                    <a:prstGeom prst="rect">
                      <a:avLst/>
                    </a:prstGeom>
                  </pic:spPr>
                </pic:pic>
              </a:graphicData>
            </a:graphic>
          </wp:inline>
        </w:drawing>
      </w:r>
    </w:p>
    <w:p>
      <w:pPr>
        <w:pStyle w:val="TextBody"/>
        <w:bidi w:val="0"/>
        <w:jc w:val="left"/>
        <w:rPr/>
      </w:pPr>
      <w:r>
        <w:rPr/>
        <w:t> </w:t>
      </w:r>
    </w:p>
    <w:p>
      <w:pPr>
        <w:pStyle w:val="TextBody"/>
        <w:bidi w:val="0"/>
        <w:jc w:val="center"/>
        <w:rPr/>
      </w:pPr>
      <w:r>
        <w:rPr/>
        <w:t> </w:t>
      </w:r>
    </w:p>
    <w:p>
      <w:pPr>
        <w:pStyle w:val="TextBody"/>
        <w:bidi w:val="0"/>
        <w:spacing w:before="13" w:after="283"/>
        <w:jc w:val="center"/>
        <w:rPr>
          <w:rFonts w:ascii="Times New Roman" w:hAnsi="Times New Roman"/>
          <w:sz w:val="20"/>
        </w:rPr>
      </w:pPr>
      <w:r>
        <w:rPr>
          <w:rFonts w:ascii="sans-serif" w:hAnsi="sans-serif"/>
          <w:b/>
          <w:color w:val="000000"/>
          <w:sz w:val="20"/>
        </w:rPr>
        <w:t>CULP ANNOUNCES THIRD QUARTER FISCAL 2026 RESULTS</w:t>
      </w:r>
      <w:r>
        <w:rPr>
          <w:rFonts w:ascii="Times New Roman" w:hAnsi="Times New Roman"/>
          <w:color w:val="000000"/>
          <w:sz w:val="20"/>
        </w:rPr>
        <w:t xml:space="preserve"> </w:t>
      </w:r>
    </w:p>
    <w:p>
      <w:pPr>
        <w:pStyle w:val="TextBody"/>
        <w:bidi w:val="0"/>
        <w:spacing w:before="13" w:after="283"/>
        <w:jc w:val="center"/>
        <w:rPr/>
      </w:pPr>
      <w:r>
        <w:rPr/>
        <w:t> </w:t>
      </w:r>
    </w:p>
    <w:p>
      <w:pPr>
        <w:pStyle w:val="TextBody"/>
        <w:bidi w:val="0"/>
        <w:spacing w:before="13" w:after="283"/>
        <w:jc w:val="center"/>
        <w:rPr>
          <w:rFonts w:ascii="sans-serif" w:hAnsi="sans-serif"/>
          <w:b/>
          <w:i/>
          <w:color w:val="000000"/>
          <w:sz w:val="20"/>
        </w:rPr>
      </w:pPr>
      <w:r>
        <w:rPr>
          <w:rFonts w:ascii="sans-serif" w:hAnsi="sans-serif"/>
          <w:b/>
          <w:i/>
          <w:color w:val="000000"/>
          <w:sz w:val="20"/>
        </w:rPr>
        <w:t>Completion of Comprehensive Integration and Restructuring Initiatives Lays Foundation for Profitable Growth</w:t>
      </w:r>
    </w:p>
    <w:p>
      <w:pPr>
        <w:pStyle w:val="TextBody"/>
        <w:bidi w:val="0"/>
        <w:spacing w:before="13" w:after="283"/>
        <w:jc w:val="center"/>
        <w:rPr>
          <w:rFonts w:ascii="sans-serif" w:hAnsi="sans-serif"/>
          <w:b/>
          <w:i/>
          <w:color w:val="000000"/>
          <w:sz w:val="20"/>
        </w:rPr>
      </w:pPr>
      <w:r>
        <w:rPr>
          <w:rFonts w:ascii="sans-serif" w:hAnsi="sans-serif"/>
          <w:b/>
          <w:i/>
          <w:color w:val="000000"/>
          <w:sz w:val="20"/>
        </w:rPr>
        <w:t>Balanced Global Platform Enhances Competitive Position in Fluid Tariff Environment</w:t>
      </w:r>
    </w:p>
    <w:p>
      <w:pPr>
        <w:pStyle w:val="TextBody"/>
        <w:bidi w:val="0"/>
        <w:jc w:val="both"/>
        <w:rPr>
          <w:rFonts w:ascii="sans-serif" w:hAnsi="sans-serif"/>
          <w:color w:val="000000"/>
          <w:sz w:val="20"/>
        </w:rPr>
      </w:pPr>
      <w:r>
        <w:rPr>
          <w:rFonts w:ascii="sans-serif" w:hAnsi="sans-serif"/>
          <w:color w:val="000000"/>
          <w:sz w:val="20"/>
        </w:rPr>
        <w:t>HIGH POINT, N.C. (March 11, 2026) – Culp, Inc. (NASDAQ: CULP), a leading provider of fabrics for bedding and upholstery fabrics for residential, commercial, and hospitality furniture and other applications, today reported financial and operating results for its third fiscal quarter ended February 1, 2026.</w:t>
      </w:r>
    </w:p>
    <w:p>
      <w:pPr>
        <w:pStyle w:val="TextBody"/>
        <w:bidi w:val="0"/>
        <w:jc w:val="both"/>
        <w:rPr>
          <w:rFonts w:ascii="Times New Roman" w:hAnsi="Times New Roman"/>
          <w:sz w:val="20"/>
        </w:rPr>
      </w:pPr>
      <w:r>
        <w:rPr>
          <w:rFonts w:ascii="sans-serif" w:hAnsi="sans-serif"/>
          <w:color w:val="000000"/>
          <w:sz w:val="20"/>
        </w:rPr>
        <w:t>Iv Culp, President and Chief Executive Officer, commented, "Market softness remains the headline across the home furnishings industry, and the impacts of that dynamic were evident in our results for the quarter. We’re confident that the economic cycle for bedding and furniture will eventually turn within our core markets, and we have seen some green shoots on the bedding side recently, but key catalysts in housing affordability and discretionary consumer spending still need to level up for the needle to move meaningfully. Our team has effectively used this low demand period to further reset our platform, refine our go-to-market strategies, and position CULP to scale quickly and profitably, without adding capacity or cost, as volume stabilizes.</w:t>
      </w:r>
      <w:r>
        <w:rPr>
          <w:rFonts w:ascii="Times New Roman" w:hAnsi="Times New Roman"/>
          <w:color w:val="000000"/>
          <w:sz w:val="20"/>
        </w:rPr>
        <w:t xml:space="preserve"> </w:t>
      </w:r>
    </w:p>
    <w:p>
      <w:pPr>
        <w:pStyle w:val="TextBody"/>
        <w:bidi w:val="0"/>
        <w:jc w:val="both"/>
        <w:rPr/>
      </w:pPr>
      <w:r>
        <w:rPr/>
        <w:t> </w:t>
      </w:r>
    </w:p>
    <w:p>
      <w:pPr>
        <w:pStyle w:val="TextBody"/>
        <w:bidi w:val="0"/>
        <w:jc w:val="both"/>
        <w:rPr>
          <w:color w:val="000000"/>
        </w:rPr>
      </w:pPr>
      <w:r>
        <w:rPr>
          <w:color w:val="000000"/>
        </w:rPr>
        <w:t>“</w:t>
      </w:r>
      <w:r>
        <w:rPr>
          <w:rFonts w:ascii="sans-serif" w:hAnsi="sans-serif"/>
          <w:color w:val="000000"/>
          <w:sz w:val="20"/>
        </w:rPr>
        <w:t>Despite the challenging industry conditions, including multiple Southeast snowstorms that caused us to lose the final week of shipping at our largest facility during the quarter, we continue to win programs with major customers and increase our share of the available business. Prior to the lost week from weather in January, we were on pace for a neutral year-over-year performance in bedding revenue, which is notable in this current market trough. We were pleased to see growth in our sewn mattress cover and upholstery kit product categories during the quarter, both of which are key growth areas that carry higher sales dollars and solid margin.</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"Customers continue leaning into our flexible supply chain offering reliable capacity and strategic tariff mitigation even before the most recent tariff developments. We believe our global footprint, anchored with robust U.S. capabilities, provides customers the most balanced solution in the market and enables us to support them regardless of whether they prefer to source domestically, nearshore or offshore. Regarding our own tariff costs, we are covered with our pricing relative to current rates after several periods absorbing the profitability impacts created by tariff volatility and the resulting lag between effective dates and price action. We are also encouraged by what appears to be an increasing prospect of reimbursement for the estimated six to seven million dollars we’ve paid toward IEEPA tariffs. If we ultimately receive those funds, and we understand the uncertainty there, it would be significant and offset some of our previous period losses.”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Culp concluded, “Our team completed several key projects during the quarter, including the integration of both our U.S. distribution operations and window treatment business and the consolidation of our footprint in China. With these actions and the restructuring of our bedding business now behind us other than some related inventory build-up that we are working through, we move toward the end of our year with a streamlined platform and management team, neutralized pricing and tariff rates, and disciplined manufacturing operations. We believe CULP is ready to run and generate significant value for shareholders as the macro and trade environment cycles favorably, with any resulting volume increase expected to benefit our bottom line at enhanced levels given the lower fixed costs and added efficiencies in our platform. In the meantime, we remain committed to maintaining a disciplined approach to cash management, our balance sheet and fixed costs."</w:t>
      </w:r>
    </w:p>
    <w:p>
      <w:pPr>
        <w:pStyle w:val="TextBody"/>
        <w:bidi w:val="0"/>
        <w:jc w:val="both"/>
        <w:rPr/>
      </w:pPr>
      <w:r>
        <w:rPr/>
        <w:t> </w:t>
      </w:r>
    </w:p>
    <w:p>
      <w:pPr>
        <w:pStyle w:val="TextBody"/>
        <w:bidi w:val="0"/>
        <w:jc w:val="left"/>
        <w:rPr>
          <w:rFonts w:ascii="sans-serif" w:hAnsi="sans-serif"/>
          <w:b/>
          <w:color w:val="000000"/>
          <w:sz w:val="20"/>
        </w:rPr>
      </w:pPr>
      <w:r>
        <w:rPr>
          <w:rFonts w:ascii="sans-serif" w:hAnsi="sans-serif"/>
          <w:b/>
          <w:color w:val="000000"/>
          <w:sz w:val="20"/>
        </w:rPr>
        <w:t>Fiscal 2026 Third Quarter Financial Highlights</w:t>
      </w:r>
    </w:p>
    <w:p>
      <w:pPr>
        <w:pStyle w:val="TextBody"/>
        <w:bidi w:val="0"/>
        <w:jc w:val="both"/>
        <w:rPr/>
      </w:pPr>
      <w:r>
        <w:rPr>
          <w:color w:val="000000"/>
        </w:rPr>
        <w:t xml:space="preserve">▪ </w:t>
      </w:r>
      <w:r>
        <w:rPr>
          <w:rFonts w:ascii="sans-serif" w:hAnsi="sans-serif"/>
          <w:color w:val="000000"/>
          <w:sz w:val="20"/>
        </w:rPr>
        <w:t>Consolidated net sales of $48.0 million, a decline from prior-year period net sales of $52.3 million driven by</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-MORE-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CULP Announces Results for Third Quarter Fiscal 2026</w:t>
      </w:r>
    </w:p>
    <w:p>
      <w:pPr>
        <w:pStyle w:val="TextBody"/>
        <w:bidi w:val="0"/>
        <w:jc w:val="left"/>
        <w:rPr>
          <w:rFonts w:ascii="Arial" w:hAnsi="Arial"/>
          <w:color w:val="000000"/>
          <w:sz w:val="20"/>
        </w:rPr>
      </w:pPr>
      <w:r>
        <w:rPr>
          <w:rFonts w:ascii="Arial" w:hAnsi="Arial"/>
          <w:color w:val="000000"/>
          <w:sz w:val="20"/>
        </w:rPr>
        <w:t>Page 2</w:t>
      </w:r>
    </w:p>
    <w:p>
      <w:pPr>
        <w:pStyle w:val="TextBody"/>
        <w:bidi w:val="0"/>
        <w:jc w:val="left"/>
        <w:rPr>
          <w:rFonts w:ascii="Arial" w:hAnsi="Arial"/>
          <w:color w:val="000000"/>
          <w:sz w:val="20"/>
        </w:rPr>
      </w:pPr>
      <w:r>
        <w:rPr>
          <w:rFonts w:ascii="Arial" w:hAnsi="Arial"/>
          <w:color w:val="000000"/>
          <w:sz w:val="20"/>
        </w:rPr>
        <w:t>March 11, 2026</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continued industry-wide demand challenges along with reduced shipping days from severe weather conditions at quarter end.</w:t>
      </w:r>
    </w:p>
    <w:p>
      <w:pPr>
        <w:pStyle w:val="TextBody"/>
        <w:bidi w:val="0"/>
        <w:jc w:val="both"/>
        <w:rPr>
          <w:color w:val="000000"/>
        </w:rPr>
      </w:pPr>
      <w:r>
        <w:rPr>
          <w:color w:val="000000"/>
        </w:rPr>
        <w:t xml:space="preserve">▪ </w:t>
      </w:r>
      <w:r>
        <w:rPr>
          <w:rFonts w:ascii="sans-serif" w:hAnsi="sans-serif"/>
          <w:color w:val="000000"/>
          <w:sz w:val="20"/>
        </w:rPr>
        <w:t>Consolidated gross profit of $5.3 million, or 11.1% of sales, compared to prior-year period gross profit of $6.4 million, or 12.1% of sales, with the decline driven by lower comparable sales and adjustments related to excess inventory stemming from the Company’s restructuring and integration initiatives.</w:t>
      </w:r>
    </w:p>
    <w:p>
      <w:pPr>
        <w:pStyle w:val="TextBody"/>
        <w:bidi w:val="0"/>
        <w:jc w:val="both"/>
        <w:rPr/>
      </w:pPr>
      <w:r>
        <w:rPr>
          <w:color w:val="000000"/>
        </w:rPr>
        <w:t xml:space="preserve">▪ </w:t>
      </w:r>
      <w:r>
        <w:rPr>
          <w:rFonts w:ascii="sans-serif" w:hAnsi="sans-serif"/>
          <w:color w:val="000000"/>
          <w:sz w:val="20"/>
        </w:rPr>
        <w:t>Loss from operations of $(3.7) million, compared to prior-year period loss from operations of $(3.9) million.</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96"/>
        <w:gridCol w:w="10009"/>
      </w:tblGrid>
      <w:tr>
        <w:trPr/>
        <w:tc>
          <w:tcPr>
            <w:tcW w:w="196" w:type="dxa"/>
            <w:tcBorders/>
            <w:vAlign w:val="center"/>
          </w:tcPr>
          <w:p>
            <w:pPr>
              <w:pStyle w:val="TableContents"/>
              <w:bidi w:val="0"/>
              <w:spacing w:before="0" w:after="283"/>
              <w:jc w:val="left"/>
              <w:rPr>
                <w:sz w:val="4"/>
                <w:szCs w:val="4"/>
              </w:rPr>
            </w:pPr>
            <w:r>
              <w:rPr>
                <w:sz w:val="4"/>
                <w:szCs w:val="4"/>
              </w:rPr>
            </w:r>
          </w:p>
        </w:tc>
        <w:tc>
          <w:tcPr>
            <w:tcW w:w="10009" w:type="dxa"/>
            <w:tcBorders/>
            <w:vAlign w:val="center"/>
          </w:tcPr>
          <w:p>
            <w:pPr>
              <w:pStyle w:val="TableContents"/>
              <w:bidi w:val="0"/>
              <w:spacing w:before="0" w:after="283"/>
              <w:jc w:val="left"/>
              <w:rPr>
                <w:sz w:val="4"/>
                <w:szCs w:val="4"/>
              </w:rPr>
            </w:pPr>
            <w:r>
              <w:rPr>
                <w:sz w:val="4"/>
                <w:szCs w:val="4"/>
              </w:rPr>
            </w:r>
          </w:p>
        </w:tc>
      </w:tr>
      <w:tr>
        <w:trPr/>
        <w:tc>
          <w:tcPr>
            <w:tcW w:w="196"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w:t>
            </w:r>
          </w:p>
        </w:tc>
        <w:tc>
          <w:tcPr>
            <w:tcW w:w="100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sans-serif" w:hAnsi="sans-serif"/>
                <w:color w:val="000000"/>
                <w:sz w:val="20"/>
              </w:rPr>
              <w:t>Excluding restructuring and related expenses, adjusted operating loss of $(3.1) million, compared to prior-year period adjusted operating loss of $(1.6) million (see reconciliation table on page 10).</w:t>
            </w:r>
            <w:r>
              <w:rPr>
                <w:rFonts w:ascii="Times New Roman" w:hAnsi="Times New Roman"/>
                <w:color w:val="000000"/>
                <w:sz w:val="20"/>
              </w:rPr>
              <w:t xml:space="preserve"> </w:t>
            </w:r>
          </w:p>
        </w:tc>
      </w:tr>
    </w:tbl>
    <w:p>
      <w:pPr>
        <w:pStyle w:val="TextBody"/>
        <w:bidi w:val="0"/>
        <w:jc w:val="both"/>
        <w:rPr/>
      </w:pPr>
      <w:r>
        <w:rPr>
          <w:color w:val="000000"/>
        </w:rPr>
        <w:t xml:space="preserve">▪ </w:t>
      </w:r>
      <w:r>
        <w:rPr>
          <w:rFonts w:ascii="sans-serif" w:hAnsi="sans-serif"/>
          <w:color w:val="000000"/>
          <w:sz w:val="20"/>
        </w:rPr>
        <w:t>Net loss of $(3.4) million, or $(.27) per diluted share, a sequential improvement of approximately 20% from the prior quarter and a year-over-year improvement of 17% compared to the prior-year period’s net loss of $(4.1) million, or $(.33) per diluted share.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96"/>
        <w:gridCol w:w="10009"/>
      </w:tblGrid>
      <w:tr>
        <w:trPr/>
        <w:tc>
          <w:tcPr>
            <w:tcW w:w="196" w:type="dxa"/>
            <w:tcBorders/>
            <w:vAlign w:val="center"/>
          </w:tcPr>
          <w:p>
            <w:pPr>
              <w:pStyle w:val="TableContents"/>
              <w:bidi w:val="0"/>
              <w:spacing w:before="0" w:after="283"/>
              <w:jc w:val="left"/>
              <w:rPr>
                <w:sz w:val="4"/>
                <w:szCs w:val="4"/>
              </w:rPr>
            </w:pPr>
            <w:r>
              <w:rPr>
                <w:sz w:val="4"/>
                <w:szCs w:val="4"/>
              </w:rPr>
            </w:r>
          </w:p>
        </w:tc>
        <w:tc>
          <w:tcPr>
            <w:tcW w:w="10009" w:type="dxa"/>
            <w:tcBorders/>
            <w:vAlign w:val="center"/>
          </w:tcPr>
          <w:p>
            <w:pPr>
              <w:pStyle w:val="TableContents"/>
              <w:bidi w:val="0"/>
              <w:spacing w:before="0" w:after="283"/>
              <w:jc w:val="left"/>
              <w:rPr>
                <w:sz w:val="4"/>
                <w:szCs w:val="4"/>
              </w:rPr>
            </w:pPr>
            <w:r>
              <w:rPr>
                <w:sz w:val="4"/>
                <w:szCs w:val="4"/>
              </w:rPr>
            </w:r>
          </w:p>
        </w:tc>
      </w:tr>
      <w:tr>
        <w:trPr/>
        <w:tc>
          <w:tcPr>
            <w:tcW w:w="196"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w:t>
            </w:r>
          </w:p>
        </w:tc>
        <w:tc>
          <w:tcPr>
            <w:tcW w:w="100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sans-serif" w:hAnsi="sans-serif"/>
                <w:color w:val="000000"/>
                <w:sz w:val="20"/>
              </w:rPr>
              <w:t>Excluding the impacts of restructuring and related expenses, stock-based compensation, and non-cash foreign exchange, as well as proceeds from a legal settlement, adjusted EBITDA of negative $(2.2) million, compared to negative $(457) thousand in the prior-year period (see reconciliation table on page 12).</w:t>
            </w:r>
            <w:r>
              <w:rPr>
                <w:rFonts w:ascii="Times New Roman" w:hAnsi="Times New Roman"/>
                <w:color w:val="000000"/>
                <w:sz w:val="20"/>
              </w:rPr>
              <w:t xml:space="preserve"> </w:t>
            </w:r>
          </w:p>
        </w:tc>
      </w:tr>
    </w:tbl>
    <w:p>
      <w:pPr>
        <w:pStyle w:val="TextBody"/>
        <w:bidi w:val="0"/>
        <w:jc w:val="left"/>
        <w:rPr>
          <w:rFonts w:ascii="Times New Roman" w:hAnsi="Times New Roman"/>
          <w:sz w:val="20"/>
        </w:rPr>
      </w:pPr>
      <w:r>
        <w:rPr>
          <w:rFonts w:ascii="sans-serif" w:hAnsi="sans-serif"/>
          <w:b/>
          <w:color w:val="000000"/>
          <w:sz w:val="20"/>
        </w:rPr>
        <w:t>Financial Outlook</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color w:val="000000"/>
          <w:sz w:val="20"/>
        </w:rPr>
        <w:t>Due to macroeconomic uncertainty and the fluid global trade and tariff environment, the Company is providing only limited forward guidance. The Company’s expectations are based on information available at the time of this press release and reflect certain assumptions by management regarding the Company’s business and industry trends, the projected impact of restructuring and integration initiatives, ongoing market headwinds, the projected impacts of economic or political instability in the Middle East, and current tariff rates applicable to U.S. imports.</w:t>
      </w:r>
      <w:r>
        <w:rPr>
          <w:rFonts w:ascii="Times New Roman" w:hAnsi="Times New Roman"/>
          <w:color w:val="000000"/>
          <w:sz w:val="20"/>
        </w:rPr>
        <w:t xml:space="preserve"> </w:t>
      </w:r>
    </w:p>
    <w:p>
      <w:pPr>
        <w:pStyle w:val="TextBody"/>
        <w:bidi w:val="0"/>
        <w:jc w:val="both"/>
        <w:rPr>
          <w:color w:val="000000"/>
        </w:rPr>
      </w:pPr>
      <w:r>
        <w:rPr>
          <w:color w:val="000000"/>
        </w:rPr>
        <w:t xml:space="preserve">▪ </w:t>
      </w:r>
      <w:r>
        <w:rPr>
          <w:rFonts w:ascii="sans-serif" w:hAnsi="sans-serif"/>
          <w:color w:val="000000"/>
          <w:sz w:val="20"/>
        </w:rPr>
        <w:t>The Company expects sequential consolidated sales growth for the fourth quarter of fiscal 2026, with solid expectations for the bedding segment despite what is anticipated to remain a challenged demand environment for home furnishings.</w:t>
      </w:r>
    </w:p>
    <w:p>
      <w:pPr>
        <w:pStyle w:val="TextBody"/>
        <w:bidi w:val="0"/>
        <w:jc w:val="both"/>
        <w:rPr/>
      </w:pPr>
      <w:r>
        <w:rPr>
          <w:color w:val="000000"/>
        </w:rPr>
        <w:t xml:space="preserve">▪ </w:t>
      </w:r>
      <w:r>
        <w:rPr>
          <w:rFonts w:ascii="sans-serif" w:hAnsi="sans-serif"/>
          <w:color w:val="000000"/>
          <w:sz w:val="20"/>
        </w:rPr>
        <w:t>The Company expects its recent pricing action to balance tariff pressure and for the cost and efficiency benefits of its completed restructuring and integration initiatives to drive improving gross profit and lower SG&amp;A for the fourth quarter and beyond. The Company is not providing more specific operating guidance at this time due to the uncertainty around the potential tariff refunds and, if received, the meaningful impacts on its operating results and prior quarter losses.</w:t>
      </w:r>
      <w:r>
        <w:rPr>
          <w:rFonts w:ascii="Times New Roman" w:hAnsi="Times New Roman"/>
          <w:color w:val="000000"/>
          <w:sz w:val="20"/>
        </w:rPr>
        <w:t xml:space="preserve"> </w:t>
      </w:r>
    </w:p>
    <w:p>
      <w:pPr>
        <w:pStyle w:val="TextBody"/>
        <w:bidi w:val="0"/>
        <w:jc w:val="both"/>
        <w:rPr/>
      </w:pPr>
      <w:r>
        <w:rPr>
          <w:color w:val="000000"/>
        </w:rPr>
        <w:t xml:space="preserve">▪ </w:t>
      </w:r>
      <w:r>
        <w:rPr>
          <w:rFonts w:ascii="sans-serif" w:hAnsi="sans-serif"/>
          <w:color w:val="000000"/>
          <w:sz w:val="20"/>
        </w:rPr>
        <w:t>While the Company intends to continue utilizing borrowings as necessary under its domestic and foreign credit facilities during fiscal 2026 to fund working capital needs and growth, it will continue to aggressively manage liquidity and capital expenditures and prioritize free cash flow. Additionally, the $4.8 million balance due from the sale of the Company’s facility in Canada is scheduled to be paid during the fourth quarter.</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sans-serif" w:hAnsi="sans-serif"/>
          <w:b/>
          <w:color w:val="000000"/>
          <w:sz w:val="20"/>
        </w:rPr>
      </w:pPr>
      <w:r>
        <w:rPr>
          <w:rFonts w:ascii="sans-serif" w:hAnsi="sans-serif"/>
          <w:b/>
          <w:color w:val="000000"/>
          <w:sz w:val="20"/>
        </w:rPr>
        <w:t>Business Segment Highlights</w:t>
      </w:r>
    </w:p>
    <w:p>
      <w:pPr>
        <w:pStyle w:val="TextBody"/>
        <w:bidi w:val="0"/>
        <w:jc w:val="left"/>
        <w:rPr>
          <w:rFonts w:ascii="Times New Roman" w:hAnsi="Times New Roman"/>
          <w:sz w:val="20"/>
        </w:rPr>
      </w:pPr>
      <w:r>
        <w:rPr>
          <w:rFonts w:ascii="sans-serif" w:hAnsi="sans-serif"/>
          <w:i/>
          <w:color w:val="000000"/>
          <w:sz w:val="20"/>
        </w:rPr>
        <w:t>Bedding</w:t>
      </w:r>
      <w:r>
        <w:rPr>
          <w:rFonts w:ascii="Times New Roman" w:hAnsi="Times New Roman"/>
          <w:color w:val="000000"/>
          <w:sz w:val="20"/>
        </w:rPr>
        <w:t xml:space="preserve"> </w:t>
      </w:r>
    </w:p>
    <w:p>
      <w:pPr>
        <w:pStyle w:val="TextBody"/>
        <w:bidi w:val="0"/>
        <w:jc w:val="both"/>
        <w:rPr/>
      </w:pPr>
      <w:r>
        <w:rPr>
          <w:color w:val="000000"/>
        </w:rPr>
        <w:t xml:space="preserve">▪ </w:t>
      </w:r>
      <w:r>
        <w:rPr>
          <w:rFonts w:ascii="sans-serif" w:hAnsi="sans-serif"/>
          <w:color w:val="000000"/>
          <w:sz w:val="20"/>
        </w:rPr>
        <w:t>Sales in this segment were $27.3 million for the third quarter, down approximately 5% year-over-year due to continuing market softness driven by a lost week of sales in the U.S. from severe weather at quarter end, consumer uncertainty, a weak housing market, as well as continuing uncertainty from tariffs.</w:t>
      </w:r>
      <w:r>
        <w:rPr>
          <w:rFonts w:ascii="Times New Roman" w:hAnsi="Times New Roman"/>
          <w:color w:val="000000"/>
          <w:sz w:val="20"/>
        </w:rPr>
        <w:t xml:space="preserve"> </w:t>
      </w:r>
    </w:p>
    <w:p>
      <w:pPr>
        <w:pStyle w:val="TextBody"/>
        <w:bidi w:val="0"/>
        <w:jc w:val="both"/>
        <w:rPr/>
      </w:pPr>
      <w:r>
        <w:rPr>
          <w:color w:val="000000"/>
        </w:rPr>
        <w:t xml:space="preserve">▪ </w:t>
      </w:r>
      <w:r>
        <w:rPr>
          <w:rFonts w:ascii="sans-serif" w:hAnsi="sans-serif"/>
          <w:color w:val="000000"/>
          <w:sz w:val="20"/>
        </w:rPr>
        <w:t>Gross profit in this segment was $2.0 million, or 7.2% of sales, a decline from the prior-year period’s gross profit of $2.7 million, or 9.6% of sales, and driven primarily by adjustments related to excess inventory stemming from the Company’s restructuring and integration initiatives, which were partially offset by improved selling margins during the quarter.</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-MORE-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CULP Announces Results for Third Quarter Fiscal 2026</w:t>
      </w:r>
    </w:p>
    <w:p>
      <w:pPr>
        <w:pStyle w:val="TextBody"/>
        <w:bidi w:val="0"/>
        <w:jc w:val="left"/>
        <w:rPr>
          <w:rFonts w:ascii="Arial" w:hAnsi="Arial"/>
          <w:color w:val="000000"/>
          <w:sz w:val="20"/>
        </w:rPr>
      </w:pPr>
      <w:r>
        <w:rPr>
          <w:rFonts w:ascii="Arial" w:hAnsi="Arial"/>
          <w:color w:val="000000"/>
          <w:sz w:val="20"/>
        </w:rPr>
        <w:t>Page 3</w:t>
      </w:r>
    </w:p>
    <w:p>
      <w:pPr>
        <w:pStyle w:val="TextBody"/>
        <w:bidi w:val="0"/>
        <w:jc w:val="left"/>
        <w:rPr>
          <w:rFonts w:ascii="Arial" w:hAnsi="Arial"/>
          <w:color w:val="000000"/>
          <w:sz w:val="20"/>
        </w:rPr>
      </w:pPr>
      <w:r>
        <w:rPr>
          <w:rFonts w:ascii="Arial" w:hAnsi="Arial"/>
          <w:color w:val="000000"/>
          <w:sz w:val="20"/>
        </w:rPr>
        <w:t>March 11, 2026</w:t>
      </w:r>
    </w:p>
    <w:p>
      <w:pPr>
        <w:pStyle w:val="TextBody"/>
        <w:bidi w:val="0"/>
        <w:jc w:val="left"/>
        <w:rPr/>
      </w:pPr>
      <w:r>
        <w:rPr/>
        <w:t> </w:t>
      </w:r>
    </w:p>
    <w:p>
      <w:pPr>
        <w:pStyle w:val="TextBody"/>
        <w:bidi w:val="0"/>
        <w:jc w:val="left"/>
        <w:rPr>
          <w:rFonts w:ascii="Times New Roman" w:hAnsi="Times New Roman"/>
          <w:sz w:val="20"/>
        </w:rPr>
      </w:pPr>
      <w:r>
        <w:rPr>
          <w:rFonts w:ascii="sans-serif" w:hAnsi="sans-serif"/>
          <w:i/>
          <w:color w:val="000000"/>
          <w:sz w:val="20"/>
        </w:rPr>
        <w:t>Upholstery</w:t>
      </w:r>
      <w:r>
        <w:rPr>
          <w:rFonts w:ascii="Times New Roman" w:hAnsi="Times New Roman"/>
          <w:color w:val="000000"/>
          <w:sz w:val="20"/>
        </w:rPr>
        <w:t xml:space="preserve"> </w:t>
      </w:r>
    </w:p>
    <w:p>
      <w:pPr>
        <w:pStyle w:val="TextBody"/>
        <w:bidi w:val="0"/>
        <w:jc w:val="both"/>
        <w:rPr/>
      </w:pPr>
      <w:r>
        <w:rPr>
          <w:color w:val="000000"/>
        </w:rPr>
        <w:t xml:space="preserve">▪ </w:t>
      </w:r>
      <w:r>
        <w:rPr>
          <w:rFonts w:ascii="sans-serif" w:hAnsi="sans-serif"/>
          <w:color w:val="000000"/>
          <w:sz w:val="20"/>
        </w:rPr>
        <w:t>Sales in this segment were $20.7 million for the third quarter, down approximately 12% year-over-year, with the decline primarily driven by lower commercial and hospitality sales due to generally the same factors impacting bedding sales.</w:t>
      </w:r>
      <w:r>
        <w:rPr>
          <w:rFonts w:ascii="Times New Roman" w:hAnsi="Times New Roman"/>
          <w:color w:val="000000"/>
          <w:sz w:val="20"/>
        </w:rPr>
        <w:t xml:space="preserve"> </w:t>
      </w:r>
    </w:p>
    <w:p>
      <w:pPr>
        <w:pStyle w:val="TextBody"/>
        <w:bidi w:val="0"/>
        <w:jc w:val="both"/>
        <w:rPr/>
      </w:pPr>
      <w:r>
        <w:rPr>
          <w:color w:val="000000"/>
        </w:rPr>
        <w:t xml:space="preserve">▪ </w:t>
      </w:r>
      <w:r>
        <w:rPr>
          <w:rFonts w:ascii="sans-serif" w:hAnsi="sans-serif"/>
          <w:color w:val="000000"/>
          <w:sz w:val="20"/>
        </w:rPr>
        <w:t>Gross profit was $3.4 million, or 16.3% of sales, down from $4.2 million, or 17.9% of sales, in the prior-year period and driven primarily by lower comparable sales and unfavorable foreign exchange impacts related to the Company’s China operations.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0"/>
        </w:rPr>
        <w:t>Balance Sheet, Cash Flow, and Liquidity</w:t>
      </w:r>
      <w:r>
        <w:rPr>
          <w:rFonts w:ascii="Times New Roman" w:hAnsi="Times New Roman"/>
          <w:color w:val="000000"/>
          <w:sz w:val="20"/>
        </w:rPr>
        <w:t xml:space="preserve"> </w:t>
      </w:r>
    </w:p>
    <w:p>
      <w:pPr>
        <w:pStyle w:val="TextBody"/>
        <w:bidi w:val="0"/>
        <w:jc w:val="both"/>
        <w:rPr/>
      </w:pPr>
      <w:r>
        <w:rPr>
          <w:color w:val="000000"/>
        </w:rPr>
        <w:t xml:space="preserve">▪ </w:t>
      </w:r>
      <w:r>
        <w:rPr>
          <w:rFonts w:ascii="sans-serif" w:hAnsi="sans-serif"/>
          <w:color w:val="000000"/>
          <w:sz w:val="20"/>
        </w:rPr>
        <w:t>As of February 1, 2026, the Company maintained $9.7 million in total cash and $18.5 million in outstanding debt under its credit facilities. The outstanding debt was primarily incurred to fund worldwide working capital and integration activities, as well as to take advantage of availability and borrowing opportunities at current preferred rates in China.</w:t>
      </w:r>
      <w:r>
        <w:rPr>
          <w:rFonts w:ascii="Times New Roman" w:hAnsi="Times New Roman"/>
          <w:color w:val="000000"/>
          <w:sz w:val="20"/>
        </w:rPr>
        <w:t xml:space="preserve"> </w:t>
      </w:r>
    </w:p>
    <w:p>
      <w:pPr>
        <w:pStyle w:val="TextBody"/>
        <w:bidi w:val="0"/>
        <w:jc w:val="both"/>
        <w:rPr/>
      </w:pPr>
      <w:r>
        <w:rPr>
          <w:color w:val="000000"/>
        </w:rPr>
        <w:t xml:space="preserve">▪ </w:t>
      </w:r>
      <w:r>
        <w:rPr>
          <w:rFonts w:ascii="sans-serif" w:hAnsi="sans-serif"/>
          <w:color w:val="000000"/>
          <w:sz w:val="20"/>
        </w:rPr>
        <w:t>As of February 1, 2026, the Company maintained approximately $27.7 million in liquidity consisting of $9.7 million in cash and $18.0 million in borrowing availability under its credit facilities.</w:t>
      </w:r>
      <w:r>
        <w:rPr>
          <w:rFonts w:ascii="Times New Roman" w:hAnsi="Times New Roman"/>
          <w:color w:val="000000"/>
          <w:sz w:val="20"/>
        </w:rPr>
        <w:t xml:space="preserve"> </w:t>
      </w:r>
    </w:p>
    <w:p>
      <w:pPr>
        <w:pStyle w:val="TextBody"/>
        <w:bidi w:val="0"/>
        <w:jc w:val="both"/>
        <w:rPr>
          <w:color w:val="000000"/>
        </w:rPr>
      </w:pPr>
      <w:r>
        <w:rPr>
          <w:color w:val="000000"/>
        </w:rPr>
        <w:t xml:space="preserve">▪ </w:t>
      </w:r>
      <w:r>
        <w:rPr>
          <w:rFonts w:ascii="sans-serif" w:hAnsi="sans-serif"/>
          <w:color w:val="000000"/>
          <w:sz w:val="20"/>
        </w:rPr>
        <w:t>Cash flow from operations and free cash flow were negative $(2.3) million and negative $(2.7) million, respectively, for the nine months ended February 1, 2026, and primarily driven by operating losses, which compare favorably to negative $(9.4) million and negative $(11.9) million in the prior-year period. Adjusted for capital expenditures, proceeds from the sale of property, plant and equipment, notes receivable and other items, free cash flow was negative $(1.0) million, down favorably from negative $(10.1) million in the prior-year period (see reconciliation table on page 9).</w:t>
      </w:r>
    </w:p>
    <w:p>
      <w:pPr>
        <w:pStyle w:val="TextBody"/>
        <w:bidi w:val="0"/>
        <w:jc w:val="both"/>
        <w:rPr/>
      </w:pPr>
      <w:r>
        <w:rPr>
          <w:color w:val="000000"/>
        </w:rPr>
        <w:t xml:space="preserve">▪ </w:t>
      </w:r>
      <w:r>
        <w:rPr>
          <w:rFonts w:ascii="sans-serif" w:hAnsi="sans-serif"/>
          <w:color w:val="000000"/>
          <w:sz w:val="20"/>
        </w:rPr>
        <w:t>Capital expenditures for the nine months ended February 1, 2026, were $442 thousand, down from $2.4 million in the prior-year period, as the Company continues to focus on maintenance projects and strategic initiatives with quick payback.</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b/>
          <w:color w:val="000000"/>
          <w:sz w:val="20"/>
        </w:rPr>
        <w:t>Conference Call</w:t>
      </w:r>
      <w:r>
        <w:rPr>
          <w:rFonts w:ascii="Times New Roman" w:hAnsi="Times New Roman"/>
          <w:color w:val="000000"/>
          <w:sz w:val="20"/>
        </w:rPr>
        <w:t xml:space="preserve"> </w:t>
      </w:r>
    </w:p>
    <w:p>
      <w:pPr>
        <w:pStyle w:val="TextBody"/>
        <w:bidi w:val="0"/>
        <w:jc w:val="both"/>
        <w:rPr>
          <w:rFonts w:ascii="sans-serif" w:hAnsi="sans-serif"/>
          <w:color w:val="000000"/>
          <w:sz w:val="20"/>
        </w:rPr>
      </w:pPr>
      <w:r>
        <w:rPr>
          <w:rFonts w:ascii="sans-serif" w:hAnsi="sans-serif"/>
          <w:color w:val="000000"/>
          <w:sz w:val="20"/>
        </w:rPr>
        <w:t>Culp, Inc. will hold a conference call to discuss financial results for the third quarter of its fiscal year 2026 on Thursday, March 12, 2026, at 9:00 a.m. Eastern Time. A live webcast of this call can be accessed on the “Upcoming Events” section on the “Investor Relations” page of the Company’s website, www.culp.com. A replay of the webcast will be available for 30 days under the “Past Events” section on the “Investor Relations” page of the Company’s website.</w:t>
      </w:r>
    </w:p>
    <w:p>
      <w:pPr>
        <w:pStyle w:val="TextBody"/>
        <w:bidi w:val="0"/>
        <w:jc w:val="both"/>
        <w:rPr>
          <w:rFonts w:ascii="sans-serif" w:hAnsi="sans-serif"/>
          <w:b/>
          <w:color w:val="000000"/>
          <w:sz w:val="20"/>
        </w:rPr>
      </w:pPr>
      <w:r>
        <w:rPr>
          <w:rFonts w:ascii="sans-serif" w:hAnsi="sans-serif"/>
          <w:b/>
          <w:color w:val="000000"/>
          <w:sz w:val="20"/>
        </w:rPr>
        <w:t>About the Company</w:t>
      </w:r>
    </w:p>
    <w:p>
      <w:pPr>
        <w:pStyle w:val="TextBody"/>
        <w:bidi w:val="0"/>
        <w:jc w:val="both"/>
        <w:rPr>
          <w:rFonts w:ascii="Times New Roman" w:hAnsi="Times New Roman"/>
          <w:sz w:val="20"/>
        </w:rPr>
      </w:pPr>
      <w:r>
        <w:rPr>
          <w:rFonts w:ascii="sans-serif" w:hAnsi="sans-serif"/>
          <w:color w:val="000000"/>
          <w:sz w:val="20"/>
        </w:rPr>
        <w:t>Culp, Inc. is one of the largest marketers of mattress fabrics for bedding and upholstery fabrics for residential, commercial, and hospitality furniture and other applications in North America. The Company markets a variety of fabrics to its global customer base of leading bedding and furniture companies, including fabrics produced at Culp’s manufacturing facilities and fabrics sourced through other suppliers. Culp has manufacturing and sourcing capabilities located in the United States, China, Haiti, Turkey, and Vietnam.</w:t>
      </w:r>
      <w:r>
        <w:rPr>
          <w:rFonts w:ascii="Times New Roman" w:hAnsi="Times New Roman"/>
          <w:color w:val="000000"/>
          <w:sz w:val="20"/>
        </w:rPr>
        <w:t xml:space="preserve"> </w:t>
      </w:r>
    </w:p>
    <w:p>
      <w:pPr>
        <w:pStyle w:val="TextBody"/>
        <w:bidi w:val="0"/>
        <w:jc w:val="both"/>
        <w:rPr>
          <w:rFonts w:ascii="sans-serif" w:hAnsi="sans-serif"/>
          <w:b/>
          <w:color w:val="000000"/>
          <w:sz w:val="20"/>
        </w:rPr>
      </w:pPr>
      <w:r>
        <w:rPr>
          <w:rFonts w:ascii="sans-serif" w:hAnsi="sans-serif"/>
          <w:b/>
          <w:color w:val="000000"/>
          <w:sz w:val="20"/>
        </w:rPr>
        <w:t>Investor Relations Contact</w:t>
      </w:r>
    </w:p>
    <w:p>
      <w:pPr>
        <w:pStyle w:val="TextBody"/>
        <w:bidi w:val="0"/>
        <w:jc w:val="both"/>
        <w:rPr>
          <w:rFonts w:ascii="Times New Roman" w:hAnsi="Times New Roman"/>
          <w:sz w:val="20"/>
        </w:rPr>
      </w:pPr>
      <w:r>
        <w:rPr>
          <w:rFonts w:ascii="sans-serif" w:hAnsi="sans-serif"/>
          <w:color w:val="000000"/>
          <w:sz w:val="20"/>
        </w:rPr>
        <w:t>Ken Bowling, Executive Vice President, Chief Financial Officer, and Treasurer:</w:t>
      </w:r>
      <w:r>
        <w:rPr>
          <w:rFonts w:ascii="Times New Roman" w:hAnsi="Times New Roman"/>
          <w:color w:val="000000"/>
          <w:sz w:val="20"/>
        </w:rPr>
        <w:t xml:space="preserve"> </w:t>
      </w:r>
    </w:p>
    <w:p>
      <w:pPr>
        <w:pStyle w:val="TextBody"/>
        <w:bidi w:val="0"/>
        <w:jc w:val="both"/>
        <w:rPr>
          <w:rFonts w:ascii="sans-serif" w:hAnsi="sans-serif"/>
          <w:color w:val="000000"/>
          <w:sz w:val="20"/>
        </w:rPr>
      </w:pPr>
      <w:r>
        <w:rPr>
          <w:rFonts w:ascii="sans-serif" w:hAnsi="sans-serif"/>
          <w:color w:val="000000"/>
          <w:sz w:val="20"/>
        </w:rPr>
        <w:t>(336) 881-5630</w:t>
      </w:r>
    </w:p>
    <w:p>
      <w:pPr>
        <w:pStyle w:val="TextBody"/>
        <w:bidi w:val="0"/>
        <w:jc w:val="both"/>
        <w:rPr>
          <w:rFonts w:ascii="Times New Roman" w:hAnsi="Times New Roman"/>
          <w:sz w:val="20"/>
        </w:rPr>
      </w:pPr>
      <w:r>
        <w:rPr>
          <w:rFonts w:ascii="sans-serif" w:hAnsi="sans-serif"/>
          <w:color w:val="000000"/>
          <w:sz w:val="20"/>
        </w:rPr>
        <w:t>krbowling@culp.com</w:t>
      </w:r>
      <w:r>
        <w:rPr>
          <w:rFonts w:ascii="Times New Roman" w:hAnsi="Times New Roman"/>
          <w:color w:val="000000"/>
          <w:sz w:val="20"/>
        </w:rPr>
        <w:t xml:space="preserve"> </w:t>
      </w:r>
    </w:p>
    <w:p>
      <w:pPr>
        <w:pStyle w:val="TextBody"/>
        <w:bidi w:val="0"/>
        <w:jc w:val="both"/>
        <w:rPr>
          <w:rFonts w:ascii="sans-serif" w:hAnsi="sans-serif"/>
          <w:b/>
          <w:color w:val="000000"/>
          <w:sz w:val="20"/>
        </w:rPr>
      </w:pPr>
      <w:r>
        <w:rPr>
          <w:rFonts w:ascii="sans-serif" w:hAnsi="sans-serif"/>
          <w:b/>
          <w:color w:val="000000"/>
          <w:sz w:val="20"/>
        </w:rPr>
        <w:t>Forward Looking Statements</w:t>
      </w:r>
    </w:p>
    <w:p>
      <w:pPr>
        <w:pStyle w:val="TextBody"/>
        <w:bidi w:val="0"/>
        <w:jc w:val="both"/>
        <w:rPr>
          <w:rFonts w:ascii="Times New Roman" w:hAnsi="Times New Roman"/>
          <w:sz w:val="20"/>
        </w:rPr>
      </w:pPr>
      <w:r>
        <w:rPr>
          <w:rFonts w:ascii="sans-serif" w:hAnsi="sans-serif"/>
          <w:i/>
          <w:color w:val="000000"/>
          <w:sz w:val="20"/>
        </w:rPr>
        <w:t>This release contains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Forward-looking statements are statements that include projections, expectations, or beliefs about future events or results or otherwise are not</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-MORE-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CULP Announces Results for Third Quarter Fiscal 2026</w:t>
      </w:r>
    </w:p>
    <w:p>
      <w:pPr>
        <w:pStyle w:val="TextBody"/>
        <w:bidi w:val="0"/>
        <w:jc w:val="left"/>
        <w:rPr>
          <w:rFonts w:ascii="Arial" w:hAnsi="Arial"/>
          <w:color w:val="000000"/>
          <w:sz w:val="20"/>
        </w:rPr>
      </w:pPr>
      <w:r>
        <w:rPr>
          <w:rFonts w:ascii="Arial" w:hAnsi="Arial"/>
          <w:color w:val="000000"/>
          <w:sz w:val="20"/>
        </w:rPr>
        <w:t>Page 4</w:t>
      </w:r>
    </w:p>
    <w:p>
      <w:pPr>
        <w:pStyle w:val="TextBody"/>
        <w:bidi w:val="0"/>
        <w:jc w:val="left"/>
        <w:rPr>
          <w:rFonts w:ascii="Arial" w:hAnsi="Arial"/>
          <w:color w:val="000000"/>
          <w:sz w:val="20"/>
        </w:rPr>
      </w:pPr>
      <w:r>
        <w:rPr>
          <w:rFonts w:ascii="Arial" w:hAnsi="Arial"/>
          <w:color w:val="000000"/>
          <w:sz w:val="20"/>
        </w:rPr>
        <w:t>March 11, 2026</w:t>
      </w:r>
    </w:p>
    <w:p>
      <w:pPr>
        <w:pStyle w:val="TextBody"/>
        <w:bidi w:val="0"/>
        <w:jc w:val="left"/>
        <w:rPr/>
      </w:pPr>
      <w:r>
        <w:rPr/>
        <w:t> </w:t>
      </w:r>
    </w:p>
    <w:p>
      <w:pPr>
        <w:pStyle w:val="TextBody"/>
        <w:bidi w:val="0"/>
        <w:jc w:val="both"/>
        <w:rPr>
          <w:rFonts w:ascii="sans-serif" w:hAnsi="sans-serif"/>
          <w:i/>
          <w:color w:val="000000"/>
          <w:sz w:val="20"/>
        </w:rPr>
      </w:pPr>
      <w:r>
        <w:rPr>
          <w:rFonts w:ascii="sans-serif" w:hAnsi="sans-serif"/>
          <w:i/>
          <w:color w:val="000000"/>
          <w:sz w:val="20"/>
        </w:rPr>
        <w:t>statements of historical fact. Such statements are often but not always characterized by qualifying words such as “expect,” “believe,” “will,” “may,” “should,” “could,” “potential,” “continue,” “target,” “predict”, “seek,” “anticipate,” “estimate,” “intend,” “plan,” “project,” and their derivatives, and include but are not limited to statements about expectations, projections, or trends for our future operations, expectations with respect to tariff refunds, strategic initiatives and plans, restructuring and integration actions, production levels, new product launches, sales, profit margins, profitability, operating (loss) income, capital expenditures, working capital levels, cost savings (including, without limitation, anticipated cost savings from restructuring and integration actions), income taxes, SG&amp;A or other expenses, pre-tax (loss) income, earnings, cash flow, and other performance or liquidity measures, as well as any statements regarding dividends, share repurchases, liquidity, use of cash and cash requirements, ending cash balances and cash positions, borrowing capacity, investments, potential acquisitions, cash and non-cash restructuring and restructuring-related charges, expenses, and/or credits, net proceeds from restructuring related asset dispositions, future economic or industry trends, public health epidemics, or other future developments. There can be no assurance that we will realize these expectations or meet our guidance, or that these beliefs will prove correct.</w:t>
      </w:r>
    </w:p>
    <w:p>
      <w:pPr>
        <w:pStyle w:val="TextBody"/>
        <w:bidi w:val="0"/>
        <w:jc w:val="both"/>
        <w:rPr>
          <w:rFonts w:ascii="sans-serif" w:hAnsi="sans-serif"/>
          <w:i/>
          <w:color w:val="000000"/>
          <w:sz w:val="20"/>
        </w:rPr>
      </w:pPr>
      <w:r>
        <w:rPr>
          <w:rFonts w:ascii="sans-serif" w:hAnsi="sans-serif"/>
          <w:i/>
          <w:color w:val="000000"/>
          <w:sz w:val="20"/>
        </w:rPr>
        <w:t>Factors that could influence the matters discussed in such statements include the level of housing starts and sales of existing homes, demand for home furnishings products,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Changes in consumer tastes or preferences toward products not produced by us could erode demand for our products. Changes in tariffs or trade policy, including changes in U.S. trade enforcement priorities, or changes in the value of the U.S. dollar versus other currencies, could affect our financial results because a significant portion of our operations are located outside the United States. Relatedly, litigation is ongoing as to whether businesses that paid tariffs that were invalidated by the U.S. Supreme Court in February 2026 may receive refunds for those tariffs, and it is uncertain whether or when the Company may receive any such refunds, which could be significant. Also, economic or political instability in international areas could affect our operations or sources of goods in those areas, as well as demand for our products in international markets. The future performance of our business depends in part on our success in conducting and finalizing acquisition negotiations and integrating acquired businesses into our existing operations. The impact of public health epidemics on employees, customers, suppliers, and the global economy, such as the coronavirus pandemic, could also adversely affect our operations and financial performance. In addition, the impact of potential asset impairments, including impairments of property, plant, and equipment, inventory, or intangible assets, as well as the impact of valuation allowances applied against our net deferred income tax assets, could affect our financial results. Increases in freight costs, labor costs, and raw material prices, including increases in market prices for petrochemical products, can also significantly affect the prices we pay for shipping, labor, and raw materials, respectively, and in turn, increase our operating costs and decrease our profitability. Also, our success in diversifying our supply chain with reliable partners to effectively service our global platform could affect our operations and adversely affect our financial results. Finally, the future performance of our business also depends on our ability to successfully restructure our bedding operations and return the segment to profitability as well as successfully integrate our bedding and upholstery segments and realize the expected benefits of that integration effort, which may not meet our expectations. Further information about these factors, as well as other factors that could affect our future operations or financial results and the matters discussed in forward-looking statements, is included in Item 1A “Risk Factors” in our most recent Form 10-K and Form 10-Q reports filed with the Securities and Exchange Commission.</w:t>
      </w:r>
    </w:p>
    <w:p>
      <w:pPr>
        <w:pStyle w:val="TextBody"/>
        <w:bidi w:val="0"/>
        <w:jc w:val="both"/>
        <w:rPr>
          <w:rFonts w:ascii="Times New Roman" w:hAnsi="Times New Roman"/>
          <w:sz w:val="20"/>
        </w:rPr>
      </w:pPr>
      <w:r>
        <w:rPr>
          <w:rFonts w:ascii="sans-serif" w:hAnsi="sans-serif"/>
          <w:i/>
          <w:color w:val="000000"/>
          <w:sz w:val="20"/>
        </w:rPr>
        <w:t>Many of these factors are macroeconomic in nature and are, therefore, beyond our control. Should one or more of these risks or uncertainties materialize, or should underlying assumptions prove incorrect, our actual results, performance or achievements may vary materially from those described in this release as anticipated, believed, estimated, expected, intended, planned or projected. The forward-looking statements included in this release are made only as of the date of this report. Unless required by United States federal securities laws, we neither intend nor assume any obligation to update these forward-looking statements for any reason after the date of this release to conform these statements to actual results or to changes in our expectations. A forward-looking statement is neither a prediction nor a guarantee of future events or circumstances, and those future events or circumstances may not occur. Additional risks and uncertainties that we do not presently know about or that we currently consider to be immaterial may also affect our business operations or financial results.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-MORE-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CULP Announces Results for Third Quarter Fiscal 2026</w:t>
      </w:r>
    </w:p>
    <w:p>
      <w:pPr>
        <w:pStyle w:val="TextBody"/>
        <w:bidi w:val="0"/>
        <w:jc w:val="left"/>
        <w:rPr>
          <w:rFonts w:ascii="Arial" w:hAnsi="Arial"/>
          <w:color w:val="000000"/>
          <w:sz w:val="20"/>
        </w:rPr>
      </w:pPr>
      <w:r>
        <w:rPr>
          <w:rFonts w:ascii="Arial" w:hAnsi="Arial"/>
          <w:color w:val="000000"/>
          <w:sz w:val="20"/>
        </w:rPr>
        <w:t>Page 5</w:t>
      </w:r>
    </w:p>
    <w:p>
      <w:pPr>
        <w:pStyle w:val="TextBody"/>
        <w:bidi w:val="0"/>
        <w:jc w:val="left"/>
        <w:rPr>
          <w:rFonts w:ascii="Arial" w:hAnsi="Arial"/>
          <w:color w:val="000000"/>
          <w:sz w:val="20"/>
        </w:rPr>
      </w:pPr>
      <w:r>
        <w:rPr>
          <w:rFonts w:ascii="Arial" w:hAnsi="Arial"/>
          <w:color w:val="000000"/>
          <w:sz w:val="20"/>
        </w:rPr>
        <w:t>March 11, 2026</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CULP,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CONSOLIDATED STATEMENTS OF NET LOSS</w:t>
      </w:r>
    </w:p>
    <w:p>
      <w:pPr>
        <w:pStyle w:val="TextBody"/>
        <w:bidi w:val="0"/>
        <w:jc w:val="center"/>
        <w:rPr>
          <w:rFonts w:ascii="Arial" w:hAnsi="Arial"/>
          <w:b/>
          <w:color w:val="000000"/>
          <w:sz w:val="20"/>
        </w:rPr>
      </w:pPr>
      <w:r>
        <w:rPr>
          <w:rFonts w:ascii="Arial" w:hAnsi="Arial"/>
          <w:b/>
          <w:color w:val="000000"/>
          <w:sz w:val="20"/>
        </w:rPr>
        <w:t>FOR THE THREE AND NINE MONTHS ENDED FEBRUARY 1, 2026 AND JANUARY 26, 2025</w:t>
      </w:r>
    </w:p>
    <w:p>
      <w:pPr>
        <w:pStyle w:val="TextBody"/>
        <w:bidi w:val="0"/>
        <w:jc w:val="center"/>
        <w:rPr>
          <w:rFonts w:ascii="Arial" w:hAnsi="Arial"/>
          <w:b/>
          <w:color w:val="000000"/>
          <w:sz w:val="18"/>
        </w:rPr>
      </w:pPr>
      <w:r>
        <w:rPr>
          <w:rFonts w:ascii="Arial" w:hAnsi="Arial"/>
          <w:b/>
          <w:color w:val="000000"/>
          <w:sz w:val="18"/>
        </w:rPr>
        <w:t>Unaudited</w:t>
      </w:r>
    </w:p>
    <w:p>
      <w:pPr>
        <w:pStyle w:val="TextBody"/>
        <w:bidi w:val="0"/>
        <w:jc w:val="center"/>
        <w:rPr>
          <w:rFonts w:ascii="Arial" w:hAnsi="Arial"/>
          <w:b/>
          <w:color w:val="000000"/>
          <w:sz w:val="18"/>
        </w:rPr>
      </w:pPr>
      <w:r>
        <w:rPr>
          <w:rFonts w:ascii="Arial" w:hAnsi="Arial"/>
          <w:b/>
          <w:color w:val="000000"/>
          <w:sz w:val="18"/>
        </w:rPr>
        <w:t>(Amounts in Thousands, Except for Per Share Data)</w:t>
      </w:r>
    </w:p>
    <w:p>
      <w:pPr>
        <w:pStyle w:val="TextBody"/>
        <w:bidi w:val="0"/>
        <w:jc w:val="center"/>
        <w:rPr/>
      </w:pPr>
      <w:r>
        <w:rPr/>
        <w:t> </w:t>
      </w:r>
    </w:p>
    <w:p>
      <w:pPr>
        <w:pStyle w:val="TextBody"/>
        <w:bidi w:val="0"/>
        <w:jc w:val="left"/>
        <w:rPr/>
      </w:pPr>
      <w:r>
        <w:rPr/>
        <w:t> </w:t>
      </w:r>
    </w:p>
    <w:p>
      <w:pPr>
        <w:pStyle w:val="TextBody"/>
        <w:bidi w:val="0"/>
        <w:jc w:val="left"/>
        <w:rPr/>
      </w:pPr>
      <w:r>
        <w:rPr/>
        <w:t> </w:t>
      </w:r>
    </w:p>
    <w:tbl>
      <w:tblPr>
        <w:tblW w:w="9390" w:type="dxa"/>
        <w:jc w:val="left"/>
        <w:tblInd w:w="0" w:type="dxa"/>
        <w:tblLayout w:type="fixed"/>
        <w:tblCellMar>
          <w:top w:w="28" w:type="dxa"/>
          <w:left w:w="28" w:type="dxa"/>
          <w:bottom w:w="28" w:type="dxa"/>
          <w:right w:w="28" w:type="dxa"/>
        </w:tblCellMar>
      </w:tblPr>
      <w:tblGrid>
        <w:gridCol w:w="2701"/>
        <w:gridCol w:w="196"/>
        <w:gridCol w:w="163"/>
        <w:gridCol w:w="737"/>
        <w:gridCol w:w="166"/>
        <w:gridCol w:w="146"/>
        <w:gridCol w:w="196"/>
        <w:gridCol w:w="168"/>
        <w:gridCol w:w="762"/>
        <w:gridCol w:w="166"/>
        <w:gridCol w:w="146"/>
        <w:gridCol w:w="146"/>
        <w:gridCol w:w="511"/>
        <w:gridCol w:w="166"/>
        <w:gridCol w:w="256"/>
        <w:gridCol w:w="209"/>
        <w:gridCol w:w="736"/>
        <w:gridCol w:w="166"/>
        <w:gridCol w:w="256"/>
        <w:gridCol w:w="205"/>
        <w:gridCol w:w="725"/>
        <w:gridCol w:w="166"/>
        <w:gridCol w:w="301"/>
      </w:tblGrid>
      <w:tr>
        <w:trPr/>
        <w:tc>
          <w:tcPr>
            <w:tcW w:w="27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6" w:type="dxa"/>
            <w:gridSpan w:val="1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8"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Percent of 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February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January 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 Over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February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January 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(Under)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(42,642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(45,906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Selling, general and administrative</w:t>
              <w:br/>
              <w:t>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Restructuring expense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from operations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income (1)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before income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 expense (2)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 per share - basic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 per share - diluted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Average shares outstanding-basic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Average shares outstanding-diluted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pBdr>
          <w:bottom w:val="single" w:sz="4" w:space="1" w:color="000000"/>
        </w:pBdr>
        <w:bidi w:val="0"/>
        <w:jc w:val="left"/>
        <w:rPr>
          <w:rFonts w:ascii="Arial" w:hAnsi="Arial"/>
          <w:color w:val="000000"/>
          <w:sz w:val="16"/>
        </w:rPr>
      </w:pPr>
      <w:r>
        <w:rPr>
          <w:rFonts w:ascii="Arial" w:hAnsi="Arial"/>
          <w:color w:val="000000"/>
          <w:sz w:val="16"/>
        </w:rPr>
        <w:t>Notes</w:t>
      </w:r>
    </w:p>
    <w:p>
      <w:pPr>
        <w:pStyle w:val="TextBody"/>
        <w:bidi w:val="0"/>
        <w:jc w:val="both"/>
        <w:rPr>
          <w:rFonts w:ascii="Arial" w:hAnsi="Arial"/>
          <w:color w:val="000000"/>
          <w:sz w:val="16"/>
        </w:rPr>
      </w:pPr>
      <w:r>
        <w:rPr>
          <w:rFonts w:ascii="Arial" w:hAnsi="Arial"/>
          <w:color w:val="000000"/>
          <w:sz w:val="16"/>
        </w:rPr>
        <w:t>(1) Other income includes $1.0 million received in cash proceeds in connection with the resolution of a legal matter.</w:t>
      </w:r>
    </w:p>
    <w:p>
      <w:pPr>
        <w:pStyle w:val="TextBody"/>
        <w:bidi w:val="0"/>
        <w:jc w:val="both"/>
        <w:rPr/>
      </w:pPr>
      <w:r>
        <w:rPr/>
        <w:t> </w:t>
      </w:r>
    </w:p>
    <w:p>
      <w:pPr>
        <w:pStyle w:val="TextBody"/>
        <w:bidi w:val="0"/>
        <w:jc w:val="both"/>
        <w:rPr>
          <w:rFonts w:ascii="Arial" w:hAnsi="Arial"/>
          <w:color w:val="000000"/>
          <w:sz w:val="16"/>
        </w:rPr>
      </w:pPr>
      <w:r>
        <w:rPr>
          <w:rFonts w:ascii="Arial" w:hAnsi="Arial"/>
          <w:color w:val="000000"/>
          <w:sz w:val="16"/>
        </w:rPr>
        <w:t>(2) Percent of sales column for income tax expense is calculated as a percent of loss before income taxes.</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9435" w:type="dxa"/>
        <w:jc w:val="left"/>
        <w:tblInd w:w="0" w:type="dxa"/>
        <w:tblLayout w:type="fixed"/>
        <w:tblCellMar>
          <w:top w:w="28" w:type="dxa"/>
          <w:left w:w="28" w:type="dxa"/>
          <w:bottom w:w="28" w:type="dxa"/>
          <w:right w:w="28" w:type="dxa"/>
        </w:tblCellMar>
      </w:tblPr>
      <w:tblGrid>
        <w:gridCol w:w="2701"/>
        <w:gridCol w:w="196"/>
        <w:gridCol w:w="153"/>
        <w:gridCol w:w="792"/>
        <w:gridCol w:w="166"/>
        <w:gridCol w:w="146"/>
        <w:gridCol w:w="196"/>
        <w:gridCol w:w="151"/>
        <w:gridCol w:w="779"/>
        <w:gridCol w:w="166"/>
        <w:gridCol w:w="146"/>
        <w:gridCol w:w="146"/>
        <w:gridCol w:w="511"/>
        <w:gridCol w:w="166"/>
        <w:gridCol w:w="256"/>
        <w:gridCol w:w="209"/>
        <w:gridCol w:w="736"/>
        <w:gridCol w:w="166"/>
        <w:gridCol w:w="256"/>
        <w:gridCol w:w="205"/>
        <w:gridCol w:w="725"/>
        <w:gridCol w:w="166"/>
        <w:gridCol w:w="301"/>
      </w:tblGrid>
      <w:tr>
        <w:trPr/>
        <w:tc>
          <w:tcPr>
            <w:tcW w:w="27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1" w:type="dxa"/>
            <w:gridSpan w:val="1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3"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Percent of 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February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January 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 Over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February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January 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(Under)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151,859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(133,525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18,334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Selling, general and administrative</w:t>
              <w:br/>
              <w:t>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(26,321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Restructuring credit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from operations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expense (1)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before income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(6,101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 expense (2)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(1,868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(7,969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(17,031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 per share - basic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 per share - diluted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Average shares outstanding-basic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12,619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Average shares outstanding-diluted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12,619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pBdr>
          <w:bottom w:val="single" w:sz="4" w:space="1" w:color="000000"/>
        </w:pBdr>
        <w:bidi w:val="0"/>
        <w:jc w:val="left"/>
        <w:rPr>
          <w:rFonts w:ascii="Arial" w:hAnsi="Arial"/>
          <w:color w:val="000000"/>
          <w:sz w:val="16"/>
        </w:rPr>
      </w:pPr>
      <w:r>
        <w:rPr>
          <w:rFonts w:ascii="Arial" w:hAnsi="Arial"/>
          <w:color w:val="000000"/>
          <w:sz w:val="16"/>
        </w:rPr>
        <w:t>Notes</w:t>
      </w:r>
    </w:p>
    <w:p>
      <w:pPr>
        <w:pStyle w:val="TextBody"/>
        <w:bidi w:val="0"/>
        <w:jc w:val="both"/>
        <w:rPr>
          <w:rFonts w:ascii="Arial" w:hAnsi="Arial"/>
          <w:color w:val="000000"/>
          <w:sz w:val="16"/>
        </w:rPr>
      </w:pPr>
      <w:r>
        <w:rPr>
          <w:rFonts w:ascii="Arial" w:hAnsi="Arial"/>
          <w:color w:val="000000"/>
          <w:sz w:val="16"/>
        </w:rPr>
        <w:t>(1) Other expense includes $1.0 million received in cash proceeds in connection with the resolution of a legal matter.</w:t>
      </w:r>
    </w:p>
    <w:p>
      <w:pPr>
        <w:pStyle w:val="TextBody"/>
        <w:bidi w:val="0"/>
        <w:jc w:val="both"/>
        <w:rPr/>
      </w:pPr>
      <w:r>
        <w:rPr/>
        <w:t> </w:t>
      </w:r>
    </w:p>
    <w:p>
      <w:pPr>
        <w:pStyle w:val="TextBody"/>
        <w:bidi w:val="0"/>
        <w:jc w:val="both"/>
        <w:rPr>
          <w:rFonts w:ascii="Arial" w:hAnsi="Arial"/>
          <w:color w:val="000000"/>
          <w:sz w:val="16"/>
        </w:rPr>
      </w:pPr>
      <w:r>
        <w:rPr>
          <w:rFonts w:ascii="Arial" w:hAnsi="Arial"/>
          <w:color w:val="000000"/>
          <w:sz w:val="16"/>
        </w:rPr>
        <w:t>(2) Percent of sales column for income tax expense is calculated as a percent of loss before income taxes.</w:t>
      </w:r>
    </w:p>
    <w:p>
      <w:pPr>
        <w:pStyle w:val="TextBody"/>
        <w:bidi w:val="0"/>
        <w:jc w:val="center"/>
        <w:rPr>
          <w:rFonts w:ascii="Arial" w:hAnsi="Arial"/>
          <w:color w:val="000000"/>
          <w:sz w:val="20"/>
        </w:rPr>
      </w:pPr>
      <w:r>
        <w:rPr>
          <w:rFonts w:ascii="Arial" w:hAnsi="Arial"/>
          <w:color w:val="000000"/>
          <w:sz w:val="20"/>
        </w:rPr>
        <w:t>-MORE-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CULP Announces Results for Third Quarter Fiscal 2026</w:t>
      </w:r>
    </w:p>
    <w:p>
      <w:pPr>
        <w:pStyle w:val="TextBody"/>
        <w:bidi w:val="0"/>
        <w:jc w:val="left"/>
        <w:rPr>
          <w:rFonts w:ascii="Arial" w:hAnsi="Arial"/>
          <w:color w:val="000000"/>
          <w:sz w:val="20"/>
        </w:rPr>
      </w:pPr>
      <w:r>
        <w:rPr>
          <w:rFonts w:ascii="Arial" w:hAnsi="Arial"/>
          <w:color w:val="000000"/>
          <w:sz w:val="20"/>
        </w:rPr>
        <w:t>Page 6</w:t>
      </w:r>
    </w:p>
    <w:p>
      <w:pPr>
        <w:pStyle w:val="TextBody"/>
        <w:bidi w:val="0"/>
        <w:jc w:val="left"/>
        <w:rPr>
          <w:rFonts w:ascii="Arial" w:hAnsi="Arial"/>
          <w:color w:val="000000"/>
          <w:sz w:val="20"/>
        </w:rPr>
      </w:pPr>
      <w:r>
        <w:rPr>
          <w:rFonts w:ascii="Arial" w:hAnsi="Arial"/>
          <w:color w:val="000000"/>
          <w:sz w:val="20"/>
        </w:rPr>
        <w:t>March 11, 2026</w:t>
      </w:r>
    </w:p>
    <w:p>
      <w:pPr>
        <w:pStyle w:val="TextBody"/>
        <w:bidi w:val="0"/>
        <w:jc w:val="left"/>
        <w:rPr/>
      </w:pPr>
      <w:r>
        <w:rPr/>
        <w:t> </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CULP, INC.</w:t>
      </w:r>
    </w:p>
    <w:p>
      <w:pPr>
        <w:pStyle w:val="TextBody"/>
        <w:bidi w:val="0"/>
        <w:jc w:val="center"/>
        <w:rPr>
          <w:rFonts w:ascii="Arial" w:hAnsi="Arial"/>
          <w:b/>
          <w:color w:val="000000"/>
          <w:sz w:val="20"/>
        </w:rPr>
      </w:pPr>
      <w:r>
        <w:rPr>
          <w:rFonts w:ascii="Arial" w:hAnsi="Arial"/>
          <w:b/>
          <w:color w:val="000000"/>
          <w:sz w:val="20"/>
        </w:rPr>
        <w:t>CONSOLIDATED BALANCE SHEETS</w:t>
      </w:r>
    </w:p>
    <w:p>
      <w:pPr>
        <w:pStyle w:val="TextBody"/>
        <w:bidi w:val="0"/>
        <w:jc w:val="center"/>
        <w:rPr>
          <w:rFonts w:ascii="Arial" w:hAnsi="Arial"/>
          <w:b/>
          <w:color w:val="000000"/>
          <w:sz w:val="20"/>
        </w:rPr>
      </w:pPr>
      <w:r>
        <w:rPr>
          <w:rFonts w:ascii="Arial" w:hAnsi="Arial"/>
          <w:b/>
          <w:color w:val="000000"/>
          <w:sz w:val="20"/>
        </w:rPr>
        <w:t>FEBRUARY 1, 2026, JANUARY 26, 2025, AND APRIL 27, 2025</w:t>
      </w:r>
    </w:p>
    <w:p>
      <w:pPr>
        <w:pStyle w:val="TextBody"/>
        <w:bidi w:val="0"/>
        <w:jc w:val="center"/>
        <w:rPr>
          <w:rFonts w:ascii="Arial" w:hAnsi="Arial"/>
          <w:b/>
          <w:color w:val="000000"/>
          <w:sz w:val="18"/>
        </w:rPr>
      </w:pPr>
      <w:r>
        <w:rPr>
          <w:rFonts w:ascii="Arial" w:hAnsi="Arial"/>
          <w:b/>
          <w:color w:val="000000"/>
          <w:sz w:val="18"/>
        </w:rPr>
        <w:t>Unaudited</w:t>
      </w:r>
    </w:p>
    <w:p>
      <w:pPr>
        <w:pStyle w:val="TextBody"/>
        <w:bidi w:val="0"/>
        <w:jc w:val="center"/>
        <w:rPr>
          <w:rFonts w:ascii="Arial" w:hAnsi="Arial"/>
          <w:b/>
          <w:color w:val="000000"/>
          <w:sz w:val="18"/>
        </w:rPr>
      </w:pPr>
      <w:r>
        <w:rPr>
          <w:rFonts w:ascii="Arial" w:hAnsi="Arial"/>
          <w:b/>
          <w:color w:val="000000"/>
          <w:sz w:val="18"/>
        </w:rPr>
        <w:t>(Amounts in Thousands)</w:t>
      </w:r>
    </w:p>
    <w:p>
      <w:pPr>
        <w:pStyle w:val="TextBody"/>
        <w:bidi w:val="0"/>
        <w:jc w:val="both"/>
        <w:rPr/>
      </w:pPr>
      <w:r>
        <w:rPr/>
        <w:t> </w:t>
      </w:r>
    </w:p>
    <w:tbl>
      <w:tblPr>
        <w:tblW w:w="7822" w:type="dxa"/>
        <w:jc w:val="left"/>
        <w:tblInd w:w="0" w:type="dxa"/>
        <w:tblLayout w:type="fixed"/>
        <w:tblCellMar>
          <w:top w:w="28" w:type="dxa"/>
          <w:left w:w="28" w:type="dxa"/>
          <w:bottom w:w="28" w:type="dxa"/>
          <w:right w:w="28" w:type="dxa"/>
        </w:tblCellMar>
      </w:tblPr>
      <w:tblGrid>
        <w:gridCol w:w="3231"/>
        <w:gridCol w:w="146"/>
        <w:gridCol w:w="251"/>
        <w:gridCol w:w="889"/>
        <w:gridCol w:w="146"/>
        <w:gridCol w:w="146"/>
        <w:gridCol w:w="235"/>
        <w:gridCol w:w="830"/>
        <w:gridCol w:w="146"/>
        <w:gridCol w:w="146"/>
        <w:gridCol w:w="235"/>
        <w:gridCol w:w="830"/>
        <w:gridCol w:w="591"/>
      </w:tblGrid>
      <w:tr>
        <w:trPr/>
        <w:tc>
          <w:tcPr>
            <w:tcW w:w="3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(Condensed)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(Condensed)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(Condensed)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February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January 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 April 27,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5,629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Short-term investments - rabbi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16,891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21,844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52,208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49,309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Short-term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Current income taxes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2,177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2,579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2,970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88,444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83,534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Property, plant &amp;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21,614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24,836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Right 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5,908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Long-term investments - rabbi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5,722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Long-term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120,753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127,555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123,370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Lines of credit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11,508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8,114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Accounts payable - 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29,643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27,323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Accounts payable -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Operating lease liability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2,394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Deferred compensation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5,333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Accrued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Income taxes payable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1,420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51,589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46,964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Line of credit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lease liability -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2,535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taxes payable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5,155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compensation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5,090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5,686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70,533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65,730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50,220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59,650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57,640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liabilities and shareholders'</w:t>
              <w:br/>
              <w: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120,753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127,555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123,370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12,663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12,559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i/>
          <w:color w:val="000000"/>
          <w:sz w:val="16"/>
        </w:rPr>
      </w:pPr>
      <w:r>
        <w:rPr>
          <w:rFonts w:ascii="Arial" w:hAnsi="Arial"/>
          <w:i/>
          <w:color w:val="000000"/>
          <w:sz w:val="16"/>
        </w:rPr>
        <w:t>* Derived from audited financial statements.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-MORE-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CULP Announces Results for Third Quarter Fiscal 2026</w:t>
      </w:r>
    </w:p>
    <w:p>
      <w:pPr>
        <w:pStyle w:val="TextBody"/>
        <w:bidi w:val="0"/>
        <w:jc w:val="left"/>
        <w:rPr>
          <w:rFonts w:ascii="Arial" w:hAnsi="Arial"/>
          <w:color w:val="000000"/>
          <w:sz w:val="20"/>
        </w:rPr>
      </w:pPr>
      <w:r>
        <w:rPr>
          <w:rFonts w:ascii="Arial" w:hAnsi="Arial"/>
          <w:color w:val="000000"/>
          <w:sz w:val="20"/>
        </w:rPr>
        <w:t>Page 7</w:t>
      </w:r>
    </w:p>
    <w:p>
      <w:pPr>
        <w:pStyle w:val="TextBody"/>
        <w:bidi w:val="0"/>
        <w:jc w:val="left"/>
        <w:rPr>
          <w:rFonts w:ascii="Arial" w:hAnsi="Arial"/>
          <w:color w:val="000000"/>
          <w:sz w:val="20"/>
        </w:rPr>
      </w:pPr>
      <w:r>
        <w:rPr>
          <w:rFonts w:ascii="Arial" w:hAnsi="Arial"/>
          <w:color w:val="000000"/>
          <w:sz w:val="20"/>
        </w:rPr>
        <w:t>March 11, 2026</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CULP, INC.</w:t>
      </w:r>
    </w:p>
    <w:p>
      <w:pPr>
        <w:pStyle w:val="TextBody"/>
        <w:bidi w:val="0"/>
        <w:jc w:val="center"/>
        <w:rPr>
          <w:rFonts w:ascii="Arial" w:hAnsi="Arial"/>
          <w:b/>
          <w:color w:val="000000"/>
          <w:sz w:val="20"/>
        </w:rPr>
      </w:pPr>
      <w:r>
        <w:rPr>
          <w:rFonts w:ascii="Arial" w:hAnsi="Arial"/>
          <w:b/>
          <w:color w:val="000000"/>
          <w:sz w:val="20"/>
        </w:rPr>
        <w:t>CONSOLIDATED STATEMENTS OF CASH FLOWS</w:t>
      </w:r>
    </w:p>
    <w:p>
      <w:pPr>
        <w:pStyle w:val="TextBody"/>
        <w:bidi w:val="0"/>
        <w:jc w:val="center"/>
        <w:rPr>
          <w:rFonts w:ascii="Arial" w:hAnsi="Arial"/>
          <w:b/>
          <w:color w:val="000000"/>
          <w:sz w:val="20"/>
        </w:rPr>
      </w:pPr>
      <w:r>
        <w:rPr>
          <w:rFonts w:ascii="Arial" w:hAnsi="Arial"/>
          <w:b/>
          <w:color w:val="000000"/>
          <w:sz w:val="20"/>
        </w:rPr>
        <w:t>FOR THE NINE MONTHS ENDED FEBRUARY 1, 2026 AND JANUARY 26, 2025</w:t>
      </w:r>
    </w:p>
    <w:p>
      <w:pPr>
        <w:pStyle w:val="TextBody"/>
        <w:bidi w:val="0"/>
        <w:jc w:val="center"/>
        <w:rPr>
          <w:rFonts w:ascii="Arial" w:hAnsi="Arial"/>
          <w:b/>
          <w:color w:val="000000"/>
          <w:sz w:val="18"/>
        </w:rPr>
      </w:pPr>
      <w:r>
        <w:rPr>
          <w:rFonts w:ascii="Arial" w:hAnsi="Arial"/>
          <w:b/>
          <w:color w:val="000000"/>
          <w:sz w:val="18"/>
        </w:rPr>
        <w:t>Unaudited</w:t>
      </w:r>
    </w:p>
    <w:p>
      <w:pPr>
        <w:pStyle w:val="TextBody"/>
        <w:bidi w:val="0"/>
        <w:jc w:val="center"/>
        <w:rPr>
          <w:rFonts w:ascii="Arial" w:hAnsi="Arial"/>
          <w:b/>
          <w:color w:val="000000"/>
          <w:sz w:val="18"/>
        </w:rPr>
      </w:pPr>
      <w:r>
        <w:rPr>
          <w:rFonts w:ascii="Arial" w:hAnsi="Arial"/>
          <w:b/>
          <w:color w:val="000000"/>
          <w:sz w:val="18"/>
        </w:rPr>
        <w:t>(Amounts in Thousands)</w:t>
      </w:r>
    </w:p>
    <w:p>
      <w:pPr>
        <w:pStyle w:val="TextBody"/>
        <w:bidi w:val="0"/>
        <w:jc w:val="center"/>
        <w:rPr/>
      </w:pPr>
      <w:r>
        <w:rPr/>
        <w:t> </w:t>
      </w:r>
    </w:p>
    <w:tbl>
      <w:tblPr>
        <w:tblW w:w="9390" w:type="dxa"/>
        <w:jc w:val="left"/>
        <w:tblInd w:w="0" w:type="dxa"/>
        <w:tblLayout w:type="fixed"/>
        <w:tblCellMar>
          <w:top w:w="28" w:type="dxa"/>
          <w:left w:w="28" w:type="dxa"/>
          <w:bottom w:w="28" w:type="dxa"/>
          <w:right w:w="28" w:type="dxa"/>
        </w:tblCellMar>
      </w:tblPr>
      <w:tblGrid>
        <w:gridCol w:w="5956"/>
        <w:gridCol w:w="146"/>
        <w:gridCol w:w="243"/>
        <w:gridCol w:w="747"/>
        <w:gridCol w:w="166"/>
        <w:gridCol w:w="146"/>
        <w:gridCol w:w="223"/>
        <w:gridCol w:w="752"/>
        <w:gridCol w:w="1011"/>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Amounts</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February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January 26,</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(17,031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Adjustments to reconcile net loss to net cash used in</w:t>
              <w:br/>
              <w:t>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4,288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Non-cash inventory charge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Gain on sale of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Realized gain on sale of investments (rabbi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Non-cash restructuring (credit)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2,143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Foreign currency exchange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(2,730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Accounts payable - trade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7,184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Accrued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Accrued expenses and deferred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Arial" w:hAnsi="Arial"/>
                <w:color w:val="000000"/>
                <w:sz w:val="16"/>
              </w:rPr>
            </w:pPr>
            <w:r>
              <w:rPr>
                <w:rFonts w:ascii="Arial" w:hAnsi="Arial"/>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color w:val="000000"/>
                <w:sz w:val="16"/>
              </w:rPr>
            </w:pPr>
            <w:r>
              <w:rPr>
                <w:rFonts w:ascii="Arial" w:hAnsi="Arial"/>
                <w:color w:val="000000"/>
                <w:sz w:val="16"/>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(9,425</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(2,440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Proceeds from the sale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Proceeds from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Proceeds from the sale of investments (rabbi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Purchase of investments (rabbi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Arial" w:hAnsi="Arial"/>
                <w:color w:val="000000"/>
                <w:sz w:val="16"/>
              </w:rPr>
            </w:pPr>
            <w:r>
              <w:rPr>
                <w:rFonts w:ascii="Arial" w:hAnsi="Arial"/>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color w:val="000000"/>
                <w:sz w:val="16"/>
              </w:rPr>
            </w:pPr>
            <w:r>
              <w:rPr>
                <w:rFonts w:ascii="Arial" w:hAnsi="Arial"/>
                <w:color w:val="000000"/>
                <w:sz w:val="16"/>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Proceeds from lines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7,898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Payments on lines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Payment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Common stock surrendered for withholding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Arial" w:hAnsi="Arial"/>
                <w:color w:val="000000"/>
                <w:sz w:val="16"/>
              </w:rPr>
            </w:pPr>
            <w:r>
              <w:rPr>
                <w:rFonts w:ascii="Arial" w:hAnsi="Arial"/>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color w:val="000000"/>
                <w:sz w:val="16"/>
              </w:rPr>
            </w:pPr>
            <w:r>
              <w:rPr>
                <w:rFonts w:ascii="Arial" w:hAnsi="Arial"/>
                <w:color w:val="000000"/>
                <w:sz w:val="16"/>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Effect of foreign currency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(4,733</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10,012</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9,687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5,279</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-MORE-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CULP Announces Results for Third Quarter Fiscal 2026</w:t>
      </w:r>
    </w:p>
    <w:p>
      <w:pPr>
        <w:pStyle w:val="TextBody"/>
        <w:bidi w:val="0"/>
        <w:jc w:val="left"/>
        <w:rPr>
          <w:rFonts w:ascii="Arial" w:hAnsi="Arial"/>
          <w:color w:val="000000"/>
          <w:sz w:val="20"/>
        </w:rPr>
      </w:pPr>
      <w:r>
        <w:rPr>
          <w:rFonts w:ascii="Arial" w:hAnsi="Arial"/>
          <w:color w:val="000000"/>
          <w:sz w:val="20"/>
        </w:rPr>
        <w:t>Page 8</w:t>
      </w:r>
    </w:p>
    <w:p>
      <w:pPr>
        <w:pStyle w:val="TextBody"/>
        <w:bidi w:val="0"/>
        <w:jc w:val="left"/>
        <w:rPr>
          <w:rFonts w:ascii="Arial" w:hAnsi="Arial"/>
          <w:color w:val="000000"/>
          <w:sz w:val="20"/>
        </w:rPr>
      </w:pPr>
      <w:r>
        <w:rPr>
          <w:rFonts w:ascii="Arial" w:hAnsi="Arial"/>
          <w:color w:val="000000"/>
          <w:sz w:val="20"/>
        </w:rPr>
        <w:t>March 11, 2026</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CULP, INC.</w:t>
      </w:r>
    </w:p>
    <w:p>
      <w:pPr>
        <w:pStyle w:val="TextBody"/>
        <w:bidi w:val="0"/>
        <w:jc w:val="center"/>
        <w:rPr>
          <w:rFonts w:ascii="Arial" w:hAnsi="Arial"/>
          <w:b/>
          <w:color w:val="000000"/>
          <w:sz w:val="20"/>
        </w:rPr>
      </w:pPr>
      <w:r>
        <w:rPr>
          <w:rFonts w:ascii="Arial" w:hAnsi="Arial"/>
          <w:b/>
          <w:color w:val="000000"/>
          <w:sz w:val="20"/>
        </w:rPr>
        <w:t>STATEMENTS OF NET SALES AND GROSS PROFIT BY SEGMENT</w:t>
      </w:r>
    </w:p>
    <w:p>
      <w:pPr>
        <w:pStyle w:val="TextBody"/>
        <w:bidi w:val="0"/>
        <w:jc w:val="center"/>
        <w:rPr>
          <w:rFonts w:ascii="Arial" w:hAnsi="Arial"/>
          <w:b/>
          <w:color w:val="000000"/>
          <w:sz w:val="20"/>
        </w:rPr>
      </w:pPr>
      <w:r>
        <w:rPr>
          <w:rFonts w:ascii="Arial" w:hAnsi="Arial"/>
          <w:b/>
          <w:color w:val="000000"/>
          <w:sz w:val="20"/>
        </w:rPr>
        <w:t>FOR THE THREE AND NINE MONTHS ENDED FEBRUARY 1, 2026 AND JANUARY 26, 2025</w:t>
      </w:r>
    </w:p>
    <w:p>
      <w:pPr>
        <w:pStyle w:val="TextBody"/>
        <w:bidi w:val="0"/>
        <w:jc w:val="center"/>
        <w:rPr>
          <w:rFonts w:ascii="Arial" w:hAnsi="Arial"/>
          <w:b/>
          <w:color w:val="000000"/>
          <w:sz w:val="18"/>
        </w:rPr>
      </w:pPr>
      <w:r>
        <w:rPr>
          <w:rFonts w:ascii="Arial" w:hAnsi="Arial"/>
          <w:b/>
          <w:color w:val="000000"/>
          <w:sz w:val="18"/>
        </w:rPr>
        <w:t>Unaudited</w:t>
      </w:r>
    </w:p>
    <w:p>
      <w:pPr>
        <w:pStyle w:val="TextBody"/>
        <w:bidi w:val="0"/>
        <w:jc w:val="center"/>
        <w:rPr>
          <w:rFonts w:ascii="Arial" w:hAnsi="Arial"/>
          <w:b/>
          <w:color w:val="000000"/>
          <w:sz w:val="18"/>
        </w:rPr>
      </w:pPr>
      <w:r>
        <w:rPr>
          <w:rFonts w:ascii="Arial" w:hAnsi="Arial"/>
          <w:b/>
          <w:color w:val="000000"/>
          <w:sz w:val="18"/>
        </w:rPr>
        <w:t>(Amounts in Thousands)</w:t>
      </w:r>
    </w:p>
    <w:p>
      <w:pPr>
        <w:pStyle w:val="TextBody"/>
        <w:bidi w:val="0"/>
        <w:jc w:val="center"/>
        <w:rPr/>
      </w:pPr>
      <w:r>
        <w:rPr/>
        <w:t> </w:t>
      </w:r>
    </w:p>
    <w:p>
      <w:pPr>
        <w:pStyle w:val="TextBody"/>
        <w:bidi w:val="0"/>
        <w:jc w:val="center"/>
        <w:rPr/>
      </w:pPr>
      <w:r>
        <w:rPr/>
        <w:t> </w:t>
      </w:r>
    </w:p>
    <w:tbl>
      <w:tblPr>
        <w:tblW w:w="8983" w:type="dxa"/>
        <w:jc w:val="left"/>
        <w:tblInd w:w="0" w:type="dxa"/>
        <w:tblLayout w:type="fixed"/>
        <w:tblCellMar>
          <w:top w:w="28" w:type="dxa"/>
          <w:left w:w="28" w:type="dxa"/>
          <w:bottom w:w="28" w:type="dxa"/>
          <w:right w:w="28" w:type="dxa"/>
        </w:tblCellMar>
      </w:tblPr>
      <w:tblGrid>
        <w:gridCol w:w="2551"/>
        <w:gridCol w:w="146"/>
        <w:gridCol w:w="206"/>
        <w:gridCol w:w="634"/>
        <w:gridCol w:w="146"/>
        <w:gridCol w:w="146"/>
        <w:gridCol w:w="228"/>
        <w:gridCol w:w="702"/>
        <w:gridCol w:w="166"/>
        <w:gridCol w:w="146"/>
        <w:gridCol w:w="146"/>
        <w:gridCol w:w="571"/>
        <w:gridCol w:w="316"/>
        <w:gridCol w:w="146"/>
        <w:gridCol w:w="186"/>
        <w:gridCol w:w="654"/>
        <w:gridCol w:w="256"/>
        <w:gridCol w:w="146"/>
        <w:gridCol w:w="205"/>
        <w:gridCol w:w="725"/>
        <w:gridCol w:w="56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1" w:type="dxa"/>
            <w:gridSpan w:val="1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Percent of Total Sales</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February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January 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 Over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February 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January 26,</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 by Segment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(Under)</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2025</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Bedding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27,283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56.9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54.8</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Upholstery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20,682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45.2</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47,965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52,253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5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 by Segment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Gross Margin</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Bedding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Upholstery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3,367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16.3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17.9</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Total Segment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Restructuring Related Charge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5,323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11.1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w:t>
            </w:r>
          </w:p>
        </w:tc>
        <w:tc>
          <w:tcPr>
            <w:tcW w:w="5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pPr>
      <w:r>
        <w:rPr/>
        <w:t> </w:t>
      </w:r>
    </w:p>
    <w:p>
      <w:pPr>
        <w:pStyle w:val="TextBody"/>
        <w:pBdr>
          <w:bottom w:val="single" w:sz="4" w:space="1" w:color="000000"/>
        </w:pBdr>
        <w:bidi w:val="0"/>
        <w:jc w:val="left"/>
        <w:rPr>
          <w:rFonts w:ascii="Arial" w:hAnsi="Arial"/>
          <w:color w:val="000000"/>
          <w:sz w:val="17"/>
        </w:rPr>
      </w:pPr>
      <w:r>
        <w:rPr>
          <w:rFonts w:ascii="Arial" w:hAnsi="Arial"/>
          <w:color w:val="000000"/>
          <w:sz w:val="17"/>
        </w:rPr>
        <w:t>Notes</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8"/>
        </w:rPr>
        <w:t>(1) See page 10</w:t>
      </w:r>
      <w:r>
        <w:rPr>
          <w:rFonts w:ascii="Times New Roman" w:hAnsi="Times New Roman"/>
          <w:color w:val="000000"/>
          <w:sz w:val="20"/>
        </w:rPr>
        <w:t xml:space="preserve"> </w:t>
      </w:r>
      <w:r>
        <w:rPr>
          <w:rFonts w:ascii="Arial" w:hAnsi="Arial"/>
          <w:color w:val="000000"/>
          <w:sz w:val="18"/>
        </w:rPr>
        <w:t>for details regarding restructuring related charges included in cost of sales and gross profit and a Reconciliation of Selected Income Statement Information to Adjusted Results for the three months ended February 1, 2026 and January 26, 2025.</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9009" w:type="dxa"/>
        <w:jc w:val="left"/>
        <w:tblInd w:w="0" w:type="dxa"/>
        <w:tblLayout w:type="fixed"/>
        <w:tblCellMar>
          <w:top w:w="28" w:type="dxa"/>
          <w:left w:w="28" w:type="dxa"/>
          <w:bottom w:w="28" w:type="dxa"/>
          <w:right w:w="28" w:type="dxa"/>
        </w:tblCellMar>
      </w:tblPr>
      <w:tblGrid>
        <w:gridCol w:w="2551"/>
        <w:gridCol w:w="146"/>
        <w:gridCol w:w="196"/>
        <w:gridCol w:w="691"/>
        <w:gridCol w:w="166"/>
        <w:gridCol w:w="146"/>
        <w:gridCol w:w="205"/>
        <w:gridCol w:w="725"/>
        <w:gridCol w:w="166"/>
        <w:gridCol w:w="146"/>
        <w:gridCol w:w="157"/>
        <w:gridCol w:w="519"/>
        <w:gridCol w:w="316"/>
        <w:gridCol w:w="146"/>
        <w:gridCol w:w="186"/>
        <w:gridCol w:w="654"/>
        <w:gridCol w:w="316"/>
        <w:gridCol w:w="146"/>
        <w:gridCol w:w="205"/>
        <w:gridCol w:w="725"/>
        <w:gridCol w:w="50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7" w:type="dxa"/>
            <w:gridSpan w:val="1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Percent of Total Sales</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February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January 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 Over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February 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January 26,</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 by Segment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(Under)</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2025</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Bedding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86,093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56.7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52.8</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Upholstery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65,766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77,672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43.3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47.2</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151,859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164,464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 by Segment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Gross Margin</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Bedding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Upholstery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11,264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17.1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18.1</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Total Segment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19,265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12.7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Restructuring Related Charge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(0.6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18,334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12.1</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pPr>
      <w:r>
        <w:rPr/>
        <w:t> </w:t>
      </w:r>
    </w:p>
    <w:p>
      <w:pPr>
        <w:pStyle w:val="TextBody"/>
        <w:pBdr>
          <w:bottom w:val="single" w:sz="4" w:space="1" w:color="000000"/>
        </w:pBdr>
        <w:bidi w:val="0"/>
        <w:jc w:val="left"/>
        <w:rPr>
          <w:rFonts w:ascii="Arial" w:hAnsi="Arial"/>
          <w:color w:val="000000"/>
          <w:sz w:val="17"/>
        </w:rPr>
      </w:pPr>
      <w:r>
        <w:rPr>
          <w:rFonts w:ascii="Arial" w:hAnsi="Arial"/>
          <w:color w:val="000000"/>
          <w:sz w:val="17"/>
        </w:rPr>
        <w:t>Notes</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8"/>
        </w:rPr>
        <w:t>(1) See page 11</w:t>
      </w:r>
      <w:r>
        <w:rPr>
          <w:rFonts w:ascii="Times New Roman" w:hAnsi="Times New Roman"/>
          <w:color w:val="000000"/>
          <w:sz w:val="20"/>
        </w:rPr>
        <w:t xml:space="preserve"> </w:t>
      </w:r>
      <w:r>
        <w:rPr>
          <w:rFonts w:ascii="Arial" w:hAnsi="Arial"/>
          <w:color w:val="000000"/>
          <w:sz w:val="18"/>
        </w:rPr>
        <w:t>for details regarding restructuring related charges included in cost of sales and gross profit and a Reconciliation of Selected Income Statement Information to Adjusted Results for the nine months February 1, 2026, and January 26, 2025.</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-MORE-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CULP Announces Results for Third Quarter Fiscal 2026</w:t>
      </w:r>
    </w:p>
    <w:p>
      <w:pPr>
        <w:pStyle w:val="TextBody"/>
        <w:bidi w:val="0"/>
        <w:jc w:val="left"/>
        <w:rPr>
          <w:rFonts w:ascii="Arial" w:hAnsi="Arial"/>
          <w:color w:val="000000"/>
          <w:sz w:val="20"/>
        </w:rPr>
      </w:pPr>
      <w:r>
        <w:rPr>
          <w:rFonts w:ascii="Arial" w:hAnsi="Arial"/>
          <w:color w:val="000000"/>
          <w:sz w:val="20"/>
        </w:rPr>
        <w:t>Page 9</w:t>
      </w:r>
    </w:p>
    <w:p>
      <w:pPr>
        <w:pStyle w:val="TextBody"/>
        <w:bidi w:val="0"/>
        <w:jc w:val="left"/>
        <w:rPr>
          <w:rFonts w:ascii="Arial" w:hAnsi="Arial"/>
          <w:color w:val="000000"/>
          <w:sz w:val="20"/>
        </w:rPr>
      </w:pPr>
      <w:r>
        <w:rPr>
          <w:rFonts w:ascii="Arial" w:hAnsi="Arial"/>
          <w:color w:val="000000"/>
          <w:sz w:val="20"/>
        </w:rPr>
        <w:t>March 11, 2026</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CULP, INC.</w:t>
      </w:r>
    </w:p>
    <w:p>
      <w:pPr>
        <w:pStyle w:val="TextBody"/>
        <w:bidi w:val="0"/>
        <w:jc w:val="center"/>
        <w:rPr>
          <w:rFonts w:ascii="Arial" w:hAnsi="Arial"/>
          <w:b/>
          <w:color w:val="000000"/>
          <w:sz w:val="20"/>
        </w:rPr>
      </w:pPr>
      <w:r>
        <w:rPr>
          <w:rFonts w:ascii="Arial" w:hAnsi="Arial"/>
          <w:b/>
          <w:color w:val="000000"/>
          <w:sz w:val="20"/>
        </w:rPr>
        <w:t>RECONCILIATIONS OF NON-GAAP FINANCIAL MEASURES</w:t>
      </w:r>
    </w:p>
    <w:p>
      <w:pPr>
        <w:pStyle w:val="TextBody"/>
        <w:bidi w:val="0"/>
        <w:jc w:val="center"/>
        <w:rPr>
          <w:rFonts w:ascii="Arial" w:hAnsi="Arial"/>
          <w:b/>
          <w:color w:val="000000"/>
          <w:sz w:val="18"/>
        </w:rPr>
      </w:pPr>
      <w:r>
        <w:rPr>
          <w:rFonts w:ascii="Arial" w:hAnsi="Arial"/>
          <w:b/>
          <w:color w:val="000000"/>
          <w:sz w:val="18"/>
        </w:rPr>
        <w:t>Unaudited</w:t>
      </w:r>
    </w:p>
    <w:p>
      <w:pPr>
        <w:pStyle w:val="TextBody"/>
        <w:bidi w:val="0"/>
        <w:jc w:val="center"/>
        <w:rPr>
          <w:rFonts w:ascii="Arial" w:hAnsi="Arial"/>
          <w:b/>
          <w:color w:val="000000"/>
          <w:sz w:val="18"/>
        </w:rPr>
      </w:pPr>
      <w:r>
        <w:rPr>
          <w:rFonts w:ascii="Arial" w:hAnsi="Arial"/>
          <w:b/>
          <w:color w:val="000000"/>
          <w:sz w:val="18"/>
        </w:rPr>
        <w:t>(Amounts in Thousands)</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RECONCILIATION OF NET (DEBT) CASH</w:t>
      </w:r>
    </w:p>
    <w:tbl>
      <w:tblPr>
        <w:tblW w:w="6504" w:type="dxa"/>
        <w:jc w:val="left"/>
        <w:tblInd w:w="0" w:type="dxa"/>
        <w:tblLayout w:type="fixed"/>
        <w:tblCellMar>
          <w:top w:w="28" w:type="dxa"/>
          <w:left w:w="28" w:type="dxa"/>
          <w:bottom w:w="28" w:type="dxa"/>
          <w:right w:w="28" w:type="dxa"/>
        </w:tblCellMar>
      </w:tblPr>
      <w:tblGrid>
        <w:gridCol w:w="2301"/>
        <w:gridCol w:w="146"/>
        <w:gridCol w:w="226"/>
        <w:gridCol w:w="764"/>
        <w:gridCol w:w="166"/>
        <w:gridCol w:w="146"/>
        <w:gridCol w:w="249"/>
        <w:gridCol w:w="726"/>
        <w:gridCol w:w="166"/>
        <w:gridCol w:w="146"/>
        <w:gridCol w:w="196"/>
        <w:gridCol w:w="661"/>
        <w:gridCol w:w="611"/>
      </w:tblGrid>
      <w:tr>
        <w:trPr/>
        <w:tc>
          <w:tcPr>
            <w:tcW w:w="2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February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January 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April 27,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5,629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Lines of credit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(11,508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Line of credit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(18,533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(12,714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(debt) cash position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(8,846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(7,085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rFonts w:ascii="Arial" w:hAnsi="Arial"/>
          <w:i/>
          <w:color w:val="000000"/>
          <w:sz w:val="16"/>
        </w:rPr>
      </w:pPr>
      <w:r>
        <w:rPr>
          <w:rFonts w:ascii="Arial" w:hAnsi="Arial"/>
          <w:i/>
          <w:color w:val="000000"/>
          <w:sz w:val="16"/>
        </w:rPr>
        <w:t>* Derived from audited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bookmarkStart w:id="4" w:name="fcf"/>
      <w:bookmarkEnd w:id="4"/>
      <w:r>
        <w:rPr>
          <w:rFonts w:ascii="Arial" w:hAnsi="Arial"/>
          <w:b/>
          <w:color w:val="000000"/>
          <w:sz w:val="18"/>
        </w:rPr>
        <w:t>RECONCILIATION OF ADJUSTED FREE CASH FLOW</w:t>
      </w:r>
    </w:p>
    <w:tbl>
      <w:tblPr>
        <w:tblW w:w="8880" w:type="dxa"/>
        <w:jc w:val="left"/>
        <w:tblInd w:w="0" w:type="dxa"/>
        <w:tblLayout w:type="fixed"/>
        <w:tblCellMar>
          <w:top w:w="28" w:type="dxa"/>
          <w:left w:w="28" w:type="dxa"/>
          <w:bottom w:w="28" w:type="dxa"/>
          <w:right w:w="28" w:type="dxa"/>
        </w:tblCellMar>
      </w:tblPr>
      <w:tblGrid>
        <w:gridCol w:w="6046"/>
        <w:gridCol w:w="146"/>
        <w:gridCol w:w="252"/>
        <w:gridCol w:w="738"/>
        <w:gridCol w:w="166"/>
        <w:gridCol w:w="146"/>
        <w:gridCol w:w="223"/>
        <w:gridCol w:w="752"/>
        <w:gridCol w:w="411"/>
      </w:tblGrid>
      <w:tr>
        <w:trPr/>
        <w:tc>
          <w:tcPr>
            <w:tcW w:w="6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February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January 26,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(9,425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Minus: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(11,865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Plus: Proceeds from the sale of building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Plus: Proceeds from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Plus: Proceeds from the sale of investments (rabbi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Minus: Purchase of investments (rabbi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Effects of foreign currency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Adjusted 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(10,063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-MORE-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CULP Announces Results for Third Quarter Fiscal 2026</w:t>
      </w:r>
    </w:p>
    <w:p>
      <w:pPr>
        <w:pStyle w:val="TextBody"/>
        <w:bidi w:val="0"/>
        <w:jc w:val="left"/>
        <w:rPr>
          <w:rFonts w:ascii="Arial" w:hAnsi="Arial"/>
          <w:color w:val="000000"/>
          <w:sz w:val="20"/>
        </w:rPr>
      </w:pPr>
      <w:r>
        <w:rPr>
          <w:rFonts w:ascii="Arial" w:hAnsi="Arial"/>
          <w:color w:val="000000"/>
          <w:sz w:val="20"/>
        </w:rPr>
        <w:t>Page 10</w:t>
      </w:r>
    </w:p>
    <w:p>
      <w:pPr>
        <w:pStyle w:val="TextBody"/>
        <w:bidi w:val="0"/>
        <w:jc w:val="left"/>
        <w:rPr>
          <w:rFonts w:ascii="Arial" w:hAnsi="Arial"/>
          <w:color w:val="000000"/>
          <w:sz w:val="20"/>
        </w:rPr>
      </w:pPr>
      <w:r>
        <w:rPr>
          <w:rFonts w:ascii="Arial" w:hAnsi="Arial"/>
          <w:color w:val="000000"/>
          <w:sz w:val="20"/>
        </w:rPr>
        <w:t>March 11, 2026</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CULP, INC.</w:t>
      </w:r>
    </w:p>
    <w:p>
      <w:pPr>
        <w:pStyle w:val="TextBody"/>
        <w:bidi w:val="0"/>
        <w:jc w:val="center"/>
        <w:rPr>
          <w:rFonts w:ascii="Arial" w:hAnsi="Arial"/>
          <w:b/>
          <w:color w:val="000000"/>
          <w:sz w:val="20"/>
        </w:rPr>
      </w:pPr>
      <w:r>
        <w:rPr>
          <w:rFonts w:ascii="Arial" w:hAnsi="Arial"/>
          <w:b/>
          <w:color w:val="000000"/>
          <w:sz w:val="20"/>
        </w:rPr>
        <w:t>RECONCILIATIONS OF NON-GAAP FINANCIAL MEASURES (CONTINUED)</w:t>
      </w:r>
    </w:p>
    <w:p>
      <w:pPr>
        <w:pStyle w:val="TextBody"/>
        <w:bidi w:val="0"/>
        <w:jc w:val="center"/>
        <w:rPr>
          <w:rFonts w:ascii="Arial" w:hAnsi="Arial"/>
          <w:b/>
          <w:color w:val="000000"/>
          <w:sz w:val="18"/>
        </w:rPr>
      </w:pPr>
      <w:r>
        <w:rPr>
          <w:rFonts w:ascii="Arial" w:hAnsi="Arial"/>
          <w:b/>
          <w:color w:val="000000"/>
          <w:sz w:val="18"/>
        </w:rPr>
        <w:t>Unaudited</w:t>
      </w:r>
    </w:p>
    <w:p>
      <w:pPr>
        <w:pStyle w:val="TextBody"/>
        <w:bidi w:val="0"/>
        <w:jc w:val="center"/>
        <w:rPr>
          <w:rFonts w:ascii="Arial" w:hAnsi="Arial"/>
          <w:b/>
          <w:color w:val="000000"/>
          <w:sz w:val="18"/>
        </w:rPr>
      </w:pPr>
      <w:r>
        <w:rPr>
          <w:rFonts w:ascii="Arial" w:hAnsi="Arial"/>
          <w:b/>
          <w:color w:val="000000"/>
          <w:sz w:val="18"/>
        </w:rPr>
        <w:t>(Amounts in Thousands)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bookmarkStart w:id="5" w:name="adjusted_results_qtd"/>
      <w:bookmarkEnd w:id="5"/>
      <w:r>
        <w:rPr>
          <w:rFonts w:ascii="Arial" w:hAnsi="Arial"/>
          <w:b/>
          <w:color w:val="000000"/>
          <w:sz w:val="18"/>
        </w:rPr>
        <w:t>RECONCILIATION OF SELECTED INCOME STATEMENT INFORMATION TO ADJUSTED RESULTS</w:t>
      </w:r>
    </w:p>
    <w:p>
      <w:pPr>
        <w:pStyle w:val="TextBody"/>
        <w:bidi w:val="0"/>
        <w:jc w:val="left"/>
        <w:rPr/>
      </w:pPr>
      <w:r>
        <w:rPr/>
        <w:t> </w:t>
      </w:r>
    </w:p>
    <w:p>
      <w:pPr>
        <w:pStyle w:val="TextBody"/>
        <w:bidi w:val="0"/>
        <w:jc w:val="center"/>
        <w:rPr/>
      </w:pPr>
      <w:r>
        <w:rPr/>
        <w:t> </w:t>
      </w:r>
    </w:p>
    <w:tbl>
      <w:tblPr>
        <w:tblW w:w="7028" w:type="dxa"/>
        <w:jc w:val="left"/>
        <w:tblInd w:w="0" w:type="dxa"/>
        <w:tblLayout w:type="fixed"/>
        <w:tblCellMar>
          <w:top w:w="28" w:type="dxa"/>
          <w:left w:w="28" w:type="dxa"/>
          <w:bottom w:w="28" w:type="dxa"/>
          <w:right w:w="28" w:type="dxa"/>
        </w:tblCellMar>
      </w:tblPr>
      <w:tblGrid>
        <w:gridCol w:w="2581"/>
        <w:gridCol w:w="146"/>
        <w:gridCol w:w="250"/>
        <w:gridCol w:w="845"/>
        <w:gridCol w:w="180"/>
        <w:gridCol w:w="158"/>
        <w:gridCol w:w="281"/>
        <w:gridCol w:w="725"/>
        <w:gridCol w:w="158"/>
        <w:gridCol w:w="158"/>
        <w:gridCol w:w="305"/>
        <w:gridCol w:w="1030"/>
        <w:gridCol w:w="21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February 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Reported</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Adjusted Results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February 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February 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Adjustments</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47,965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47,965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(42,642</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(42,642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5,323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Selling, general and administrative</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(8,464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Restructuring expense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(584</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584</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(3,725</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584</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(3,141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center"/>
        <w:rPr/>
      </w:pPr>
      <w:r>
        <w:rPr/>
        <w:t> </w:t>
      </w:r>
    </w:p>
    <w:p>
      <w:pPr>
        <w:pStyle w:val="TextBody"/>
        <w:pBdr>
          <w:bottom w:val="single" w:sz="4" w:space="1" w:color="000000"/>
        </w:pBdr>
        <w:bidi w:val="0"/>
        <w:jc w:val="left"/>
        <w:rPr>
          <w:rFonts w:ascii="Arial" w:hAnsi="Arial"/>
          <w:color w:val="000000"/>
          <w:sz w:val="18"/>
        </w:rPr>
      </w:pPr>
      <w:r>
        <w:rPr>
          <w:rFonts w:ascii="Arial" w:hAnsi="Arial"/>
          <w:color w:val="000000"/>
          <w:sz w:val="18"/>
        </w:rPr>
        <w:t>Notes</w:t>
      </w:r>
    </w:p>
    <w:p>
      <w:pPr>
        <w:pStyle w:val="TextBody"/>
        <w:bidi w:val="0"/>
        <w:jc w:val="left"/>
        <w:rPr/>
      </w:pPr>
      <w:r>
        <w:rPr/>
        <w:t> </w:t>
      </w:r>
    </w:p>
    <w:p>
      <w:pPr>
        <w:pStyle w:val="TextBody"/>
        <w:bidi w:val="0"/>
        <w:jc w:val="both"/>
        <w:rPr>
          <w:rFonts w:ascii="Arial" w:hAnsi="Arial"/>
          <w:color w:val="000000"/>
          <w:sz w:val="17"/>
        </w:rPr>
      </w:pPr>
      <w:r>
        <w:rPr>
          <w:rFonts w:ascii="Arial" w:hAnsi="Arial"/>
          <w:color w:val="000000"/>
          <w:sz w:val="17"/>
        </w:rPr>
        <w:t>(1) During the three-month period ended February 1, 2026, restructuring expense mostly represented charges related to transforming our operating model and the consolidation of certain facilities to further reduce fixed costs.</w:t>
      </w:r>
    </w:p>
    <w:p>
      <w:pPr>
        <w:pStyle w:val="TextBody"/>
        <w:bidi w:val="0"/>
        <w:jc w:val="left"/>
        <w:rPr/>
      </w:pPr>
      <w:r>
        <w:rPr/>
        <w:t> </w:t>
      </w:r>
    </w:p>
    <w:p>
      <w:pPr>
        <w:pStyle w:val="TextBody"/>
        <w:bidi w:val="0"/>
        <w:jc w:val="center"/>
        <w:rPr/>
      </w:pPr>
      <w:r>
        <w:rPr/>
        <w:t> </w:t>
      </w:r>
    </w:p>
    <w:tbl>
      <w:tblPr>
        <w:tblW w:w="7003" w:type="dxa"/>
        <w:jc w:val="left"/>
        <w:tblInd w:w="0" w:type="dxa"/>
        <w:tblLayout w:type="fixed"/>
        <w:tblCellMar>
          <w:top w:w="28" w:type="dxa"/>
          <w:left w:w="28" w:type="dxa"/>
          <w:bottom w:w="28" w:type="dxa"/>
          <w:right w:w="28" w:type="dxa"/>
        </w:tblCellMar>
      </w:tblPr>
      <w:tblGrid>
        <w:gridCol w:w="2581"/>
        <w:gridCol w:w="146"/>
        <w:gridCol w:w="250"/>
        <w:gridCol w:w="845"/>
        <w:gridCol w:w="173"/>
        <w:gridCol w:w="152"/>
        <w:gridCol w:w="223"/>
        <w:gridCol w:w="783"/>
        <w:gridCol w:w="152"/>
        <w:gridCol w:w="152"/>
        <w:gridCol w:w="304"/>
        <w:gridCol w:w="1031"/>
        <w:gridCol w:w="21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January 26,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Reported</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Adjusted Results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January 26,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January 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Adjustments</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52,253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52,253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(45,906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624</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(45,282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6,347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624</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Selling, general and administrative</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(8,579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Restructuring expense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(1,655</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1,655</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(3,887</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2,279</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both"/>
        <w:rPr/>
      </w:pPr>
      <w:r>
        <w:rPr/>
        <w:t> </w:t>
      </w:r>
    </w:p>
    <w:p>
      <w:pPr>
        <w:pStyle w:val="TextBody"/>
        <w:bidi w:val="0"/>
        <w:jc w:val="both"/>
        <w:rPr/>
      </w:pPr>
      <w:r>
        <w:rPr/>
        <w:t> </w:t>
      </w:r>
    </w:p>
    <w:p>
      <w:pPr>
        <w:pStyle w:val="TextBody"/>
        <w:pBdr>
          <w:bottom w:val="single" w:sz="4" w:space="1" w:color="000000"/>
        </w:pBdr>
        <w:bidi w:val="0"/>
        <w:jc w:val="left"/>
        <w:rPr>
          <w:rFonts w:ascii="Arial" w:hAnsi="Arial"/>
          <w:color w:val="000000"/>
          <w:sz w:val="18"/>
        </w:rPr>
      </w:pPr>
      <w:r>
        <w:rPr>
          <w:rFonts w:ascii="Arial" w:hAnsi="Arial"/>
          <w:color w:val="000000"/>
          <w:sz w:val="18"/>
        </w:rPr>
        <w:t>Notes</w:t>
      </w:r>
    </w:p>
    <w:p>
      <w:pPr>
        <w:pStyle w:val="TextBody"/>
        <w:bidi w:val="0"/>
        <w:jc w:val="left"/>
        <w:rPr/>
      </w:pPr>
      <w:r>
        <w:rPr/>
        <w:t> </w:t>
      </w:r>
    </w:p>
    <w:p>
      <w:pPr>
        <w:pStyle w:val="TextBody"/>
        <w:bidi w:val="0"/>
        <w:jc w:val="both"/>
        <w:rPr>
          <w:rFonts w:ascii="Arial" w:hAnsi="Arial"/>
          <w:color w:val="000000"/>
          <w:sz w:val="17"/>
        </w:rPr>
      </w:pPr>
      <w:r>
        <w:rPr>
          <w:rFonts w:ascii="Arial" w:hAnsi="Arial"/>
          <w:color w:val="000000"/>
          <w:sz w:val="17"/>
        </w:rPr>
        <w:t>(1) During the three-month period ended January 26, 2025, restructuring related charges recorded in cost of sales represented losses on the disposal, valuation, and markdowns of inventory mostly related to the closure of the bedding manufacturing facility in Quebec, Canada.</w:t>
      </w:r>
    </w:p>
    <w:p>
      <w:pPr>
        <w:pStyle w:val="TextBody"/>
        <w:bidi w:val="0"/>
        <w:jc w:val="left"/>
        <w:rPr/>
      </w:pPr>
      <w:r>
        <w:rPr/>
        <w:t> </w:t>
      </w:r>
    </w:p>
    <w:p>
      <w:pPr>
        <w:pStyle w:val="TextBody"/>
        <w:bidi w:val="0"/>
        <w:jc w:val="both"/>
        <w:rPr>
          <w:rFonts w:ascii="Arial" w:hAnsi="Arial"/>
          <w:color w:val="000000"/>
          <w:sz w:val="17"/>
        </w:rPr>
      </w:pPr>
      <w:r>
        <w:rPr>
          <w:rFonts w:ascii="Arial" w:hAnsi="Arial"/>
          <w:color w:val="000000"/>
          <w:sz w:val="17"/>
        </w:rPr>
        <w:t>(2) During the three-month period ended January 26, 2025 restructuring expense mostly represented charges related to the consolidation of our North American bedding manufacturing platform and the closure of the bedding manufacturing facility in Quebec, Canada.</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-MORE-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CULP Announces Results for Third Quarter Fiscal 2026</w:t>
      </w:r>
    </w:p>
    <w:p>
      <w:pPr>
        <w:pStyle w:val="TextBody"/>
        <w:bidi w:val="0"/>
        <w:jc w:val="left"/>
        <w:rPr>
          <w:rFonts w:ascii="Arial" w:hAnsi="Arial"/>
          <w:color w:val="000000"/>
          <w:sz w:val="20"/>
        </w:rPr>
      </w:pPr>
      <w:r>
        <w:rPr>
          <w:rFonts w:ascii="Arial" w:hAnsi="Arial"/>
          <w:color w:val="000000"/>
          <w:sz w:val="20"/>
        </w:rPr>
        <w:t>Page 11</w:t>
      </w:r>
    </w:p>
    <w:p>
      <w:pPr>
        <w:pStyle w:val="TextBody"/>
        <w:bidi w:val="0"/>
        <w:jc w:val="left"/>
        <w:rPr>
          <w:rFonts w:ascii="Arial" w:hAnsi="Arial"/>
          <w:color w:val="000000"/>
          <w:sz w:val="20"/>
        </w:rPr>
      </w:pPr>
      <w:r>
        <w:rPr>
          <w:rFonts w:ascii="Arial" w:hAnsi="Arial"/>
          <w:color w:val="000000"/>
          <w:sz w:val="20"/>
        </w:rPr>
        <w:t>March 11, 2026</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CULP, INC.</w:t>
      </w:r>
    </w:p>
    <w:p>
      <w:pPr>
        <w:pStyle w:val="TextBody"/>
        <w:bidi w:val="0"/>
        <w:jc w:val="center"/>
        <w:rPr>
          <w:rFonts w:ascii="Arial" w:hAnsi="Arial"/>
          <w:b/>
          <w:color w:val="000000"/>
          <w:sz w:val="20"/>
        </w:rPr>
      </w:pPr>
      <w:r>
        <w:rPr>
          <w:rFonts w:ascii="Arial" w:hAnsi="Arial"/>
          <w:b/>
          <w:color w:val="000000"/>
          <w:sz w:val="20"/>
        </w:rPr>
        <w:t>RECONCILIATIONS OF NON-GAAP FINANCIAL MEASURES (CONTINUED)</w:t>
      </w:r>
    </w:p>
    <w:p>
      <w:pPr>
        <w:pStyle w:val="TextBody"/>
        <w:bidi w:val="0"/>
        <w:jc w:val="center"/>
        <w:rPr>
          <w:rFonts w:ascii="Arial" w:hAnsi="Arial"/>
          <w:b/>
          <w:color w:val="000000"/>
          <w:sz w:val="18"/>
        </w:rPr>
      </w:pPr>
      <w:r>
        <w:rPr>
          <w:rFonts w:ascii="Arial" w:hAnsi="Arial"/>
          <w:b/>
          <w:color w:val="000000"/>
          <w:sz w:val="18"/>
        </w:rPr>
        <w:t>Unaudited</w:t>
      </w:r>
    </w:p>
    <w:p>
      <w:pPr>
        <w:pStyle w:val="TextBody"/>
        <w:bidi w:val="0"/>
        <w:jc w:val="center"/>
        <w:rPr>
          <w:rFonts w:ascii="Arial" w:hAnsi="Arial"/>
          <w:b/>
          <w:color w:val="000000"/>
          <w:sz w:val="18"/>
        </w:rPr>
      </w:pPr>
      <w:r>
        <w:rPr>
          <w:rFonts w:ascii="Arial" w:hAnsi="Arial"/>
          <w:b/>
          <w:color w:val="000000"/>
          <w:sz w:val="18"/>
        </w:rPr>
        <w:t>(Amounts in Thousands)</w:t>
      </w:r>
    </w:p>
    <w:p>
      <w:pPr>
        <w:pStyle w:val="TextBody"/>
        <w:bidi w:val="0"/>
        <w:jc w:val="left"/>
        <w:rPr/>
      </w:pPr>
      <w:r>
        <w:rPr/>
        <w:t> </w:t>
      </w:r>
    </w:p>
    <w:p>
      <w:pPr>
        <w:pStyle w:val="TextBody"/>
        <w:bidi w:val="0"/>
        <w:jc w:val="left"/>
        <w:rPr/>
      </w:pPr>
      <w:bookmarkStart w:id="6" w:name="adjusted_results_ytd"/>
      <w:bookmarkEnd w:id="6"/>
      <w:r>
        <w:rPr/>
        <w:t> </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RECONCILIATION OF SELECTED INCOME STATEMENT INFORMATION TO ADJUSTED RESULTS</w:t>
      </w:r>
    </w:p>
    <w:p>
      <w:pPr>
        <w:pStyle w:val="TextBody"/>
        <w:bidi w:val="0"/>
        <w:jc w:val="left"/>
        <w:rPr/>
      </w:pPr>
      <w:r>
        <w:rPr/>
        <w:t> </w:t>
      </w:r>
    </w:p>
    <w:p>
      <w:pPr>
        <w:pStyle w:val="TextBody"/>
        <w:bidi w:val="0"/>
        <w:jc w:val="left"/>
        <w:rPr/>
      </w:pPr>
      <w:r>
        <w:rPr/>
        <w:t> </w:t>
      </w:r>
    </w:p>
    <w:tbl>
      <w:tblPr>
        <w:tblW w:w="6998" w:type="dxa"/>
        <w:jc w:val="left"/>
        <w:tblInd w:w="0" w:type="dxa"/>
        <w:tblLayout w:type="fixed"/>
        <w:tblCellMar>
          <w:top w:w="28" w:type="dxa"/>
          <w:left w:w="28" w:type="dxa"/>
          <w:bottom w:w="28" w:type="dxa"/>
          <w:right w:w="28" w:type="dxa"/>
        </w:tblCellMar>
      </w:tblPr>
      <w:tblGrid>
        <w:gridCol w:w="2581"/>
        <w:gridCol w:w="146"/>
        <w:gridCol w:w="226"/>
        <w:gridCol w:w="869"/>
        <w:gridCol w:w="166"/>
        <w:gridCol w:w="146"/>
        <w:gridCol w:w="204"/>
        <w:gridCol w:w="802"/>
        <w:gridCol w:w="166"/>
        <w:gridCol w:w="146"/>
        <w:gridCol w:w="276"/>
        <w:gridCol w:w="1059"/>
        <w:gridCol w:w="21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February 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Reported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Adjusted Results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February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February 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151,859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151,859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(133,525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(132,594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18,334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19,265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Selling, general and administrative</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(26,321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(26,321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Restructuring credit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(5,562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(7,056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pPr>
      <w:r>
        <w:rPr/>
        <w:t> </w:t>
      </w:r>
    </w:p>
    <w:p>
      <w:pPr>
        <w:pStyle w:val="TextBody"/>
        <w:pBdr>
          <w:bottom w:val="single" w:sz="4" w:space="1" w:color="000000"/>
        </w:pBdr>
        <w:bidi w:val="0"/>
        <w:jc w:val="left"/>
        <w:rPr>
          <w:rFonts w:ascii="Arial" w:hAnsi="Arial"/>
          <w:color w:val="000000"/>
          <w:sz w:val="18"/>
        </w:rPr>
      </w:pPr>
      <w:r>
        <w:rPr>
          <w:rFonts w:ascii="Arial" w:hAnsi="Arial"/>
          <w:color w:val="000000"/>
          <w:sz w:val="18"/>
        </w:rPr>
        <w:t>Notes</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7"/>
        </w:rPr>
        <w:t>(1) During the nine-month period ended February 1, 2026, restructuring related charges recorded in cost of sales represented losses on the disposal, valuation, and markdowns of inventory related to the consolidation of our North American bedding operations and the consolidation of certain facilities related to transforming our operating model to one integrated Culp branded business to reduce fixed costs.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17"/>
        </w:rPr>
      </w:pPr>
      <w:r>
        <w:rPr>
          <w:rFonts w:ascii="Arial" w:hAnsi="Arial"/>
          <w:color w:val="000000"/>
          <w:sz w:val="17"/>
        </w:rPr>
        <w:t>(2) During the nine-month period ended February 1, 2026, restructuring credit mostly represented a gain from the sale of the manufacturing facility located in Quebec, Canada totaling $4.0 million, partially offset by charges related to transforming our operating model and the consolidation of certain facilities to further reduce fixed costs.</w:t>
      </w:r>
    </w:p>
    <w:p>
      <w:pPr>
        <w:pStyle w:val="TextBody"/>
        <w:bidi w:val="0"/>
        <w:jc w:val="left"/>
        <w:rPr/>
      </w:pPr>
      <w:r>
        <w:rPr/>
        <w:t> </w:t>
      </w:r>
    </w:p>
    <w:p>
      <w:pPr>
        <w:pStyle w:val="TextBody"/>
        <w:bidi w:val="0"/>
        <w:jc w:val="left"/>
        <w:rPr/>
      </w:pPr>
      <w:r>
        <w:rPr/>
        <w:t> </w:t>
      </w:r>
    </w:p>
    <w:tbl>
      <w:tblPr>
        <w:tblW w:w="6978" w:type="dxa"/>
        <w:jc w:val="left"/>
        <w:tblInd w:w="0" w:type="dxa"/>
        <w:tblLayout w:type="fixed"/>
        <w:tblCellMar>
          <w:top w:w="28" w:type="dxa"/>
          <w:left w:w="28" w:type="dxa"/>
          <w:bottom w:w="28" w:type="dxa"/>
          <w:right w:w="28" w:type="dxa"/>
        </w:tblCellMar>
      </w:tblPr>
      <w:tblGrid>
        <w:gridCol w:w="2581"/>
        <w:gridCol w:w="146"/>
        <w:gridCol w:w="226"/>
        <w:gridCol w:w="869"/>
        <w:gridCol w:w="166"/>
        <w:gridCol w:w="146"/>
        <w:gridCol w:w="223"/>
        <w:gridCol w:w="783"/>
        <w:gridCol w:w="146"/>
        <w:gridCol w:w="146"/>
        <w:gridCol w:w="276"/>
        <w:gridCol w:w="1059"/>
        <w:gridCol w:w="21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January 26,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Reported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Adjusted Results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January 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January 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Adjustments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164,464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164,464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(147,050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(145,541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17,414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Selling, general and administrative</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(27,235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(27,235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Restructuring expense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(6,317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(16,138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(8,312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pPr>
      <w:r>
        <w:rPr/>
        <w:t> </w:t>
      </w:r>
    </w:p>
    <w:p>
      <w:pPr>
        <w:pStyle w:val="TextBody"/>
        <w:pBdr>
          <w:bottom w:val="single" w:sz="4" w:space="1" w:color="000000"/>
        </w:pBdr>
        <w:bidi w:val="0"/>
        <w:jc w:val="left"/>
        <w:rPr>
          <w:rFonts w:ascii="Arial" w:hAnsi="Arial"/>
          <w:color w:val="000000"/>
          <w:sz w:val="18"/>
        </w:rPr>
      </w:pPr>
      <w:r>
        <w:rPr>
          <w:rFonts w:ascii="Arial" w:hAnsi="Arial"/>
          <w:color w:val="000000"/>
          <w:sz w:val="18"/>
        </w:rPr>
        <w:t>Notes</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7"/>
        </w:rPr>
        <w:t>(1) During the nine-month period ended January 26, 2025, restructuring related charges recorded in cost of sales represented losses on the disposal, valuation, and markdowns of inventory mostly related to the closure of the bedding manufacturing facility in Quebec, Canada.</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Arial" w:hAnsi="Arial"/>
          <w:color w:val="000000"/>
          <w:sz w:val="17"/>
        </w:rPr>
      </w:pPr>
      <w:r>
        <w:rPr>
          <w:rFonts w:ascii="Arial" w:hAnsi="Arial"/>
          <w:color w:val="000000"/>
          <w:sz w:val="17"/>
        </w:rPr>
        <w:t>(2) During the nine-month period ended January 26, 2025, restructuring expense mostly represented charges related to the consolidation of our North American bedding manufacturing platform and the closure of the bedding manufacturing facility in Quebec, Canada.</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-MORE-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CULP Announces Results for Third Quarter Fiscal 2026</w:t>
      </w:r>
    </w:p>
    <w:p>
      <w:pPr>
        <w:pStyle w:val="TextBody"/>
        <w:bidi w:val="0"/>
        <w:jc w:val="left"/>
        <w:rPr>
          <w:rFonts w:ascii="Arial" w:hAnsi="Arial"/>
          <w:color w:val="000000"/>
          <w:sz w:val="20"/>
        </w:rPr>
      </w:pPr>
      <w:r>
        <w:rPr>
          <w:rFonts w:ascii="Arial" w:hAnsi="Arial"/>
          <w:color w:val="000000"/>
          <w:sz w:val="20"/>
        </w:rPr>
        <w:t>Page 12</w:t>
      </w:r>
    </w:p>
    <w:p>
      <w:pPr>
        <w:pStyle w:val="TextBody"/>
        <w:bidi w:val="0"/>
        <w:jc w:val="left"/>
        <w:rPr>
          <w:rFonts w:ascii="Arial" w:hAnsi="Arial"/>
          <w:color w:val="000000"/>
          <w:sz w:val="20"/>
        </w:rPr>
      </w:pPr>
      <w:r>
        <w:rPr>
          <w:rFonts w:ascii="Arial" w:hAnsi="Arial"/>
          <w:color w:val="000000"/>
          <w:sz w:val="20"/>
        </w:rPr>
        <w:t>March 11, 2026</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CULP, INC.</w:t>
      </w:r>
    </w:p>
    <w:p>
      <w:pPr>
        <w:pStyle w:val="TextBody"/>
        <w:bidi w:val="0"/>
        <w:jc w:val="center"/>
        <w:rPr>
          <w:rFonts w:ascii="Arial" w:hAnsi="Arial"/>
          <w:b/>
          <w:color w:val="000000"/>
          <w:sz w:val="19"/>
        </w:rPr>
      </w:pPr>
      <w:r>
        <w:rPr>
          <w:rFonts w:ascii="Arial" w:hAnsi="Arial"/>
          <w:b/>
          <w:color w:val="000000"/>
          <w:sz w:val="19"/>
        </w:rPr>
        <w:t>RECONCILIATIONS OF NON-GAAP FINANCIAL MEASURES (CONTINUED)</w:t>
      </w:r>
    </w:p>
    <w:p>
      <w:pPr>
        <w:pStyle w:val="TextBody"/>
        <w:bidi w:val="0"/>
        <w:jc w:val="center"/>
        <w:rPr>
          <w:rFonts w:ascii="Arial" w:hAnsi="Arial"/>
          <w:b/>
          <w:color w:val="000000"/>
          <w:sz w:val="18"/>
        </w:rPr>
      </w:pPr>
      <w:r>
        <w:rPr>
          <w:rFonts w:ascii="Arial" w:hAnsi="Arial"/>
          <w:b/>
          <w:color w:val="000000"/>
          <w:sz w:val="18"/>
        </w:rPr>
        <w:t>Unaudited</w:t>
      </w:r>
    </w:p>
    <w:p>
      <w:pPr>
        <w:pStyle w:val="TextBody"/>
        <w:bidi w:val="0"/>
        <w:jc w:val="center"/>
        <w:rPr>
          <w:rFonts w:ascii="Arial" w:hAnsi="Arial"/>
          <w:b/>
          <w:color w:val="000000"/>
          <w:sz w:val="18"/>
        </w:rPr>
      </w:pPr>
      <w:r>
        <w:rPr>
          <w:rFonts w:ascii="Arial" w:hAnsi="Arial"/>
          <w:b/>
          <w:color w:val="000000"/>
          <w:sz w:val="18"/>
        </w:rPr>
        <w:t>(Amounts in Thousands)</w:t>
      </w:r>
    </w:p>
    <w:p>
      <w:pPr>
        <w:pStyle w:val="TextBody"/>
        <w:bidi w:val="0"/>
        <w:jc w:val="center"/>
        <w:rPr/>
      </w:pPr>
      <w:r>
        <w:rPr/>
        <w:t> </w:t>
      </w:r>
    </w:p>
    <w:p>
      <w:pPr>
        <w:pStyle w:val="TextBody"/>
        <w:bidi w:val="0"/>
        <w:jc w:val="center"/>
        <w:rPr/>
      </w:pPr>
      <w:r>
        <w:rPr/>
        <w:t> </w:t>
      </w:r>
    </w:p>
    <w:p>
      <w:pPr>
        <w:pStyle w:val="TextBody"/>
        <w:bidi w:val="0"/>
        <w:jc w:val="left"/>
        <w:rPr>
          <w:rFonts w:ascii="Arial" w:hAnsi="Arial"/>
          <w:b/>
          <w:color w:val="000000"/>
          <w:sz w:val="18"/>
        </w:rPr>
      </w:pPr>
      <w:r>
        <w:rPr>
          <w:rFonts w:ascii="Arial" w:hAnsi="Arial"/>
          <w:b/>
          <w:color w:val="000000"/>
          <w:sz w:val="18"/>
        </w:rPr>
        <w:t>RECONCILIATION OF ADJUSTED EBITDA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416"/>
        <w:gridCol w:w="146"/>
        <w:gridCol w:w="181"/>
        <w:gridCol w:w="496"/>
        <w:gridCol w:w="261"/>
        <w:gridCol w:w="146"/>
        <w:gridCol w:w="186"/>
        <w:gridCol w:w="512"/>
        <w:gridCol w:w="261"/>
        <w:gridCol w:w="146"/>
        <w:gridCol w:w="233"/>
        <w:gridCol w:w="646"/>
        <w:gridCol w:w="261"/>
        <w:gridCol w:w="146"/>
        <w:gridCol w:w="218"/>
        <w:gridCol w:w="599"/>
        <w:gridCol w:w="261"/>
        <w:gridCol w:w="146"/>
        <w:gridCol w:w="199"/>
        <w:gridCol w:w="633"/>
        <w:gridCol w:w="261"/>
        <w:gridCol w:w="146"/>
        <w:gridCol w:w="288"/>
        <w:gridCol w:w="912"/>
        <w:gridCol w:w="505"/>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Quarter</w:t>
              <w:br/>
              <w:t>Ended</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Quarter</w:t>
              <w:br/>
              <w:t>Ended</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Quarter</w:t>
              <w:br/>
              <w:t>Ended</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Quarter</w:t>
              <w:br/>
              <w:t>Ended</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Trailing</w:t>
              <w:br/>
              <w:t>12 Months</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Nine Months Ended</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April 27,</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August 3,</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November 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February 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February 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February 1,</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2025</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2025</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2025</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2026</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2026</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2026</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(2,073</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(231</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(4,306</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(3,432</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(10,042</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(7,969</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(192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(338</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(294</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(243</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1,369</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207</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292</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1,625</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1,868</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1,152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1,111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1,057</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974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4,294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3,142</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104</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95</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97</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96</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392</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288</w:t>
            </w:r>
          </w:p>
        </w:tc>
        <w:tc>
          <w:tcPr>
            <w:tcW w:w="50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b/>
                <w:color w:val="000000"/>
                <w:sz w:val="14"/>
              </w:rPr>
            </w:pPr>
            <w:r>
              <w:rPr>
                <w:rFonts w:ascii="Arial" w:hAnsi="Arial"/>
                <w:b/>
                <w:color w:val="000000"/>
                <w:sz w:val="14"/>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(1,104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2,292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(2,995</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(2,262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(4,069</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(2,965</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Restructuring expense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1,422</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(3,508</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499</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584</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(1,003</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(2,425</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Restructuring related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113</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931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1,044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931</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Resolution of a legal matter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(1,000</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(1,000</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(1,000</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128</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156</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177</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129</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590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462</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Foreign currency exchange (gain) loss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(48</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122</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396</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369</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839</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887</w:t>
            </w:r>
          </w:p>
        </w:tc>
        <w:tc>
          <w:tcPr>
            <w:tcW w:w="50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b/>
                <w:color w:val="000000"/>
                <w:sz w:val="14"/>
              </w:rPr>
            </w:pPr>
            <w:r>
              <w:rPr>
                <w:rFonts w:ascii="Arial" w:hAnsi="Arial"/>
                <w:b/>
                <w:color w:val="000000"/>
                <w:sz w:val="14"/>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511</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(938</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(992</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(2,180</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6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(3,599</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(4,110</w:t>
            </w:r>
          </w:p>
        </w:tc>
        <w:tc>
          <w:tcPr>
            <w:tcW w:w="5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(1.9</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(1.9</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(4.5</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(1.8</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(2.7</w:t>
            </w:r>
          </w:p>
        </w:tc>
        <w:tc>
          <w:tcPr>
            <w:tcW w:w="5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Quarter</w:t>
              <w:br/>
              <w:t>Ended</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Quarter</w:t>
              <w:br/>
              <w:t>Ended</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Quarter</w:t>
              <w:br/>
              <w:t>Ended</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Quarter</w:t>
              <w:br/>
              <w:t>Ended</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Trailing</w:t>
              <w:br/>
              <w:t>12 Months</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Nine Months Ended</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April 28,</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July 28,</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October 27,</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January 26,</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January 26,</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January 26,</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2024</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2024</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2024</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2025</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2025</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2025</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(4,865</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(7,261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(5,644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(4,126</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(21,896</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(17,031</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(252</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(234</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(214</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(192</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(892</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(640</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805</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239</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446</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1,440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635</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1,623</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1,581</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1,496</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1,211</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5,911</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4,288</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99</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99</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101</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101</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400</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301</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b/>
                <w:color w:val="000000"/>
                <w:sz w:val="14"/>
              </w:rPr>
            </w:pPr>
            <w:r>
              <w:rPr>
                <w:rFonts w:ascii="Arial" w:hAnsi="Arial"/>
                <w:b/>
                <w:color w:val="000000"/>
                <w:sz w:val="14"/>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(2,590</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(5,576</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(4,311</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(2,560</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(15,037</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(12,447</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Restructuring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204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2,631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2,031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1,655</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6,521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6,317</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Restructuring related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116</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769</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624</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1,509</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1,509</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168</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176</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188</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158</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690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522</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Foreign currency exchange (gain) loss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(246</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45</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192</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(334</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(343</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(97</w:t>
            </w:r>
          </w:p>
        </w:tc>
        <w:tc>
          <w:tcPr>
            <w:tcW w:w="50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Arial" w:hAnsi="Arial"/>
                <w:b/>
                <w:color w:val="000000"/>
                <w:sz w:val="14"/>
              </w:rPr>
            </w:pPr>
            <w:r>
              <w:rPr>
                <w:rFonts w:ascii="Arial" w:hAnsi="Arial"/>
                <w:b/>
                <w:color w:val="000000"/>
                <w:sz w:val="14"/>
              </w:rPr>
              <w:t>)</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b/>
                <w:color w:val="000000"/>
                <w:sz w:val="14"/>
              </w:rPr>
            </w:pPr>
            <w:r>
              <w:rPr>
                <w:rFonts w:ascii="Arial" w:hAnsi="Arial"/>
                <w:b/>
                <w:color w:val="000000"/>
                <w:sz w:val="14"/>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(2,464</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(2,608</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(1,131</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(457</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6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(6,660</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(4,196</w:t>
            </w:r>
          </w:p>
        </w:tc>
        <w:tc>
          <w:tcPr>
            <w:tcW w:w="5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(5.0</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(4.6</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(2.0</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(0.9</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(3.1</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(2.6</w:t>
            </w:r>
          </w:p>
        </w:tc>
        <w:tc>
          <w:tcPr>
            <w:tcW w:w="5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 Over (Under)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(120.7</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(64.0</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(12.3</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377.0</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(46.0</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(2.0</w:t>
            </w:r>
          </w:p>
        </w:tc>
        <w:tc>
          <w:tcPr>
            <w:tcW w:w="5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bl>
    <w:p>
      <w:pPr>
        <w:pStyle w:val="TextBody"/>
        <w:bidi w:val="0"/>
        <w:jc w:val="left"/>
        <w:rPr/>
      </w:pPr>
      <w:r>
        <w:rPr/>
        <w:t> </w:t>
      </w:r>
    </w:p>
    <w:p>
      <w:pPr>
        <w:pStyle w:val="TextBody"/>
        <w:bidi w:val="0"/>
        <w:jc w:val="both"/>
        <w:rPr/>
      </w:pPr>
      <w:r>
        <w:rPr/>
        <w:t> </w:t>
      </w:r>
    </w:p>
    <w:p>
      <w:pPr>
        <w:pStyle w:val="TextBody"/>
        <w:pBdr>
          <w:bottom w:val="single" w:sz="4" w:space="1" w:color="000000"/>
        </w:pBdr>
        <w:bidi w:val="0"/>
        <w:jc w:val="left"/>
        <w:rPr>
          <w:rFonts w:ascii="Arial" w:hAnsi="Arial"/>
          <w:color w:val="000000"/>
          <w:sz w:val="18"/>
        </w:rPr>
      </w:pPr>
      <w:r>
        <w:rPr>
          <w:rFonts w:ascii="Arial" w:hAnsi="Arial"/>
          <w:color w:val="000000"/>
          <w:sz w:val="18"/>
        </w:rPr>
        <w:t>Notes</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7"/>
        </w:rPr>
        <w:t>(1) Represents non-cash foreign currency exchange (gain) loss related to the remeasurement of</w:t>
      </w:r>
      <w:r>
        <w:rPr>
          <w:rFonts w:ascii="Times New Roman" w:hAnsi="Times New Roman"/>
          <w:color w:val="000000"/>
          <w:sz w:val="20"/>
        </w:rPr>
        <w:t xml:space="preserve"> </w:t>
      </w:r>
      <w:r>
        <w:rPr>
          <w:rFonts w:ascii="Arial" w:hAnsi="Arial"/>
          <w:color w:val="000000"/>
          <w:sz w:val="17"/>
        </w:rPr>
        <w:t>assets and liabilities denominated in currencies other than the U.S. dollar. Beginning in the quarter ended November 2, 2025, we modified our presentation of adjusted EBITDA to exclude this measure. We believe this change enhances investor insight into our operational performance by excluding the non-cash impact of changes in foreign currency exchange rates. In order to facilitate comparisons among periods, we have applied this modified definition of Adjusted EBITDA to all periods presented.</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-MORE-</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8030</Words>
  <Characters>43311</Characters>
  <CharactersWithSpaces>52266</CharactersWithSpaces>
  <Paragraphs>4238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