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658"/>
        <w:spacing w:after="0"/>
        <w:rPr>
          <w:sz w:val="20"/>
          <w:szCs w:val="20"/>
          <w:color w:val="auto"/>
        </w:rPr>
      </w:pPr>
      <w:r>
        <w:rPr>
          <w:rFonts w:ascii="Times New Roman" w:cs="Times New Roman" w:eastAsia="Times New Roman" w:hAnsi="Times New Roman"/>
          <w:sz w:val="29"/>
          <w:szCs w:val="29"/>
          <w:b w:val="1"/>
          <w:bCs w:val="1"/>
          <w:color w:val="404040"/>
        </w:rPr>
        <w:t>UNITED STATES</w:t>
      </w:r>
    </w:p>
    <w:p>
      <w:pPr>
        <w:spacing w:after="0" w:line="42" w:lineRule="exact"/>
        <w:rPr>
          <w:sz w:val="24"/>
          <w:szCs w:val="24"/>
          <w:color w:val="auto"/>
        </w:rPr>
      </w:pPr>
    </w:p>
    <w:p>
      <w:pPr>
        <w:jc w:val="center"/>
        <w:ind w:right="-658"/>
        <w:spacing w:after="0"/>
        <w:rPr>
          <w:sz w:val="20"/>
          <w:szCs w:val="20"/>
          <w:color w:val="auto"/>
        </w:rPr>
      </w:pPr>
      <w:r>
        <w:rPr>
          <w:rFonts w:ascii="Times New Roman" w:cs="Times New Roman" w:eastAsia="Times New Roman" w:hAnsi="Times New Roman"/>
          <w:sz w:val="29"/>
          <w:szCs w:val="29"/>
          <w:b w:val="1"/>
          <w:bCs w:val="1"/>
          <w:color w:val="404040"/>
        </w:rPr>
        <w:t>SECURITIES AND EXCHANGE COMMISSION</w:t>
      </w:r>
    </w:p>
    <w:p>
      <w:pPr>
        <w:spacing w:after="0" w:line="6" w:lineRule="exact"/>
        <w:rPr>
          <w:sz w:val="24"/>
          <w:szCs w:val="24"/>
          <w:color w:val="auto"/>
        </w:rPr>
      </w:pPr>
    </w:p>
    <w:p>
      <w:pPr>
        <w:ind w:left="4679"/>
        <w:spacing w:after="0"/>
        <w:rPr>
          <w:sz w:val="20"/>
          <w:szCs w:val="20"/>
          <w:color w:val="auto"/>
        </w:rPr>
      </w:pPr>
      <w:r>
        <w:rPr>
          <w:rFonts w:ascii="Times New Roman" w:cs="Times New Roman" w:eastAsia="Times New Roman" w:hAnsi="Times New Roman"/>
          <w:sz w:val="18"/>
          <w:szCs w:val="18"/>
          <w:b w:val="1"/>
          <w:bCs w:val="1"/>
          <w:color w:val="40404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2846705</wp:posOffset>
            </wp:positionH>
            <wp:positionV relativeFrom="paragraph">
              <wp:posOffset>47625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ind w:left="4719"/>
        <w:spacing w:after="0"/>
        <w:rPr>
          <w:sz w:val="20"/>
          <w:szCs w:val="20"/>
          <w:color w:val="auto"/>
        </w:rPr>
      </w:pPr>
      <w:r>
        <w:rPr>
          <w:rFonts w:ascii="Times New Roman" w:cs="Times New Roman" w:eastAsia="Times New Roman" w:hAnsi="Times New Roman"/>
          <w:sz w:val="32"/>
          <w:szCs w:val="32"/>
          <w:b w:val="1"/>
          <w:bCs w:val="1"/>
          <w:color w:val="404040"/>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2846705</wp:posOffset>
            </wp:positionH>
            <wp:positionV relativeFrom="paragraph">
              <wp:posOffset>79375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ind w:left="19"/>
        <w:spacing w:after="0"/>
        <w:rPr>
          <w:sz w:val="20"/>
          <w:szCs w:val="20"/>
          <w:color w:val="auto"/>
        </w:rPr>
      </w:pPr>
      <w:r>
        <w:rPr>
          <w:rFonts w:ascii="Times New Roman" w:cs="Times New Roman" w:eastAsia="Times New Roman" w:hAnsi="Times New Roman"/>
          <w:sz w:val="14"/>
          <w:szCs w:val="14"/>
          <w:b w:val="1"/>
          <w:bCs w:val="1"/>
          <w:color w:val="404040"/>
        </w:rPr>
        <w:t>(Mark One)</w:t>
      </w:r>
    </w:p>
    <w:p>
      <w:pPr>
        <w:spacing w:after="0" w:line="199" w:lineRule="exact"/>
        <w:rPr>
          <w:sz w:val="24"/>
          <w:szCs w:val="24"/>
          <w:color w:val="auto"/>
        </w:rPr>
      </w:pPr>
    </w:p>
    <w:p>
      <w:pPr>
        <w:ind w:left="459" w:hanging="459"/>
        <w:spacing w:after="0"/>
        <w:tabs>
          <w:tab w:leader="none" w:pos="459" w:val="left"/>
        </w:tabs>
        <w:numPr>
          <w:ilvl w:val="0"/>
          <w:numId w:val="1"/>
        </w:numPr>
        <w:rPr>
          <w:rFonts w:ascii="MS PGothic" w:cs="MS PGothic" w:eastAsia="MS PGothic" w:hAnsi="MS PGothic"/>
          <w:sz w:val="16"/>
          <w:szCs w:val="16"/>
          <w:color w:val="auto"/>
          <w:shd w:val="clear" w:color="auto" w:fill="404040"/>
        </w:rPr>
      </w:pPr>
      <w:r>
        <w:rPr>
          <w:rFonts w:ascii="Times New Roman" w:cs="Times New Roman" w:eastAsia="Times New Roman" w:hAnsi="Times New Roman"/>
          <w:sz w:val="16"/>
          <w:szCs w:val="16"/>
          <w:b w:val="1"/>
          <w:bCs w:val="1"/>
          <w:color w:val="404040"/>
        </w:rPr>
        <w:t>ANNUAL REPORT PURSUANT TO SECTION 13 OR 15(d) OF THE SECURITIES EXCHANGE ACT OF 1934</w:t>
      </w:r>
    </w:p>
    <w:p>
      <w:pPr>
        <w:spacing w:after="0" w:line="329" w:lineRule="exact"/>
        <w:rPr>
          <w:sz w:val="24"/>
          <w:szCs w:val="24"/>
          <w:color w:val="auto"/>
        </w:rPr>
      </w:pPr>
    </w:p>
    <w:p>
      <w:pPr>
        <w:jc w:val="center"/>
        <w:ind w:right="-658"/>
        <w:spacing w:after="0"/>
        <w:rPr>
          <w:sz w:val="20"/>
          <w:szCs w:val="20"/>
          <w:color w:val="auto"/>
        </w:rPr>
      </w:pPr>
      <w:r>
        <w:rPr>
          <w:rFonts w:ascii="Times New Roman" w:cs="Times New Roman" w:eastAsia="Times New Roman" w:hAnsi="Times New Roman"/>
          <w:sz w:val="16"/>
          <w:szCs w:val="16"/>
          <w:b w:val="1"/>
          <w:bCs w:val="1"/>
          <w:color w:val="404040"/>
        </w:rPr>
        <w:t>For the fiscal year ended December 31, 2025</w:t>
      </w:r>
    </w:p>
    <w:p>
      <w:pPr>
        <w:spacing w:after="0" w:line="73" w:lineRule="exact"/>
        <w:rPr>
          <w:sz w:val="24"/>
          <w:szCs w:val="24"/>
          <w:color w:val="auto"/>
        </w:rPr>
      </w:pPr>
    </w:p>
    <w:p>
      <w:pPr>
        <w:jc w:val="center"/>
        <w:ind w:right="-618"/>
        <w:spacing w:after="0"/>
        <w:rPr>
          <w:sz w:val="20"/>
          <w:szCs w:val="20"/>
          <w:color w:val="auto"/>
        </w:rPr>
      </w:pPr>
      <w:r>
        <w:rPr>
          <w:rFonts w:ascii="Times New Roman" w:cs="Times New Roman" w:eastAsia="Times New Roman" w:hAnsi="Times New Roman"/>
          <w:sz w:val="16"/>
          <w:szCs w:val="16"/>
          <w:b w:val="1"/>
          <w:bCs w:val="1"/>
          <w:color w:val="404040"/>
        </w:rPr>
        <w:t>OR</w:t>
      </w:r>
    </w:p>
    <w:p>
      <w:pPr>
        <w:spacing w:after="0" w:line="329" w:lineRule="exact"/>
        <w:rPr>
          <w:sz w:val="24"/>
          <w:szCs w:val="24"/>
          <w:color w:val="auto"/>
        </w:rPr>
      </w:pPr>
    </w:p>
    <w:p>
      <w:pPr>
        <w:ind w:left="459" w:hanging="459"/>
        <w:spacing w:after="0"/>
        <w:tabs>
          <w:tab w:leader="none" w:pos="459" w:val="left"/>
        </w:tabs>
        <w:numPr>
          <w:ilvl w:val="0"/>
          <w:numId w:val="2"/>
        </w:numPr>
        <w:rPr>
          <w:rFonts w:ascii="MS PGothic" w:cs="MS PGothic" w:eastAsia="MS PGothic" w:hAnsi="MS PGothic"/>
          <w:sz w:val="16"/>
          <w:szCs w:val="16"/>
          <w:color w:val="auto"/>
          <w:shd w:val="clear" w:color="auto" w:fill="404040"/>
        </w:rPr>
      </w:pPr>
      <w:r>
        <w:rPr>
          <w:rFonts w:ascii="Times New Roman" w:cs="Times New Roman" w:eastAsia="Times New Roman" w:hAnsi="Times New Roman"/>
          <w:sz w:val="16"/>
          <w:szCs w:val="16"/>
          <w:b w:val="1"/>
          <w:bCs w:val="1"/>
          <w:color w:val="404040"/>
        </w:rPr>
        <w:t>TRANSITION REPORT PURSUANT TO SECTION 13 OR 15(d) OF THE SECURITIES EXCHANGE ACT OF 1934 FOR THE TRANSITION</w:t>
      </w:r>
    </w:p>
    <w:p>
      <w:pPr>
        <w:spacing w:after="0" w:line="39" w:lineRule="exact"/>
        <w:rPr>
          <w:sz w:val="24"/>
          <w:szCs w:val="24"/>
          <w:color w:val="auto"/>
        </w:rPr>
      </w:pPr>
    </w:p>
    <w:p>
      <w:pPr>
        <w:ind w:left="459"/>
        <w:spacing w:after="0"/>
        <w:tabs>
          <w:tab w:leader="none" w:pos="2499" w:val="left"/>
        </w:tabs>
        <w:rPr>
          <w:sz w:val="20"/>
          <w:szCs w:val="20"/>
          <w:color w:val="auto"/>
        </w:rPr>
      </w:pPr>
      <w:r>
        <w:rPr>
          <w:rFonts w:ascii="Times New Roman" w:cs="Times New Roman" w:eastAsia="Times New Roman" w:hAnsi="Times New Roman"/>
          <w:sz w:val="16"/>
          <w:szCs w:val="16"/>
          <w:b w:val="1"/>
          <w:bCs w:val="1"/>
          <w:color w:val="404040"/>
        </w:rPr>
        <w:t>PERIOD FROM</w:t>
      </w:r>
      <w:r>
        <w:rPr>
          <w:sz w:val="20"/>
          <w:szCs w:val="20"/>
          <w:color w:val="auto"/>
        </w:rPr>
        <w:tab/>
      </w:r>
      <w:r>
        <w:rPr>
          <w:rFonts w:ascii="Times New Roman" w:cs="Times New Roman" w:eastAsia="Times New Roman" w:hAnsi="Times New Roman"/>
          <w:sz w:val="16"/>
          <w:szCs w:val="16"/>
          <w:b w:val="1"/>
          <w:bCs w:val="1"/>
          <w:color w:val="404040"/>
        </w:rPr>
        <w:t>TO</w:t>
      </w:r>
    </w:p>
    <w:p>
      <w:pPr>
        <w:spacing w:after="0" w:line="316" w:lineRule="exact"/>
        <w:rPr>
          <w:sz w:val="24"/>
          <w:szCs w:val="24"/>
          <w:color w:val="auto"/>
        </w:rPr>
      </w:pPr>
    </w:p>
    <w:p>
      <w:pPr>
        <w:ind w:left="4299"/>
        <w:spacing w:after="0"/>
        <w:rPr>
          <w:sz w:val="20"/>
          <w:szCs w:val="20"/>
          <w:color w:val="auto"/>
        </w:rPr>
      </w:pPr>
      <w:r>
        <w:rPr>
          <w:rFonts w:ascii="Times New Roman" w:cs="Times New Roman" w:eastAsia="Times New Roman" w:hAnsi="Times New Roman"/>
          <w:sz w:val="18"/>
          <w:szCs w:val="18"/>
          <w:b w:val="1"/>
          <w:bCs w:val="1"/>
          <w:color w:val="404040"/>
        </w:rPr>
        <w:t>Commission File Number 1-12597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2846705</wp:posOffset>
            </wp:positionH>
            <wp:positionV relativeFrom="paragraph">
              <wp:posOffset>62865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1879" w:hanging="384"/>
        <w:spacing w:after="0"/>
        <w:tabs>
          <w:tab w:leader="none" w:pos="1879"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404040"/>
        </w:rPr>
        <w:t>Full title of the plan and the address of the plan, if different from that of the issuer named below:</w:t>
      </w:r>
    </w:p>
    <w:p>
      <w:pPr>
        <w:spacing w:after="0" w:line="332" w:lineRule="exact"/>
        <w:rPr>
          <w:rFonts w:ascii="Times New Roman" w:cs="Times New Roman" w:eastAsia="Times New Roman" w:hAnsi="Times New Roman"/>
          <w:sz w:val="20"/>
          <w:szCs w:val="20"/>
          <w:b w:val="1"/>
          <w:bCs w:val="1"/>
          <w:color w:val="auto"/>
        </w:rPr>
      </w:pPr>
    </w:p>
    <w:p>
      <w:pPr>
        <w:ind w:left="357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404040"/>
        </w:rPr>
        <w:t>CULP, INC. EMPLOYEES’ RETIREMENT PLAN</w:t>
      </w:r>
    </w:p>
    <w:p>
      <w:pPr>
        <w:spacing w:after="0" w:line="345" w:lineRule="exact"/>
        <w:rPr>
          <w:rFonts w:ascii="Times New Roman" w:cs="Times New Roman" w:eastAsia="Times New Roman" w:hAnsi="Times New Roman"/>
          <w:sz w:val="20"/>
          <w:szCs w:val="20"/>
          <w:b w:val="1"/>
          <w:bCs w:val="1"/>
          <w:color w:val="auto"/>
        </w:rPr>
      </w:pPr>
    </w:p>
    <w:p>
      <w:pPr>
        <w:ind w:left="1279" w:hanging="227"/>
        <w:spacing w:after="0"/>
        <w:tabs>
          <w:tab w:leader="none" w:pos="1279" w:val="left"/>
        </w:tabs>
        <w:numPr>
          <w:ilvl w:val="0"/>
          <w:numId w:val="4"/>
        </w:numPr>
        <w:rPr>
          <w:rFonts w:ascii="Times New Roman" w:cs="Times New Roman" w:eastAsia="Times New Roman" w:hAnsi="Times New Roman"/>
          <w:sz w:val="20"/>
          <w:szCs w:val="20"/>
          <w:b w:val="1"/>
          <w:bCs w:val="1"/>
          <w:color w:val="404040"/>
        </w:rPr>
      </w:pPr>
      <w:r>
        <w:rPr>
          <w:rFonts w:ascii="Times New Roman" w:cs="Times New Roman" w:eastAsia="Times New Roman" w:hAnsi="Times New Roman"/>
          <w:sz w:val="20"/>
          <w:szCs w:val="20"/>
          <w:b w:val="1"/>
          <w:bCs w:val="1"/>
          <w:color w:val="404040"/>
        </w:rPr>
        <w:t>Name of issuer of the securities held pursuant to the plan and the address of its principal executive office:</w:t>
      </w:r>
    </w:p>
    <w:p>
      <w:pPr>
        <w:spacing w:after="0" w:line="184" w:lineRule="exact"/>
        <w:rPr>
          <w:sz w:val="24"/>
          <w:szCs w:val="24"/>
          <w:color w:val="auto"/>
        </w:rPr>
      </w:pPr>
    </w:p>
    <w:p>
      <w:pPr>
        <w:ind w:left="5079"/>
        <w:spacing w:after="0"/>
        <w:rPr>
          <w:sz w:val="20"/>
          <w:szCs w:val="20"/>
          <w:color w:val="auto"/>
        </w:rPr>
      </w:pPr>
      <w:r>
        <w:rPr>
          <w:rFonts w:ascii="Times New Roman" w:cs="Times New Roman" w:eastAsia="Times New Roman" w:hAnsi="Times New Roman"/>
          <w:sz w:val="22"/>
          <w:szCs w:val="22"/>
          <w:b w:val="1"/>
          <w:bCs w:val="1"/>
          <w:color w:val="404040"/>
        </w:rPr>
        <w:t>CULP, INC.</w:t>
      </w:r>
    </w:p>
    <w:p>
      <w:pPr>
        <w:spacing w:after="0" w:line="98" w:lineRule="exact"/>
        <w:rPr>
          <w:sz w:val="24"/>
          <w:szCs w:val="24"/>
          <w:color w:val="auto"/>
        </w:rPr>
      </w:pPr>
    </w:p>
    <w:p>
      <w:pPr>
        <w:ind w:left="4199"/>
        <w:spacing w:after="0"/>
        <w:rPr>
          <w:sz w:val="20"/>
          <w:szCs w:val="20"/>
          <w:color w:val="auto"/>
        </w:rPr>
      </w:pPr>
      <w:r>
        <w:rPr>
          <w:rFonts w:ascii="Times New Roman" w:cs="Times New Roman" w:eastAsia="Times New Roman" w:hAnsi="Times New Roman"/>
          <w:sz w:val="22"/>
          <w:szCs w:val="22"/>
          <w:b w:val="1"/>
          <w:bCs w:val="1"/>
          <w:color w:val="404040"/>
        </w:rPr>
        <w:t>410 W. English Road 5</w:t>
      </w:r>
      <w:r>
        <w:rPr>
          <w:rFonts w:ascii="Times New Roman" w:cs="Times New Roman" w:eastAsia="Times New Roman" w:hAnsi="Times New Roman"/>
          <w:sz w:val="28"/>
          <w:szCs w:val="28"/>
          <w:b w:val="1"/>
          <w:bCs w:val="1"/>
          <w:color w:val="404040"/>
          <w:vertAlign w:val="superscript"/>
        </w:rPr>
        <w:t>th</w:t>
      </w:r>
      <w:r>
        <w:rPr>
          <w:rFonts w:ascii="Times New Roman" w:cs="Times New Roman" w:eastAsia="Times New Roman" w:hAnsi="Times New Roman"/>
          <w:sz w:val="22"/>
          <w:szCs w:val="22"/>
          <w:b w:val="1"/>
          <w:bCs w:val="1"/>
          <w:color w:val="404040"/>
        </w:rPr>
        <w:t xml:space="preserve"> Floor</w:t>
      </w:r>
    </w:p>
    <w:p>
      <w:pPr>
        <w:spacing w:after="0" w:line="3" w:lineRule="exact"/>
        <w:rPr>
          <w:sz w:val="24"/>
          <w:szCs w:val="24"/>
          <w:color w:val="auto"/>
        </w:rPr>
      </w:pPr>
    </w:p>
    <w:p>
      <w:pPr>
        <w:ind w:left="4039"/>
        <w:spacing w:after="0"/>
        <w:rPr>
          <w:sz w:val="20"/>
          <w:szCs w:val="20"/>
          <w:color w:val="auto"/>
        </w:rPr>
      </w:pPr>
      <w:r>
        <w:rPr>
          <w:rFonts w:ascii="Times New Roman" w:cs="Times New Roman" w:eastAsia="Times New Roman" w:hAnsi="Times New Roman"/>
          <w:sz w:val="22"/>
          <w:szCs w:val="22"/>
          <w:b w:val="1"/>
          <w:bCs w:val="1"/>
          <w:color w:val="404040"/>
        </w:rPr>
        <w:t>High Point, North Carolina 27262</w:t>
      </w:r>
    </w:p>
    <w:p>
      <w:pPr>
        <w:spacing w:after="0" w:line="16" w:lineRule="exact"/>
        <w:rPr>
          <w:sz w:val="24"/>
          <w:szCs w:val="24"/>
          <w:color w:val="auto"/>
        </w:rPr>
      </w:pPr>
    </w:p>
    <w:p>
      <w:pPr>
        <w:ind w:left="3979"/>
        <w:spacing w:after="0"/>
        <w:rPr>
          <w:sz w:val="20"/>
          <w:szCs w:val="20"/>
          <w:color w:val="auto"/>
        </w:rPr>
      </w:pPr>
      <w:r>
        <w:rPr>
          <w:rFonts w:ascii="Times New Roman" w:cs="Times New Roman" w:eastAsia="Times New Roman" w:hAnsi="Times New Roman"/>
          <w:sz w:val="22"/>
          <w:szCs w:val="22"/>
          <w:b w:val="1"/>
          <w:bCs w:val="1"/>
          <w:color w:val="404040"/>
        </w:rPr>
        <w:t>Telephone Number: (336) 889-5161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55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499745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39"/>
          </w:cols>
          <w:pgMar w:left="341" w:top="1440" w:right="1019" w:bottom="1440" w:gutter="0" w:footer="0" w:header="0"/>
        </w:sectPr>
      </w:pPr>
    </w:p>
    <w:bookmarkStart w:id="1" w:name="page2"/>
    <w:bookmarkEnd w:id="1"/>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CULP,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FORM 11-K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25"/>
        </w:trPr>
        <w:tc>
          <w:tcPr>
            <w:tcW w:w="4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28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3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w:t>
            </w:r>
          </w:p>
        </w:tc>
        <w:tc>
          <w:tcPr>
            <w:tcW w:w="20" w:type="dxa"/>
            <w:vAlign w:val="bottom"/>
            <w:tcBorders>
              <w:top w:val="single" w:sz="8" w:color="0000FF"/>
              <w:bottom w:val="single" w:sz="8" w:color="0000EE"/>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60" w:type="dxa"/>
            <w:vAlign w:val="bottom"/>
            <w:gridSpan w:val="2"/>
          </w:tcPr>
          <w:p>
            <w:pPr>
              <w:spacing w:after="0"/>
              <w:rPr>
                <w:sz w:val="24"/>
                <w:szCs w:val="24"/>
                <w:color w:val="auto"/>
              </w:rPr>
            </w:pP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4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Changes in Net Assets Available for Benefits</w:t>
            </w: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80" w:type="dxa"/>
            <w:vAlign w:val="bottom"/>
          </w:tcPr>
          <w:p>
            <w:pPr>
              <w:spacing w:after="0"/>
              <w:rPr>
                <w:sz w:val="24"/>
                <w:szCs w:val="24"/>
                <w:color w:val="auto"/>
              </w:rPr>
            </w:pP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r>
      <w:tr>
        <w:trPr>
          <w:trHeight w:val="412"/>
        </w:trPr>
        <w:tc>
          <w:tcPr>
            <w:tcW w:w="4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580" w:type="dxa"/>
            <w:vAlign w:val="bottom"/>
            <w:gridSpan w:val="6"/>
          </w:tcPr>
          <w:p>
            <w:pPr>
              <w:spacing w:after="0"/>
              <w:rPr>
                <w:sz w:val="24"/>
                <w:szCs w:val="24"/>
                <w:color w:val="auto"/>
              </w:rPr>
            </w:pP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2"/>
        </w:trPr>
        <w:tc>
          <w:tcPr>
            <w:tcW w:w="4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Plan Participants and Retirement Committee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Culp, Inc. Employees’ Retirement Builder Plan</w:t>
      </w:r>
    </w:p>
    <w:p>
      <w:pPr>
        <w:spacing w:after="0"/>
        <w:rPr>
          <w:sz w:val="20"/>
          <w:szCs w:val="20"/>
          <w:color w:val="auto"/>
        </w:rPr>
      </w:pPr>
      <w:r>
        <w:rPr>
          <w:rFonts w:ascii="Times New Roman" w:cs="Times New Roman" w:eastAsia="Times New Roman" w:hAnsi="Times New Roman"/>
          <w:sz w:val="19"/>
          <w:szCs w:val="19"/>
          <w:color w:val="auto"/>
        </w:rPr>
        <w:t>High Point, North Carolina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We have audited the accompanying statements of net assets available for benefits of the Culp, Inc. Employees’ Retirement Builder Plan (the “Plan”) as of December 31, 2025 and 2024, the related statements of changes in net assets available for benefits for the years ended December 31, 2025, 2024, and 2023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ended December 31, 2025, 2024, and 2023 in conformity with accounting principles generally accepted in the United States of America (“GAAP”).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Information</w:t>
      </w:r>
    </w:p>
    <w:p>
      <w:pPr>
        <w:spacing w:after="0" w:line="2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supplemental information in the accompanying schedule of assets (held at end of year) as of December 31, 2025 has been subjected to audit procedures performed in conjunction with the audit of the Plan’s 2025 financial statements. The supplemental information is the responsibility of the Plan’s management. Our audit procedures included determining whether the supplemental information reconciles to the 2025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2025 financial statements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Plan’s auditor since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GreerWalker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18, 2026</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Charlotte, North Carolina</w:t>
      </w:r>
    </w:p>
    <w:p>
      <w:pPr>
        <w:spacing w:after="0" w:line="200" w:lineRule="exact"/>
        <w:rPr>
          <w:sz w:val="20"/>
          <w:szCs w:val="20"/>
          <w:color w:val="auto"/>
        </w:rPr>
      </w:pPr>
    </w:p>
    <w:p>
      <w:pPr>
        <w:spacing w:after="0" w:line="25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p>
      <w:pPr>
        <w:jc w:val="center"/>
        <w:spacing w:after="0" w:line="262" w:lineRule="auto"/>
        <w:rPr>
          <w:sz w:val="20"/>
          <w:szCs w:val="20"/>
          <w:color w:val="auto"/>
        </w:rPr>
      </w:pPr>
      <w:r>
        <w:rPr>
          <w:rFonts w:ascii="Arial" w:cs="Arial" w:eastAsia="Arial" w:hAnsi="Arial"/>
          <w:sz w:val="21"/>
          <w:szCs w:val="21"/>
          <w:b w:val="1"/>
          <w:bCs w:val="1"/>
          <w:color w:val="auto"/>
        </w:rPr>
        <w:t>CULP, INC. EMPLOYEES' RETIREMENT BUILDER PLAN STATEMENTS OF NET ASSETS AVAILABLE FOR BENEFITS DECEMBER 31, 2025 AND 2024</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fair value (Note C)</w:t>
            </w:r>
          </w:p>
        </w:tc>
        <w:tc>
          <w:tcPr>
            <w:tcW w:w="2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Registered investment companies</w:t>
            </w:r>
          </w:p>
        </w:tc>
        <w:tc>
          <w:tcPr>
            <w:tcW w:w="26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38,357,555</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40,077,354</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Pooled Separate Accounts</w:t>
            </w:r>
          </w:p>
        </w:tc>
        <w:tc>
          <w:tcPr>
            <w:tcW w:w="2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7,364,105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and collective trust fund</w:t>
            </w: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2,973,527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3,472,715</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Culp, Inc. common stock</w:t>
            </w:r>
          </w:p>
        </w:tc>
        <w:tc>
          <w:tcPr>
            <w:tcW w:w="2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739,327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1,153,883</w:t>
            </w: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Money market fund</w:t>
            </w:r>
          </w:p>
        </w:tc>
        <w:tc>
          <w:tcPr>
            <w:tcW w:w="2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43,493</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CFF0FC"/>
            </w:tcBorders>
            <w:shd w:val="clear" w:color="auto" w:fill="CFF0FC"/>
          </w:tcPr>
          <w:p>
            <w:pPr>
              <w:spacing w:after="0"/>
              <w:rPr>
                <w:sz w:val="17"/>
                <w:szCs w:val="17"/>
                <w:color w:val="auto"/>
              </w:rPr>
            </w:pPr>
          </w:p>
        </w:tc>
        <w:tc>
          <w:tcPr>
            <w:tcW w:w="23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49,467,092</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44,747,445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Receivables</w:t>
            </w: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Employer contributions</w:t>
            </w:r>
          </w:p>
        </w:tc>
        <w:tc>
          <w:tcPr>
            <w:tcW w:w="2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2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r>
      <w:tr>
        <w:trPr>
          <w:trHeight w:val="196"/>
        </w:trPr>
        <w:tc>
          <w:tcPr>
            <w:tcW w:w="540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2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49,467,092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44,747,445</w:t>
            </w:r>
          </w:p>
        </w:tc>
        <w:tc>
          <w:tcPr>
            <w:tcW w:w="100" w:type="dxa"/>
            <w:vAlign w:val="bottom"/>
            <w:shd w:val="clear" w:color="auto" w:fill="CFF0FC"/>
          </w:tcPr>
          <w:p>
            <w:pPr>
              <w:spacing w:after="0"/>
              <w:rPr>
                <w:sz w:val="19"/>
                <w:szCs w:val="19"/>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-805180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line="262" w:lineRule="auto"/>
        <w:rPr>
          <w:sz w:val="20"/>
          <w:szCs w:val="20"/>
          <w:color w:val="auto"/>
        </w:rPr>
      </w:pPr>
      <w:r>
        <w:rPr>
          <w:rFonts w:ascii="Arial" w:cs="Arial" w:eastAsia="Arial" w:hAnsi="Arial"/>
          <w:sz w:val="21"/>
          <w:szCs w:val="21"/>
          <w:b w:val="1"/>
          <w:bCs w:val="1"/>
          <w:color w:val="auto"/>
        </w:rPr>
        <w:t>CULP, INC. EMPLOYEES' RETIREMENT BUILDER PLAN STATEMENTS OF CHANGES IN NET ASSETS AVAILABLE FOR BENEFITS YEARS ENDED DECEMBER 31, 2025, 2024 AND 2023</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NET ASSETS ATTRIBUTED TO :</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2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1,634,890</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2,257,892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3,638,951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dividends</w:t>
            </w:r>
          </w:p>
        </w:tc>
        <w:tc>
          <w:tcPr>
            <w:tcW w:w="2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3,343,311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2,413,506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1,839,727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investment income</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4,978,201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4,671,398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5,478,678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Contributions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Employer</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1,022,297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1,059,697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1,053,752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Participant</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1,811,594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1,886,013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1,989,324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Direct rollovers</w:t>
            </w:r>
          </w:p>
        </w:tc>
        <w:tc>
          <w:tcPr>
            <w:tcW w:w="20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98,515</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346,981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153,232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contributions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3,292,691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3,196,308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(3,048,683)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(4,865,107)</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(7,550,692)</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Administrative expenses (Note E)</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(142,277)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(128,449)</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(121,994)</w:t>
            </w:r>
          </w:p>
        </w:tc>
        <w:tc>
          <w:tcPr>
            <w:tcW w:w="0" w:type="dxa"/>
            <w:vAlign w:val="bottom"/>
          </w:tcPr>
          <w:p>
            <w:pPr>
              <w:spacing w:after="0"/>
              <w:rPr>
                <w:sz w:val="1"/>
                <w:szCs w:val="1"/>
                <w:color w:val="auto"/>
              </w:rPr>
            </w:pPr>
          </w:p>
        </w:tc>
      </w:tr>
      <w:tr>
        <w:trPr>
          <w:trHeight w:val="196"/>
        </w:trPr>
        <w:tc>
          <w:tcPr>
            <w:tcW w:w="4560" w:type="dxa"/>
            <w:vAlign w:val="bottom"/>
            <w:tcBorders>
              <w:top w:val="single" w:sz="8" w:color="CFF0FC"/>
            </w:tcBorders>
          </w:tcPr>
          <w:p>
            <w:pPr>
              <w:spacing w:after="0"/>
              <w:rPr>
                <w:sz w:val="17"/>
                <w:szCs w:val="17"/>
                <w:color w:val="auto"/>
              </w:rPr>
            </w:pPr>
          </w:p>
        </w:tc>
        <w:tc>
          <w:tcPr>
            <w:tcW w:w="20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net assets available for benefits</w:t>
            </w:r>
          </w:p>
        </w:tc>
        <w:tc>
          <w:tcPr>
            <w:tcW w:w="20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4,719,647</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2,970,533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1,002,300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Beginning of year</w:t>
            </w:r>
          </w:p>
        </w:tc>
        <w:tc>
          <w:tcPr>
            <w:tcW w:w="2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44,747,445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41,776,912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40,774,612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 of year</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49,467,092</w:t>
            </w:r>
          </w:p>
        </w:tc>
        <w:tc>
          <w:tcPr>
            <w:tcW w:w="16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44,747,445</w:t>
            </w:r>
          </w:p>
        </w:tc>
        <w:tc>
          <w:tcPr>
            <w:tcW w:w="2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41,776,912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60" w:type="dxa"/>
            <w:vAlign w:val="bottom"/>
            <w:vMerge w:val="restart"/>
          </w:tcPr>
          <w:p>
            <w:pPr>
              <w:jc w:val="right"/>
              <w:ind w:right="882"/>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5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4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-2527935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-2527935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-2527935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-2005330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-2005330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-1731010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DESCRIPTION OF PLAN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Culp, Inc. Employees’ Retirement Builder Plan (the “Plan”) provides only general information. Participants should refer to the summary plan description for a more complete description of the Plan’s provisions.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Plan is a defined contribution plan covering all full-time employees of Culp, Inc., and its subsidiaries (the “Company”) who have three months of continuous service and are at least 21 years of age. Employees who elect to participate in the Plan may do so in the next available payroll period. The Plan is subject to the provisions of the Employee Retirement Income Security Act of 1974 (“ERISA”).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Each year, participants may contribute compensation, as defined in the Plan document, subject to certain Internal Revenue Code (“IRC”) limitations. Participants who have attained age 50 before the end of the Plan year are eligible to make catch-up contributions. Participants may also contribute amounts representing distributions from other qualified defined benefit or defined contribution plans. Participants direct the investment of their contributions into various investment options offered by the Plan. The Plan currently offers various registered investment company funds, pooled separate accounts, one common and collective trust fund, and Culp, Inc. common stock as investment options for participants. The Company makes matching safe harbor contributions equal to 100% of the participant’s contribution up to the first 4% of annual compensation contributed to the Plan. An employee who is eligible to participate in the Plan but does not either affirmatively elect to decline participation or designate a specified amount to be contributed to the Plan, is required to have their compensation reduced by 3%, which is then contributed into the Plan’s T. Rowe Price Retirement Series.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Employees who elect to participate in the Plan are required to contribute at least 2% of their annual compensation to the Plan.</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 profit-sharing amounts may be contributed at the option of the Company. No profit-sharing contributions were made during the years ended December 31, 2025, 2024, or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Participant Accounts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and Company matching contributions, as well as allocations of (a) the Company’s profit-sharing contributions, (b) Plan earnings, and (c) Plan administrative expenses. Allocations are based on participant earnings, account balances, or specific transactions, as defined in the Plan. The benefit to which a participant is entitled is the benefit that can be provided from the participant’s vested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Vesting</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Participants are immediately vested in their own voluntary contributions and the Company’s matching contributions plus actual earnings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Notes Receivable from Participants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receivable from participants are not permitted by the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of Benefits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termination of service due to death, disability, retirement, or other reasons as defined by the Plan, participants may receive a lump-sum distribution equal to the value of the participant’s vested interest in the Plan. In-service distributions may be made to participants who have reached age 59 1/2. Withdrawals from the Plan may also be made upon circumstances of financial hardship, in accordance with provisions specified by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SUMMARY OF SIGNIFICANT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Basis of Accounting</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financial statements of the Plan are prepared under the accrual basis of accounting in conformity with accounting principles generally accepted in the United States of America (“GAAP”).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 Valuation and Income Recognition</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Plan’s investments are stated at fair value. Fair value is the price that would be received to sell an asset or paid to transfer a liability in an orderly transaction between market participants at the measurement date. Purchases and sales of securities are recorded on a trade-date basis. Interest income is recorded on the accrual basis. Dividends are recorded on the ex-dividend date. Net appreciation in fair value of investments includes the Plan's gains and losses on investments bought and sold as well as held during the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certain reported amounts of assets and liabilities and changes therein, and disclosures. Actual results could differ from those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Contributions from participants are recorded as they are withheld from the participants’ wages. Contributions from the Employer are recorded in the period in which the related participant contributions are due.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of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Administrative Expenses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00" w:lineRule="exact"/>
        <w:rPr>
          <w:sz w:val="20"/>
          <w:szCs w:val="20"/>
          <w:color w:val="auto"/>
        </w:rPr>
      </w:pP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expenses of maintaining the Plan are paid by the Plan, unless otherwise paid by the Company. Expenses that are paid by the Company are excluded from these financial statements. Investment related expenses are included in net appreciation in fair value of investments.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FAIR VALUE MEASUREMENTS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Financial Accounting Standards Board issued a statement that defines fair value and establishes a framework for measuring fair value. This framework provides a fair value hierarchy that prioritizes the inputs to valuation techniques used to measure fair value. The hierarchy gives the highest priority to quoted market prices in active markets for identical assets or liabilities (Level 1 measurement) and the lowest priority to unobservable inputs (Level 3 measurement). The three levels of fair value hierarchy are described as follows: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and liabilities,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21" w:lineRule="exact"/>
        <w:rPr>
          <w:sz w:val="20"/>
          <w:szCs w:val="20"/>
          <w:color w:val="auto"/>
        </w:rPr>
      </w:pPr>
    </w:p>
    <w:p>
      <w:pPr>
        <w:ind w:left="480" w:right="40" w:hanging="78"/>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a market participant would use.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financial instrument's level within the fair value hierarchy is based on the lowest level of any input that is significant to the fair value measurement. The following is a description of the valuation methodologies used for instruments measured at fair value, including the general classification of such instruments pursuant to the valuation hierarchy. There have been no changes in the methodologies used during the years ended December 31, 2025,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Registered Investment Companies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Valued at the daily closing price as reported by the fund. The funds held by the Plan are open-end mutual funds that are registered with the Securities and Exchange Commission. These funds are required to publish their daily net asset value (“NAV”) and to transact at that price. The mutual funds held by the Plan are deemed to be actively traded and therefore are classified within Level 1 of the fair value hierarchy.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Pooled Separate Accounts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Plan's investments in pooled separate accounts (PSAs) are offered through variable annuity contracts issued by Empower. Each PSA invests exclusively in a corresponding T. Rowe Price Retirement Series target-date portfolio. These portfolios are diversified across a broad mix of T. Rowe Price equity and fixed-income mutual funds, including U.S. equity, international equity, fixed income, inflation-protected securities, and short-term investments. Asset allocations follow a through-retirement glidepath, becoming more conservative as the target retirement date approaches and continuing to adjust beyond the target year.</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PSAs are measured at fair value and are classified within Level 2 of the fair value hierarchy since their valuation is based on observable inputs, including the NAV of the underlying T. Rowe Price Retirement Series mutual funds and observable market pricing for the securities held within those funds. The PSAs do not have quoted prices for identical assets in active markets and therefore do not qualify for Level 1 classification. No significant unobservable inputs are used in determining fair value; accordingly, Level 3 classification is not applicable.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PSAs offered through Empower do not have lock-up periods, gates or withdrawal restrictions, redemption fees, and advance notice requirements. The Plan is not subject to any contractual restrictions that would limit its ability to redeem PSA interests at fair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and Collective Trust Fund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investment is valued using the NAV as a practical expedient and is not classified within the fair value hierarchy. There are no participant redemption restrictions for this investment; the redemption notice period is applicable only to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for which the NAV per share practical expedient was used:</w:t>
      </w: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Net Asset Value used as a practical expedient as of December 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tcPr>
          <w:p>
            <w:pPr>
              <w:jc w:val="center"/>
              <w:ind w:right="704"/>
              <w:spacing w:after="0" w:line="138" w:lineRule="exact"/>
              <w:rPr>
                <w:sz w:val="20"/>
                <w:szCs w:val="20"/>
                <w:color w:val="auto"/>
              </w:rPr>
            </w:pPr>
            <w:r>
              <w:rPr>
                <w:rFonts w:ascii="Times New Roman" w:cs="Times New Roman" w:eastAsia="Times New Roman" w:hAnsi="Times New Roman"/>
                <w:sz w:val="15"/>
                <w:szCs w:val="15"/>
                <w:color w:val="auto"/>
              </w:rPr>
              <w:t>Redemption</w:t>
            </w:r>
          </w:p>
        </w:tc>
        <w:tc>
          <w:tcPr>
            <w:tcW w:w="1980" w:type="dxa"/>
            <w:vAlign w:val="bottom"/>
            <w:tcBorders>
              <w:top w:val="single" w:sz="8" w:color="auto"/>
            </w:tcBorders>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left="164"/>
              <w:spacing w:after="0" w:line="162" w:lineRule="exact"/>
              <w:rPr>
                <w:sz w:val="20"/>
                <w:szCs w:val="20"/>
                <w:color w:val="auto"/>
              </w:rPr>
            </w:pPr>
            <w:r>
              <w:rPr>
                <w:rFonts w:ascii="Times New Roman" w:cs="Times New Roman" w:eastAsia="Times New Roman" w:hAnsi="Times New Roman"/>
                <w:sz w:val="15"/>
                <w:szCs w:val="15"/>
                <w:color w:val="auto"/>
              </w:rPr>
              <w:t>Unfunded</w:t>
            </w:r>
          </w:p>
        </w:tc>
        <w:tc>
          <w:tcPr>
            <w:tcW w:w="3120" w:type="dxa"/>
            <w:vAlign w:val="bottom"/>
          </w:tcPr>
          <w:p>
            <w:pPr>
              <w:jc w:val="center"/>
              <w:ind w:right="704"/>
              <w:spacing w:after="0" w:line="162" w:lineRule="exact"/>
              <w:rPr>
                <w:sz w:val="20"/>
                <w:szCs w:val="20"/>
                <w:color w:val="auto"/>
              </w:rPr>
            </w:pPr>
            <w:r>
              <w:rPr>
                <w:rFonts w:ascii="Times New Roman" w:cs="Times New Roman" w:eastAsia="Times New Roman" w:hAnsi="Times New Roman"/>
                <w:sz w:val="15"/>
                <w:szCs w:val="15"/>
                <w:color w:val="auto"/>
              </w:rPr>
              <w:t>Frequency</w:t>
            </w:r>
          </w:p>
        </w:tc>
        <w:tc>
          <w:tcPr>
            <w:tcW w:w="1980" w:type="dxa"/>
            <w:vAlign w:val="bottom"/>
          </w:tcPr>
          <w:p>
            <w:pPr>
              <w:jc w:val="center"/>
              <w:ind w:right="764"/>
              <w:spacing w:after="0" w:line="162" w:lineRule="exact"/>
              <w:rPr>
                <w:sz w:val="20"/>
                <w:szCs w:val="20"/>
                <w:color w:val="auto"/>
              </w:rPr>
            </w:pPr>
            <w:r>
              <w:rPr>
                <w:rFonts w:ascii="Times New Roman" w:cs="Times New Roman" w:eastAsia="Times New Roman" w:hAnsi="Times New Roman"/>
                <w:sz w:val="15"/>
                <w:szCs w:val="15"/>
                <w:color w:val="auto"/>
              </w:rPr>
              <w:t>Redemption</w:t>
            </w:r>
          </w:p>
        </w:tc>
      </w:tr>
      <w:tr>
        <w:trPr>
          <w:trHeight w:val="179"/>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Description</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tcPr>
          <w:p>
            <w:pPr>
              <w:spacing w:after="0"/>
              <w:rPr>
                <w:sz w:val="15"/>
                <w:szCs w:val="15"/>
                <w:color w:val="auto"/>
              </w:rPr>
            </w:pPr>
          </w:p>
        </w:tc>
        <w:tc>
          <w:tcPr>
            <w:tcW w:w="206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5"/>
                <w:szCs w:val="15"/>
                <w:color w:val="auto"/>
              </w:rPr>
              <w:t>Commitments</w:t>
            </w:r>
          </w:p>
        </w:tc>
        <w:tc>
          <w:tcPr>
            <w:tcW w:w="3120" w:type="dxa"/>
            <w:vAlign w:val="bottom"/>
            <w:tcBorders>
              <w:bottom w:val="single" w:sz="8" w:color="auto"/>
            </w:tcBorders>
          </w:tcPr>
          <w:p>
            <w:pPr>
              <w:jc w:val="center"/>
              <w:ind w:right="704"/>
              <w:spacing w:after="0"/>
              <w:rPr>
                <w:sz w:val="20"/>
                <w:szCs w:val="20"/>
                <w:color w:val="auto"/>
              </w:rPr>
            </w:pPr>
            <w:r>
              <w:rPr>
                <w:rFonts w:ascii="Times New Roman" w:cs="Times New Roman" w:eastAsia="Times New Roman" w:hAnsi="Times New Roman"/>
                <w:sz w:val="15"/>
                <w:szCs w:val="15"/>
                <w:color w:val="auto"/>
              </w:rPr>
              <w:t>(If Currently Eligible)</w:t>
            </w:r>
          </w:p>
        </w:tc>
        <w:tc>
          <w:tcPr>
            <w:tcW w:w="1980" w:type="dxa"/>
            <w:vAlign w:val="bottom"/>
            <w:tcBorders>
              <w:bottom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rPr>
              <w:t>Notice Period</w:t>
            </w:r>
          </w:p>
        </w:tc>
      </w:tr>
      <w:tr>
        <w:trPr>
          <w:trHeight w:val="156"/>
        </w:trPr>
        <w:tc>
          <w:tcPr>
            <w:tcW w:w="230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Invesco Stable Value Trust Fund</w:t>
            </w:r>
          </w:p>
        </w:tc>
        <w:tc>
          <w:tcPr>
            <w:tcW w:w="48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2,973,527</w:t>
            </w:r>
          </w:p>
        </w:tc>
        <w:tc>
          <w:tcPr>
            <w:tcW w:w="140" w:type="dxa"/>
            <w:vAlign w:val="bottom"/>
            <w:tcBorders>
              <w:bottom w:val="single" w:sz="8" w:color="CFF0FC"/>
            </w:tcBorders>
            <w:shd w:val="clear" w:color="auto" w:fill="CFF0FC"/>
          </w:tcPr>
          <w:p>
            <w:pPr>
              <w:spacing w:after="0"/>
              <w:rPr>
                <w:sz w:val="13"/>
                <w:szCs w:val="13"/>
                <w:color w:val="auto"/>
              </w:rPr>
            </w:pPr>
          </w:p>
        </w:tc>
        <w:tc>
          <w:tcPr>
            <w:tcW w:w="2060" w:type="dxa"/>
            <w:vAlign w:val="bottom"/>
            <w:tcBorders>
              <w:bottom w:val="single" w:sz="8" w:color="auto"/>
            </w:tcBorders>
            <w:shd w:val="clear" w:color="auto" w:fill="CFF0FC"/>
          </w:tcPr>
          <w:p>
            <w:pPr>
              <w:jc w:val="center"/>
              <w:ind w:left="164"/>
              <w:spacing w:after="0" w:line="156" w:lineRule="exact"/>
              <w:rPr>
                <w:sz w:val="20"/>
                <w:szCs w:val="20"/>
                <w:color w:val="auto"/>
              </w:rPr>
            </w:pPr>
            <w:r>
              <w:rPr>
                <w:rFonts w:ascii="Times New Roman" w:cs="Times New Roman" w:eastAsia="Times New Roman" w:hAnsi="Times New Roman"/>
                <w:sz w:val="15"/>
                <w:szCs w:val="15"/>
                <w:color w:val="auto"/>
              </w:rPr>
              <w:t>N/A</w:t>
            </w:r>
          </w:p>
        </w:tc>
        <w:tc>
          <w:tcPr>
            <w:tcW w:w="3120" w:type="dxa"/>
            <w:vAlign w:val="bottom"/>
            <w:tcBorders>
              <w:bottom w:val="single" w:sz="8" w:color="auto"/>
            </w:tcBorders>
            <w:shd w:val="clear" w:color="auto" w:fill="CFF0FC"/>
          </w:tcPr>
          <w:p>
            <w:pPr>
              <w:jc w:val="center"/>
              <w:ind w:right="704"/>
              <w:spacing w:after="0" w:line="156" w:lineRule="exact"/>
              <w:rPr>
                <w:sz w:val="20"/>
                <w:szCs w:val="20"/>
                <w:color w:val="auto"/>
              </w:rPr>
            </w:pPr>
            <w:r>
              <w:rPr>
                <w:rFonts w:ascii="Times New Roman" w:cs="Times New Roman" w:eastAsia="Times New Roman" w:hAnsi="Times New Roman"/>
                <w:sz w:val="15"/>
                <w:szCs w:val="15"/>
                <w:color w:val="auto"/>
              </w:rPr>
              <w:t>Daily</w:t>
            </w:r>
          </w:p>
        </w:tc>
        <w:tc>
          <w:tcPr>
            <w:tcW w:w="1980" w:type="dxa"/>
            <w:vAlign w:val="bottom"/>
            <w:tcBorders>
              <w:bottom w:val="single" w:sz="8" w:color="auto"/>
            </w:tcBorders>
            <w:shd w:val="clear" w:color="auto" w:fill="CFF0FC"/>
          </w:tcPr>
          <w:p>
            <w:pPr>
              <w:jc w:val="center"/>
              <w:ind w:right="764"/>
              <w:spacing w:after="0" w:line="156" w:lineRule="exact"/>
              <w:rPr>
                <w:sz w:val="20"/>
                <w:szCs w:val="20"/>
                <w:color w:val="auto"/>
              </w:rPr>
            </w:pPr>
            <w:r>
              <w:rPr>
                <w:rFonts w:ascii="Times New Roman" w:cs="Times New Roman" w:eastAsia="Times New Roman" w:hAnsi="Times New Roman"/>
                <w:sz w:val="15"/>
                <w:szCs w:val="15"/>
                <w:color w:val="auto"/>
              </w:rPr>
              <w:t>12 months</w:t>
            </w:r>
          </w:p>
        </w:tc>
      </w:tr>
      <w:tr>
        <w:trPr>
          <w:trHeight w:val="385"/>
        </w:trPr>
        <w:tc>
          <w:tcPr>
            <w:tcW w:w="2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5"/>
                <w:szCs w:val="15"/>
                <w:color w:val="auto"/>
              </w:rPr>
              <w:t>Net Asset Value used as a practical expedient as of December 31, 2024:</w:t>
            </w:r>
          </w:p>
        </w:tc>
        <w:tc>
          <w:tcPr>
            <w:tcW w:w="1980" w:type="dxa"/>
            <w:vAlign w:val="bottom"/>
            <w:tcBorders>
              <w:bottom w:val="single" w:sz="8" w:color="auto"/>
            </w:tcBorders>
          </w:tcPr>
          <w:p>
            <w:pPr>
              <w:spacing w:after="0"/>
              <w:rPr>
                <w:sz w:val="24"/>
                <w:szCs w:val="24"/>
                <w:color w:val="auto"/>
              </w:rPr>
            </w:pPr>
          </w:p>
        </w:tc>
      </w:tr>
      <w:tr>
        <w:trPr>
          <w:trHeight w:val="138"/>
        </w:trPr>
        <w:tc>
          <w:tcPr>
            <w:tcW w:w="2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120" w:type="dxa"/>
            <w:vAlign w:val="bottom"/>
          </w:tcPr>
          <w:p>
            <w:pPr>
              <w:jc w:val="center"/>
              <w:ind w:right="704"/>
              <w:spacing w:after="0" w:line="138" w:lineRule="exact"/>
              <w:rPr>
                <w:sz w:val="20"/>
                <w:szCs w:val="20"/>
                <w:color w:val="auto"/>
              </w:rPr>
            </w:pPr>
            <w:r>
              <w:rPr>
                <w:rFonts w:ascii="Times New Roman" w:cs="Times New Roman" w:eastAsia="Times New Roman" w:hAnsi="Times New Roman"/>
                <w:sz w:val="15"/>
                <w:szCs w:val="15"/>
                <w:color w:val="auto"/>
              </w:rPr>
              <w:t>Redemption</w:t>
            </w:r>
          </w:p>
        </w:tc>
        <w:tc>
          <w:tcPr>
            <w:tcW w:w="198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left="164"/>
              <w:spacing w:after="0" w:line="162" w:lineRule="exact"/>
              <w:rPr>
                <w:sz w:val="20"/>
                <w:szCs w:val="20"/>
                <w:color w:val="auto"/>
              </w:rPr>
            </w:pPr>
            <w:r>
              <w:rPr>
                <w:rFonts w:ascii="Times New Roman" w:cs="Times New Roman" w:eastAsia="Times New Roman" w:hAnsi="Times New Roman"/>
                <w:sz w:val="15"/>
                <w:szCs w:val="15"/>
                <w:color w:val="auto"/>
              </w:rPr>
              <w:t>Unfunded</w:t>
            </w:r>
          </w:p>
        </w:tc>
        <w:tc>
          <w:tcPr>
            <w:tcW w:w="3120" w:type="dxa"/>
            <w:vAlign w:val="bottom"/>
          </w:tcPr>
          <w:p>
            <w:pPr>
              <w:jc w:val="center"/>
              <w:ind w:right="704"/>
              <w:spacing w:after="0" w:line="162" w:lineRule="exact"/>
              <w:rPr>
                <w:sz w:val="20"/>
                <w:szCs w:val="20"/>
                <w:color w:val="auto"/>
              </w:rPr>
            </w:pPr>
            <w:r>
              <w:rPr>
                <w:rFonts w:ascii="Times New Roman" w:cs="Times New Roman" w:eastAsia="Times New Roman" w:hAnsi="Times New Roman"/>
                <w:sz w:val="15"/>
                <w:szCs w:val="15"/>
                <w:color w:val="auto"/>
              </w:rPr>
              <w:t>Frequency</w:t>
            </w:r>
          </w:p>
        </w:tc>
        <w:tc>
          <w:tcPr>
            <w:tcW w:w="1980" w:type="dxa"/>
            <w:vAlign w:val="bottom"/>
          </w:tcPr>
          <w:p>
            <w:pPr>
              <w:jc w:val="center"/>
              <w:ind w:right="764"/>
              <w:spacing w:after="0" w:line="162" w:lineRule="exact"/>
              <w:rPr>
                <w:sz w:val="20"/>
                <w:szCs w:val="20"/>
                <w:color w:val="auto"/>
              </w:rPr>
            </w:pPr>
            <w:r>
              <w:rPr>
                <w:rFonts w:ascii="Times New Roman" w:cs="Times New Roman" w:eastAsia="Times New Roman" w:hAnsi="Times New Roman"/>
                <w:sz w:val="15"/>
                <w:szCs w:val="15"/>
                <w:color w:val="auto"/>
              </w:rPr>
              <w:t>Redemption</w:t>
            </w:r>
          </w:p>
        </w:tc>
      </w:tr>
      <w:tr>
        <w:trPr>
          <w:trHeight w:val="179"/>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Description</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tcPr>
          <w:p>
            <w:pPr>
              <w:spacing w:after="0"/>
              <w:rPr>
                <w:sz w:val="15"/>
                <w:szCs w:val="15"/>
                <w:color w:val="auto"/>
              </w:rPr>
            </w:pPr>
          </w:p>
        </w:tc>
        <w:tc>
          <w:tcPr>
            <w:tcW w:w="2060" w:type="dxa"/>
            <w:vAlign w:val="bottom"/>
            <w:tcBorders>
              <w:bottom w:val="single" w:sz="8" w:color="auto"/>
            </w:tcBorders>
          </w:tcPr>
          <w:p>
            <w:pPr>
              <w:jc w:val="center"/>
              <w:ind w:left="164"/>
              <w:spacing w:after="0"/>
              <w:rPr>
                <w:sz w:val="20"/>
                <w:szCs w:val="20"/>
                <w:color w:val="auto"/>
              </w:rPr>
            </w:pPr>
            <w:r>
              <w:rPr>
                <w:rFonts w:ascii="Times New Roman" w:cs="Times New Roman" w:eastAsia="Times New Roman" w:hAnsi="Times New Roman"/>
                <w:sz w:val="15"/>
                <w:szCs w:val="15"/>
                <w:color w:val="auto"/>
              </w:rPr>
              <w:t>Commitments</w:t>
            </w:r>
          </w:p>
        </w:tc>
        <w:tc>
          <w:tcPr>
            <w:tcW w:w="3120" w:type="dxa"/>
            <w:vAlign w:val="bottom"/>
            <w:tcBorders>
              <w:bottom w:val="single" w:sz="8" w:color="auto"/>
            </w:tcBorders>
          </w:tcPr>
          <w:p>
            <w:pPr>
              <w:jc w:val="center"/>
              <w:ind w:right="704"/>
              <w:spacing w:after="0"/>
              <w:rPr>
                <w:sz w:val="20"/>
                <w:szCs w:val="20"/>
                <w:color w:val="auto"/>
              </w:rPr>
            </w:pPr>
            <w:r>
              <w:rPr>
                <w:rFonts w:ascii="Times New Roman" w:cs="Times New Roman" w:eastAsia="Times New Roman" w:hAnsi="Times New Roman"/>
                <w:sz w:val="15"/>
                <w:szCs w:val="15"/>
                <w:color w:val="auto"/>
              </w:rPr>
              <w:t>(If Currently Eligible)</w:t>
            </w:r>
          </w:p>
        </w:tc>
        <w:tc>
          <w:tcPr>
            <w:tcW w:w="1980" w:type="dxa"/>
            <w:vAlign w:val="bottom"/>
            <w:tcBorders>
              <w:bottom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rPr>
              <w:t>Notice Period</w:t>
            </w:r>
          </w:p>
        </w:tc>
      </w:tr>
      <w:tr>
        <w:trPr>
          <w:trHeight w:val="155"/>
        </w:trPr>
        <w:tc>
          <w:tcPr>
            <w:tcW w:w="230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Invesco Stable Value Trust Fund</w:t>
            </w:r>
          </w:p>
        </w:tc>
        <w:tc>
          <w:tcPr>
            <w:tcW w:w="48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3,472,715</w:t>
            </w:r>
          </w:p>
        </w:tc>
        <w:tc>
          <w:tcPr>
            <w:tcW w:w="140" w:type="dxa"/>
            <w:vAlign w:val="bottom"/>
            <w:tcBorders>
              <w:bottom w:val="single" w:sz="8" w:color="CFF0FC"/>
            </w:tcBorders>
            <w:shd w:val="clear" w:color="auto" w:fill="CFF0FC"/>
          </w:tcPr>
          <w:p>
            <w:pPr>
              <w:spacing w:after="0"/>
              <w:rPr>
                <w:sz w:val="13"/>
                <w:szCs w:val="13"/>
                <w:color w:val="auto"/>
              </w:rPr>
            </w:pPr>
          </w:p>
        </w:tc>
        <w:tc>
          <w:tcPr>
            <w:tcW w:w="2060" w:type="dxa"/>
            <w:vAlign w:val="bottom"/>
            <w:tcBorders>
              <w:bottom w:val="single" w:sz="8" w:color="auto"/>
            </w:tcBorders>
            <w:shd w:val="clear" w:color="auto" w:fill="CFF0FC"/>
          </w:tcPr>
          <w:p>
            <w:pPr>
              <w:jc w:val="center"/>
              <w:ind w:left="164"/>
              <w:spacing w:after="0" w:line="156" w:lineRule="exact"/>
              <w:rPr>
                <w:sz w:val="20"/>
                <w:szCs w:val="20"/>
                <w:color w:val="auto"/>
              </w:rPr>
            </w:pPr>
            <w:r>
              <w:rPr>
                <w:rFonts w:ascii="Times New Roman" w:cs="Times New Roman" w:eastAsia="Times New Roman" w:hAnsi="Times New Roman"/>
                <w:sz w:val="15"/>
                <w:szCs w:val="15"/>
                <w:color w:val="auto"/>
              </w:rPr>
              <w:t>N/A</w:t>
            </w:r>
          </w:p>
        </w:tc>
        <w:tc>
          <w:tcPr>
            <w:tcW w:w="3120" w:type="dxa"/>
            <w:vAlign w:val="bottom"/>
            <w:tcBorders>
              <w:bottom w:val="single" w:sz="8" w:color="auto"/>
            </w:tcBorders>
            <w:shd w:val="clear" w:color="auto" w:fill="CFF0FC"/>
          </w:tcPr>
          <w:p>
            <w:pPr>
              <w:jc w:val="center"/>
              <w:ind w:right="704"/>
              <w:spacing w:after="0" w:line="156" w:lineRule="exact"/>
              <w:rPr>
                <w:sz w:val="20"/>
                <w:szCs w:val="20"/>
                <w:color w:val="auto"/>
              </w:rPr>
            </w:pPr>
            <w:r>
              <w:rPr>
                <w:rFonts w:ascii="Times New Roman" w:cs="Times New Roman" w:eastAsia="Times New Roman" w:hAnsi="Times New Roman"/>
                <w:sz w:val="15"/>
                <w:szCs w:val="15"/>
                <w:color w:val="auto"/>
              </w:rPr>
              <w:t>Daily</w:t>
            </w:r>
          </w:p>
        </w:tc>
        <w:tc>
          <w:tcPr>
            <w:tcW w:w="1980" w:type="dxa"/>
            <w:vAlign w:val="bottom"/>
            <w:tcBorders>
              <w:bottom w:val="single" w:sz="8" w:color="auto"/>
            </w:tcBorders>
            <w:shd w:val="clear" w:color="auto" w:fill="CFF0FC"/>
          </w:tcPr>
          <w:p>
            <w:pPr>
              <w:jc w:val="center"/>
              <w:ind w:right="764"/>
              <w:spacing w:after="0" w:line="156" w:lineRule="exact"/>
              <w:rPr>
                <w:sz w:val="20"/>
                <w:szCs w:val="20"/>
                <w:color w:val="auto"/>
              </w:rPr>
            </w:pPr>
            <w:r>
              <w:rPr>
                <w:rFonts w:ascii="Times New Roman" w:cs="Times New Roman" w:eastAsia="Times New Roman" w:hAnsi="Times New Roman"/>
                <w:sz w:val="15"/>
                <w:szCs w:val="15"/>
                <w:color w:val="auto"/>
              </w:rPr>
              <w:t>12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-693420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Culp, Inc. Common Stock</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investment is valued at the closing price reported on the New York Stock Exchange, which is the active market the individual security is traded. This investment is classified within Level 1 of the fair value hierarchy.</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Plan held 207,640 shares and 196,376 shares of the Company’s common stock as of December 31, 2025, and 2024, respectively. The cost basis of these shares of the Company’s common stock was $1,970,986 and $1,253,261 as of December 31, 2025, and 2024,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Money Market Fund</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investment is a public investment vehicle valued using $1 for the NAV. The money market fund is classified within Level 2 of the fair value hierarchy.</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and liabilities measured at fair value on a recurring basis:</w:t>
      </w:r>
    </w:p>
    <w:p>
      <w:pPr>
        <w:spacing w:after="0" w:line="18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Fair value measurements as of December 31, 2025,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Quoted prices</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Significant</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in active</w:t>
            </w:r>
          </w:p>
        </w:tc>
        <w:tc>
          <w:tcPr>
            <w:tcW w:w="3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Significant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markets for</w:t>
            </w:r>
          </w:p>
        </w:tc>
        <w:tc>
          <w:tcPr>
            <w:tcW w:w="3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observable</w:t>
            </w:r>
          </w:p>
        </w:tc>
        <w:tc>
          <w:tcPr>
            <w:tcW w:w="2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unobservable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identical assets</w:t>
            </w:r>
          </w:p>
        </w:tc>
        <w:tc>
          <w:tcPr>
            <w:tcW w:w="3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inputs</w:t>
            </w:r>
          </w:p>
        </w:tc>
        <w:tc>
          <w:tcPr>
            <w:tcW w:w="2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Description</w:t>
            </w:r>
          </w:p>
        </w:tc>
        <w:tc>
          <w:tcPr>
            <w:tcW w:w="10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Level 2</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Level 3</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Registered investment companies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38,357,555</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38,357,555</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Culp, Inc. common stock</w:t>
            </w:r>
          </w:p>
        </w:tc>
        <w:tc>
          <w:tcPr>
            <w:tcW w:w="108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739,327</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739,327</w:t>
            </w:r>
          </w:p>
        </w:tc>
        <w:tc>
          <w:tcPr>
            <w:tcW w:w="120" w:type="dxa"/>
            <w:vAlign w:val="bottom"/>
            <w:shd w:val="clear" w:color="auto" w:fill="CFF0FC"/>
          </w:tcPr>
          <w:p>
            <w:pPr>
              <w:spacing w:after="0"/>
              <w:rPr>
                <w:sz w:val="17"/>
                <w:szCs w:val="17"/>
                <w:color w:val="auto"/>
              </w:rPr>
            </w:pPr>
          </w:p>
        </w:tc>
      </w:tr>
      <w:tr>
        <w:trPr>
          <w:trHeight w:val="189"/>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Pooled Separate Accounts - T. Rowe Price</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Retirement Series</w:t>
            </w:r>
          </w:p>
        </w:tc>
        <w:tc>
          <w:tcPr>
            <w:tcW w:w="10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7,364,105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7,364,105</w:t>
            </w:r>
          </w:p>
        </w:tc>
        <w:tc>
          <w:tcPr>
            <w:tcW w:w="120" w:type="dxa"/>
            <w:vAlign w:val="bottom"/>
          </w:tcPr>
          <w:p>
            <w:pPr>
              <w:spacing w:after="0"/>
              <w:rPr>
                <w:sz w:val="18"/>
                <w:szCs w:val="18"/>
                <w:color w:val="auto"/>
              </w:rPr>
            </w:pPr>
          </w:p>
        </w:tc>
      </w:tr>
      <w:tr>
        <w:trPr>
          <w:trHeight w:val="206"/>
        </w:trPr>
        <w:tc>
          <w:tcPr>
            <w:tcW w:w="4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Money market fund</w:t>
            </w:r>
          </w:p>
        </w:tc>
        <w:tc>
          <w:tcPr>
            <w:tcW w:w="10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32,578</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 in the fair value hierarchy</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39,096,882</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7,396,683</w:t>
            </w: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46,493,565</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Investments at net asset value, as a practical expedient:</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and collective trust fund</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2,973,527</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49,467,092</w:t>
            </w:r>
          </w:p>
        </w:tc>
        <w:tc>
          <w:tcPr>
            <w:tcW w:w="120" w:type="dxa"/>
            <w:vAlign w:val="bottom"/>
            <w:shd w:val="clear" w:color="auto" w:fill="CFF0FC"/>
          </w:tcPr>
          <w:p>
            <w:pPr>
              <w:spacing w:after="0"/>
              <w:rPr>
                <w:sz w:val="18"/>
                <w:szCs w:val="18"/>
                <w:color w:val="auto"/>
              </w:rPr>
            </w:pPr>
          </w:p>
        </w:tc>
      </w:tr>
      <w:tr>
        <w:trPr>
          <w:trHeight w:val="20"/>
        </w:trPr>
        <w:tc>
          <w:tcPr>
            <w:tcW w:w="45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788"/>
        </w:trPr>
        <w:tc>
          <w:tcPr>
            <w:tcW w:w="4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December 31, 2024, using:</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5"/>
        </w:trPr>
        <w:tc>
          <w:tcPr>
            <w:tcW w:w="4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Quoted prices</w:t>
            </w:r>
          </w:p>
        </w:tc>
        <w:tc>
          <w:tcPr>
            <w:tcW w:w="30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Significant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in active</w:t>
            </w:r>
          </w:p>
        </w:tc>
        <w:tc>
          <w:tcPr>
            <w:tcW w:w="3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7"/>
              </w:rPr>
              <w:t>other</w:t>
            </w:r>
          </w:p>
        </w:tc>
        <w:tc>
          <w:tcPr>
            <w:tcW w:w="2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Significant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markets for</w:t>
            </w:r>
          </w:p>
        </w:tc>
        <w:tc>
          <w:tcPr>
            <w:tcW w:w="30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observable</w:t>
            </w:r>
          </w:p>
        </w:tc>
        <w:tc>
          <w:tcPr>
            <w:tcW w:w="2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unobservable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3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inputs</w:t>
            </w:r>
          </w:p>
        </w:tc>
        <w:tc>
          <w:tcPr>
            <w:tcW w:w="2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inputs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Description</w:t>
            </w:r>
          </w:p>
        </w:tc>
        <w:tc>
          <w:tcPr>
            <w:tcW w:w="10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Level 1</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Level 2</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Level 3</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Registered investment companies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40,077,354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40,077,354</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Culp, Inc. common stock</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1,153,883</w:t>
            </w: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1,153,883</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Money market fund</w:t>
            </w:r>
          </w:p>
        </w:tc>
        <w:tc>
          <w:tcPr>
            <w:tcW w:w="10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43,493</w:t>
            </w:r>
          </w:p>
        </w:tc>
        <w:tc>
          <w:tcPr>
            <w:tcW w:w="120" w:type="dxa"/>
            <w:vAlign w:val="bottom"/>
          </w:tcPr>
          <w:p>
            <w:pPr>
              <w:spacing w:after="0"/>
              <w:rPr>
                <w:sz w:val="17"/>
                <w:szCs w:val="17"/>
                <w:color w:val="auto"/>
              </w:rPr>
            </w:pPr>
          </w:p>
        </w:tc>
      </w:tr>
      <w:tr>
        <w:trPr>
          <w:trHeight w:val="19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investments in the fair value hierarchy</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41,231,237</w:t>
            </w: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43,493</w:t>
            </w: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41,274,730</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Investments at net asset value, as a practical expedient:</w:t>
            </w:r>
          </w:p>
        </w:tc>
        <w:tc>
          <w:tcPr>
            <w:tcW w:w="10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Common and collective trust fund</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3,472,715</w:t>
            </w:r>
          </w:p>
        </w:tc>
        <w:tc>
          <w:tcPr>
            <w:tcW w:w="120" w:type="dxa"/>
            <w:vAlign w:val="bottom"/>
          </w:tcPr>
          <w:p>
            <w:pPr>
              <w:spacing w:after="0"/>
              <w:rPr>
                <w:sz w:val="17"/>
                <w:szCs w:val="17"/>
                <w:color w:val="auto"/>
              </w:rPr>
            </w:pPr>
          </w:p>
        </w:tc>
      </w:tr>
      <w:tr>
        <w:trPr>
          <w:trHeight w:val="203"/>
        </w:trPr>
        <w:tc>
          <w:tcPr>
            <w:tcW w:w="4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right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right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44,747,445</w:t>
            </w:r>
          </w:p>
        </w:tc>
        <w:tc>
          <w:tcPr>
            <w:tcW w:w="120" w:type="dxa"/>
            <w:vAlign w:val="bottom"/>
          </w:tcPr>
          <w:p>
            <w:pPr>
              <w:spacing w:after="0"/>
              <w:rPr>
                <w:sz w:val="17"/>
                <w:szCs w:val="17"/>
                <w:color w:val="auto"/>
              </w:rPr>
            </w:pP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-3325495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-3325495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-3325495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-3325495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-2536825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-2519680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-2536825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-2519680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-2536825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-2519680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-161925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-161925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-161925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EXEMPT PARTY-IN-INTEREST TRANSACTIONS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2025, 2024, and 2023, Plan investments include shares of the Company’s common stock and therefore, transactions associated with the Company’s common stock qualify as party-in-interest.</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Empower Retirement, a wholly owned subsidiary of Great West Life &amp; Annuity Insurance Company has served as Plan administrator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CULP, INC. EMPLOYEES' RETIREMENT BUILDER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YEARS ENDED DECEMBER 31, 2025, 2024 AND 2023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ADMINISTRATIVE EXPENSES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Administrative fees paid directly by the Plan to Raymond James Financial Services for investment advisory and other administrative services were $92,302, $86,499, and $82,400 during the years ended December 31, 2025, 2024, and 2023, respectively.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Administrative fees paid directly by the Plan to GreerWalker LLP for audit services were $28,600, $27,000, and $25,000 during the years ended December 31, 2025, 2024, and 2023, respectively.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Administrative fees paid directly by the Plan to Empower Annuity Insurance Company of America were $21,375, $13,950, and $12,594 during the years ended December 31, 2025,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administrative fees were paid directly by the Plan to Smith Leonard PLLC for audit services during the year ended December 31,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fees paid directly by the Plan to Smith Leonard PLLC for audit services were $1,000 and $2,000 during the years ended</w:t>
      </w:r>
    </w:p>
    <w:p>
      <w:pPr>
        <w:spacing w:after="0"/>
        <w:rPr>
          <w:sz w:val="20"/>
          <w:szCs w:val="20"/>
          <w:color w:val="auto"/>
        </w:rPr>
      </w:pPr>
      <w:r>
        <w:rPr>
          <w:rFonts w:ascii="Times New Roman" w:cs="Times New Roman" w:eastAsia="Times New Roman" w:hAnsi="Times New Roman"/>
          <w:sz w:val="20"/>
          <w:szCs w:val="20"/>
          <w:color w:val="auto"/>
        </w:rPr>
        <w:t>December 31,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PLAN TERMINATION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at any time and to terminate the Plan subject to the provisions of ERISA.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TAX STATUS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Plan has adopted a prototype plan document sponsored by the Plan’s trustee. The Internal Revenue Service has determined and informed the Plan’s trustee by a letter dated November 11, 2022, that the Plan is designed and in compliance with the applicable requirements of the IRC. The Plan administrator and the Plan’s tax counsel believe that the Plan is designed and is currently being operated in compliance with the applicable requirements of the IRC and, therefore, believe that the Plan is qualified, and the related trust is tax-exempt.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GAAP requires management to evaluate tax positions taken by the Plan and recognize a tax liability if the Plan has taken an uncertain position that more likely than not would not be sustained upon examination by the taxing authorities. The Plan has analyzed the tax positions taken by the Plan, and has concluded that as of December 31, 2025, and 2024, there are no uncertain positions taken or expected to be taken that would require recognition of a liability or disclosure in the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Plan is subject to routine audits by taxing jurisdictions; however, there are currently no audits of any tax periods in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 - RISKS AND UNCERTAINTIES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Plan invests in various registered investment companies, pooled separate accounts, and a common and collective trust fund. Registered investment companies, pooled separate accounts, and the common and collective trust fund are exposed to various risks, such as market volatility and asset allocation, interest rates, credit, fluctuations in foreign currency exchange rates, geopolitical events, inflation, and unemployment. Due to the level of risk associated with the Plan's investments it is at least reasonably possible that changes in the values of the Plan's investments will occur in the near term and that such changes could materially affect the participants’ account balances and the amounts reported in the 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CULP, INC. EMPLOYEES’ RETIREMENT BUILDER PLAN</w:t>
      </w:r>
    </w:p>
    <w:p>
      <w:pPr>
        <w:spacing w:after="0" w:line="231" w:lineRule="auto"/>
        <w:rPr>
          <w:sz w:val="20"/>
          <w:szCs w:val="20"/>
          <w:color w:val="auto"/>
        </w:rPr>
      </w:pPr>
      <w:r>
        <w:rPr>
          <w:rFonts w:ascii="Arial" w:cs="Arial" w:eastAsia="Arial" w:hAnsi="Arial"/>
          <w:sz w:val="20"/>
          <w:szCs w:val="20"/>
          <w:b w:val="1"/>
          <w:bCs w:val="1"/>
          <w:color w:val="auto"/>
        </w:rPr>
        <w:t>SCHEDULE H, LINE 4i - SCHEDULE OF ASSETS (HELD AT END OF YEAR)</w:t>
      </w:r>
    </w:p>
    <w:p>
      <w:pPr>
        <w:spacing w:after="0" w:line="226" w:lineRule="auto"/>
        <w:rPr>
          <w:sz w:val="20"/>
          <w:szCs w:val="20"/>
          <w:color w:val="auto"/>
        </w:rPr>
      </w:pPr>
      <w:r>
        <w:rPr>
          <w:rFonts w:ascii="Arial" w:cs="Arial" w:eastAsia="Arial" w:hAnsi="Arial"/>
          <w:sz w:val="20"/>
          <w:szCs w:val="20"/>
          <w:b w:val="1"/>
          <w:bCs w:val="1"/>
          <w:color w:val="auto"/>
        </w:rPr>
        <w:t>EIN: 56-1001967</w:t>
      </w:r>
    </w:p>
    <w:p>
      <w:pPr>
        <w:spacing w:after="0" w:line="225" w:lineRule="auto"/>
        <w:rPr>
          <w:sz w:val="20"/>
          <w:szCs w:val="20"/>
          <w:color w:val="auto"/>
        </w:rPr>
      </w:pPr>
      <w:r>
        <w:rPr>
          <w:rFonts w:ascii="Arial" w:cs="Arial" w:eastAsia="Arial" w:hAnsi="Arial"/>
          <w:sz w:val="20"/>
          <w:szCs w:val="20"/>
          <w:b w:val="1"/>
          <w:bCs w:val="1"/>
          <w:color w:val="auto"/>
        </w:rPr>
        <w:t>PLAN NUMBER: 001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2025</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Current</w:t>
            </w:r>
          </w:p>
        </w:tc>
      </w:tr>
      <w:tr>
        <w:trPr>
          <w:trHeight w:val="213"/>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4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(b) Borrower, Lessor or Similar Party</w:t>
            </w:r>
          </w:p>
        </w:tc>
        <w:tc>
          <w:tcPr>
            <w:tcW w:w="31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color w:val="auto"/>
              </w:rPr>
              <w:t>(c) Description of Investment</w:t>
            </w: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 Cost **</w:t>
            </w: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spacing w:after="0"/>
              <w:rPr>
                <w:sz w:val="18"/>
                <w:szCs w:val="18"/>
                <w:color w:val="auto"/>
              </w:rPr>
            </w:pPr>
          </w:p>
        </w:tc>
        <w:tc>
          <w:tcPr>
            <w:tcW w:w="10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color w:val="auto"/>
              </w:rPr>
              <w:t>Value</w:t>
            </w:r>
          </w:p>
        </w:tc>
        <w:tc>
          <w:tcPr>
            <w:tcW w:w="100" w:type="dxa"/>
            <w:vAlign w:val="bottom"/>
          </w:tcPr>
          <w:p>
            <w:pPr>
              <w:spacing w:after="0"/>
              <w:rPr>
                <w:sz w:val="18"/>
                <w:szCs w:val="18"/>
                <w:color w:val="auto"/>
              </w:rPr>
            </w:pPr>
          </w:p>
        </w:tc>
      </w:tr>
      <w:tr>
        <w:trPr>
          <w:trHeight w:val="199"/>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Moderate Allocation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311,010</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6,189,101</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Franklin Dynatech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32,014</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5,963,476</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Value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96,199</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4,807,064</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MFS Total Return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219,183</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4,217,073</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Growth Allocation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117,547</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2,965,705</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Invesco Stable Value Trust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2,973,527</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2,973,527</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Core Equity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54,516</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2,723,060</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MFS Aggressive Growth Allocation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85,673</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2,712,405</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International Diversification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68,243</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1,870,543</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2035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152,154</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1,850,636</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American Century Mid Cap Value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115,244</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1,697,550</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JP Morgan Small Cap Growth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74,941</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1,313,721</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 Rowe Price Retirement 2045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98,589</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1,228,367</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2030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88,865</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1,062,583</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Pioneer Bond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123,493</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1,054,627</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MFS Conservative Allocation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51,251</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858,963</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DWS RREEF Real Estate Securities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36,584</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773,019</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2055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61,032</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763,963</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MFS Corporate Bond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53,314</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669,095</w:t>
            </w:r>
          </w:p>
        </w:tc>
        <w:tc>
          <w:tcPr>
            <w:tcW w:w="100" w:type="dxa"/>
            <w:vAlign w:val="bottom"/>
            <w:shd w:val="clear" w:color="auto" w:fill="CFF0FC"/>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2040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47,495</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585,249</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Lord Abbett Bond Debenture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74,574</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542,156</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2060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41,929</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524,842</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 Rowe Price Retirement 2050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40,793</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509,941</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2015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42,217</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493,190</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 Rowe Price Retirement 2025 Fund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29,144</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343,781</w:t>
            </w:r>
          </w:p>
        </w:tc>
        <w:tc>
          <w:tcPr>
            <w:tcW w:w="100" w:type="dxa"/>
            <w:vAlign w:val="bottom"/>
            <w:shd w:val="clear" w:color="auto" w:fill="CFF0FC"/>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 Rowe Price Retirement 2020 Fund</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17"/>
                <w:szCs w:val="17"/>
                <w:color w:val="auto"/>
              </w:rPr>
            </w:pPr>
          </w:p>
        </w:tc>
      </w:tr>
      <w:tr>
        <w:trPr>
          <w:trHeight w:val="203"/>
        </w:trPr>
        <w:tc>
          <w:tcPr>
            <w:tcW w:w="520" w:type="dxa"/>
            <w:vAlign w:val="bottom"/>
            <w:shd w:val="clear" w:color="auto" w:fill="CFF0FC"/>
          </w:tcPr>
          <w:p>
            <w:pPr>
              <w:spacing w:after="0"/>
              <w:rPr>
                <w:sz w:val="17"/>
                <w:szCs w:val="17"/>
                <w:color w:val="auto"/>
              </w:rPr>
            </w:pPr>
          </w:p>
        </w:tc>
        <w:tc>
          <w:tcPr>
            <w:tcW w:w="4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Fidelity Colchester Street Trust Government Portfolio</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32,578</w:t>
            </w:r>
          </w:p>
        </w:tc>
        <w:tc>
          <w:tcPr>
            <w:tcW w:w="1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920" w:type="dxa"/>
            <w:vAlign w:val="bottom"/>
            <w:gridSpan w:val="4"/>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32,578</w:t>
            </w:r>
          </w:p>
        </w:tc>
        <w:tc>
          <w:tcPr>
            <w:tcW w:w="100" w:type="dxa"/>
            <w:vAlign w:val="bottom"/>
            <w:shd w:val="clear" w:color="auto" w:fill="CFF0FC"/>
          </w:tcPr>
          <w:p>
            <w:pPr>
              <w:spacing w:after="0"/>
              <w:rPr>
                <w:sz w:val="17"/>
                <w:szCs w:val="17"/>
                <w:color w:val="auto"/>
              </w:rPr>
            </w:pPr>
          </w:p>
        </w:tc>
      </w:tr>
      <w:tr>
        <w:trPr>
          <w:trHeight w:val="189"/>
        </w:trPr>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Culp, Inc.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207,640</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units</w:t>
            </w:r>
          </w:p>
        </w:tc>
        <w:tc>
          <w:tcPr>
            <w:tcW w:w="1680" w:type="dxa"/>
            <w:vAlign w:val="bottom"/>
            <w:gridSpan w:val="3"/>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739,327</w:t>
            </w:r>
          </w:p>
        </w:tc>
        <w:tc>
          <w:tcPr>
            <w:tcW w:w="100" w:type="dxa"/>
            <w:vAlign w:val="bottom"/>
          </w:tcPr>
          <w:p>
            <w:pPr>
              <w:spacing w:after="0"/>
              <w:rPr>
                <w:sz w:val="16"/>
                <w:szCs w:val="16"/>
                <w:color w:val="auto"/>
              </w:rPr>
            </w:pPr>
          </w:p>
        </w:tc>
      </w:tr>
      <w:tr>
        <w:trPr>
          <w:trHeight w:val="195"/>
        </w:trPr>
        <w:tc>
          <w:tcPr>
            <w:tcW w:w="520" w:type="dxa"/>
            <w:vAlign w:val="bottom"/>
            <w:tcBorders>
              <w:bottom w:val="single" w:sz="8" w:color="CFF0FC"/>
            </w:tcBorders>
            <w:shd w:val="clear" w:color="auto" w:fill="CFF0FC"/>
          </w:tcPr>
          <w:p>
            <w:pPr>
              <w:spacing w:after="0"/>
              <w:rPr>
                <w:sz w:val="17"/>
                <w:szCs w:val="17"/>
                <w:color w:val="auto"/>
              </w:rPr>
            </w:pPr>
          </w:p>
        </w:tc>
        <w:tc>
          <w:tcPr>
            <w:tcW w:w="4540" w:type="dxa"/>
            <w:vAlign w:val="bottom"/>
            <w:tcBorders>
              <w:bottom w:val="single" w:sz="8" w:color="CFF0FC"/>
            </w:tcBorders>
            <w:shd w:val="clear" w:color="auto" w:fill="CFF0FC"/>
          </w:tcPr>
          <w:p>
            <w:pPr>
              <w:spacing w:after="0"/>
              <w:rPr>
                <w:sz w:val="17"/>
                <w:szCs w:val="17"/>
                <w:color w:val="auto"/>
              </w:rPr>
            </w:pPr>
          </w:p>
        </w:tc>
        <w:tc>
          <w:tcPr>
            <w:tcW w:w="19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CFF0FC"/>
            </w:tcBorders>
            <w:gridSpan w:val="3"/>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49,467,092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party-in-interest.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information omitted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960" w:type="dxa"/>
            <w:vAlign w:val="bottom"/>
            <w:gridSpan w:val="4"/>
          </w:tcPr>
          <w:p>
            <w:pPr>
              <w:ind w:left="1860"/>
              <w:spacing w:after="0"/>
              <w:rPr>
                <w:sz w:val="20"/>
                <w:szCs w:val="20"/>
                <w:color w:val="auto"/>
              </w:rPr>
            </w:pPr>
            <w:r>
              <w:rPr>
                <w:rFonts w:ascii="Arial" w:cs="Arial" w:eastAsia="Arial" w:hAnsi="Arial"/>
                <w:sz w:val="20"/>
                <w:szCs w:val="20"/>
                <w:b w:val="1"/>
                <w:bCs w:val="1"/>
                <w:color w:val="auto"/>
              </w:rPr>
              <w:t>EXHIBIT INDEX</w:t>
            </w:r>
          </w:p>
        </w:tc>
      </w:tr>
      <w:tr>
        <w:trPr>
          <w:trHeight w:val="358"/>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 Description</w:t>
            </w:r>
          </w:p>
        </w:tc>
        <w:tc>
          <w:tcPr>
            <w:tcW w:w="3960" w:type="dxa"/>
            <w:vAlign w:val="bottom"/>
            <w:gridSpan w:val="2"/>
          </w:tcPr>
          <w:p>
            <w:pPr>
              <w:spacing w:after="0"/>
              <w:rPr>
                <w:sz w:val="24"/>
                <w:szCs w:val="24"/>
                <w:color w:val="auto"/>
              </w:rPr>
            </w:pPr>
          </w:p>
        </w:tc>
      </w:tr>
      <w:tr>
        <w:trPr>
          <w:trHeight w:val="4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23.1</w:t>
            </w:r>
          </w:p>
        </w:tc>
        <w:tc>
          <w:tcPr>
            <w:tcW w:w="2580" w:type="dxa"/>
            <w:vAlign w:val="bottom"/>
          </w:tcPr>
          <w:p>
            <w:pPr>
              <w:spacing w:after="0"/>
              <w:rPr>
                <w:sz w:val="24"/>
                <w:szCs w:val="24"/>
                <w:color w:val="auto"/>
              </w:rPr>
            </w:pPr>
          </w:p>
        </w:tc>
        <w:tc>
          <w:tcPr>
            <w:tcW w:w="5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in connection</w:t>
            </w:r>
          </w:p>
        </w:tc>
      </w:tr>
      <w:tr>
        <w:trPr>
          <w:trHeight w:val="196"/>
        </w:trPr>
        <w:tc>
          <w:tcPr>
            <w:tcW w:w="1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with registration statement of Culp, Inc. on Form S-8 (File No. 33-13310)</w:t>
            </w:r>
          </w:p>
        </w:tc>
      </w:tr>
      <w:tr>
        <w:trPr>
          <w:trHeight w:val="20"/>
        </w:trPr>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4" w:name="page15"/>
    <w:bookmarkEnd w:id="14"/>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has duly caused this annual report to be signed on its behalf by the undersigned 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CULP, INC. EMPLOYEES' RETIREMENT BUILDER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Culp, Inc., Plan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Culp, Inc. Retirement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 Robert G. Culp, IV</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 Kenneth R. Bowling</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/s/Teresa A. Huffman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Teresa A. Huffman</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ind w:left="6460"/>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Retirement Committee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Culp, Inc. Employees’ Retirement Builder Plan</w:t>
      </w:r>
    </w:p>
    <w:p>
      <w:pPr>
        <w:spacing w:after="0"/>
        <w:rPr>
          <w:sz w:val="20"/>
          <w:szCs w:val="20"/>
          <w:color w:val="auto"/>
        </w:rPr>
      </w:pPr>
      <w:r>
        <w:rPr>
          <w:rFonts w:ascii="Times New Roman" w:cs="Times New Roman" w:eastAsia="Times New Roman" w:hAnsi="Times New Roman"/>
          <w:sz w:val="20"/>
          <w:szCs w:val="20"/>
          <w:color w:val="auto"/>
        </w:rPr>
        <w:t>High Point, North Carolina</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333-207195 on Form S-8 of Culp, Inc. Employee’s Retirement Builder Plan (the “Plan”) for our report dated June 18, 2026, with respect to the statements of net assets available for benefits of the Plan as of December 31, 2025 and 2024, the related statements of changes in net assets available for benefits for the years then ended, and the related and ERISA-required supplemental schedules as of December 31, 2025, which report appears in the December 31, 2025 annual report on Form 11-K of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GreerWalker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lvl w:ilvl="1">
      <w:lvlJc w:val="left"/>
      <w:lvlText w:val="%2."/>
      <w:numFmt w:val="decimal"/>
      <w:start w:val="1"/>
    </w:lvl>
  </w:abstractNum>
  <w:abstractNum w:abstractNumId="3">
    <w:nsid w:val="625558EC"/>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2026-06-18T11:13:46Z</dcterms:created>
  <dcterms:modified xsi:type="dcterms:W3CDTF">2026-06-18T11:13:46Z</dcterms:modified>
</cp:coreProperties>
</file>