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January 29, 2023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2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29"/>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27265-1402</w:t>
            </w:r>
          </w:p>
        </w:tc>
      </w:tr>
      <w:tr>
        <w:trPr>
          <w:trHeight w:val="229"/>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(zip code)</w:t>
            </w:r>
          </w:p>
        </w:tc>
      </w:tr>
      <w:tr>
        <w:trPr>
          <w:trHeight w:val="37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jc w:val="center"/>
              <w:ind w:right="1113"/>
              <w:spacing w:after="0"/>
              <w:rPr>
                <w:sz w:val="20"/>
                <w:szCs w:val="20"/>
                <w:color w:val="auto"/>
              </w:rPr>
            </w:pPr>
            <w:r>
              <w:rPr>
                <w:rFonts w:ascii="Times New Roman" w:cs="Times New Roman" w:eastAsia="Times New Roman" w:hAnsi="Times New Roman"/>
                <w:sz w:val="20"/>
                <w:szCs w:val="20"/>
                <w:b w:val="1"/>
                <w:bCs w:val="1"/>
                <w:color w:val="auto"/>
                <w:w w:val="99"/>
              </w:rPr>
              <w:t>(336) 889-5161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8"/>
        </w:trPr>
        <w:tc>
          <w:tcPr>
            <w:tcW w:w="7760" w:type="dxa"/>
            <w:vAlign w:val="bottom"/>
            <w:gridSpan w:val="6"/>
          </w:tcPr>
          <w:p>
            <w:pPr>
              <w:jc w:val="center"/>
              <w:ind w:left="3394"/>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480" w:type="dxa"/>
            <w:vAlign w:val="bottom"/>
          </w:tcPr>
          <w:p>
            <w:pPr>
              <w:spacing w:after="0"/>
              <w:rPr>
                <w:sz w:val="22"/>
                <w:szCs w:val="22"/>
                <w:color w:val="auto"/>
              </w:rPr>
            </w:pPr>
          </w:p>
        </w:tc>
      </w:tr>
      <w:tr>
        <w:trPr>
          <w:trHeight w:val="378"/>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6"/>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42"/>
        </w:trPr>
        <w:tc>
          <w:tcPr>
            <w:tcW w:w="49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jc w:val="center"/>
              <w:ind w:right="1073"/>
              <w:spacing w:after="0"/>
              <w:rPr>
                <w:sz w:val="20"/>
                <w:szCs w:val="20"/>
                <w:color w:val="auto"/>
              </w:rPr>
            </w:pPr>
            <w:r>
              <w:rPr>
                <w:rFonts w:ascii="Times New Roman" w:cs="Times New Roman" w:eastAsia="Times New Roman" w:hAnsi="Times New Roman"/>
                <w:sz w:val="16"/>
                <w:szCs w:val="16"/>
                <w:b w:val="1"/>
                <w:bCs w:val="1"/>
                <w:color w:val="auto"/>
              </w:rPr>
              <w:t>CULP</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39"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97"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4"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96" w:lineRule="exact"/>
        <w:rPr>
          <w:sz w:val="24"/>
          <w:szCs w:val="24"/>
          <w:color w:val="auto"/>
        </w:rPr>
      </w:pPr>
    </w:p>
    <w:p>
      <w:pPr>
        <w:spacing w:after="0" w:line="263"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82"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March 8, 2023: 12,311,583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20" w:type="dxa"/>
            <w:vAlign w:val="bottom"/>
            <w:gridSpan w:val="10"/>
          </w:tcPr>
          <w:p>
            <w:pPr>
              <w:ind w:left="40"/>
              <w:spacing w:after="0"/>
              <w:rPr>
                <w:sz w:val="20"/>
                <w:szCs w:val="20"/>
                <w:color w:val="auto"/>
              </w:rPr>
            </w:pPr>
            <w:r>
              <w:rPr>
                <w:rFonts w:ascii="Times New Roman" w:cs="Times New Roman" w:eastAsia="Times New Roman" w:hAnsi="Times New Roman"/>
                <w:sz w:val="20"/>
                <w:szCs w:val="20"/>
                <w:b w:val="1"/>
                <w:bCs w:val="1"/>
                <w:color w:val="auto"/>
              </w:rPr>
              <w:t>INDEX TO FORM 10-Q</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80" w:type="dxa"/>
            <w:vAlign w:val="bottom"/>
            <w:gridSpan w:val="12"/>
          </w:tcPr>
          <w:p>
            <w:pPr>
              <w:ind w:left="300"/>
              <w:spacing w:after="0"/>
              <w:rPr>
                <w:sz w:val="20"/>
                <w:szCs w:val="20"/>
                <w:color w:val="auto"/>
              </w:rPr>
            </w:pPr>
            <w:r>
              <w:rPr>
                <w:rFonts w:ascii="Times New Roman" w:cs="Times New Roman" w:eastAsia="Times New Roman" w:hAnsi="Times New Roman"/>
                <w:sz w:val="20"/>
                <w:szCs w:val="20"/>
                <w:b w:val="1"/>
                <w:bCs w:val="1"/>
                <w:color w:val="auto"/>
              </w:rPr>
              <w:t>For the period ended January 29, 2023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5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440" w:type="dxa"/>
            <w:vAlign w:val="bottom"/>
            <w:tcBorders>
              <w:top w:val="single" w:sz="8" w:color="auto"/>
            </w:tcBorders>
            <w:gridSpan w:val="5"/>
          </w:tcPr>
          <w:p>
            <w:pPr>
              <w:spacing w:after="0"/>
              <w:rPr>
                <w:sz w:val="24"/>
                <w:szCs w:val="24"/>
                <w:color w:val="auto"/>
              </w:rPr>
            </w:pPr>
          </w:p>
        </w:tc>
        <w:tc>
          <w:tcPr>
            <w:tcW w:w="358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w w:val="98"/>
              </w:rPr>
              <w:t>Consolidated Statements of Net (Loss) Income — Three Months and Nine Months Ended January 29, 2023, and January</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FF"/>
                <w:w w:val="91"/>
              </w:rPr>
              <w:t>30, 2022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Comprehensive (Loss) Income – Three Months and Nine Months Ended January 29, 2023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0000FF"/>
              </w:rPr>
              <w:t>and January 30, 2022</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Balance Sheets — January 29, 2023, January 30 2022, and May 1, 2022</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Cash Flows — Nine Months Ended January 29, 2023, and January 30, 2022</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Nine Months Ended January 29, 2023</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520" w:type="dxa"/>
            <w:vAlign w:val="bottom"/>
            <w:tcBorders>
              <w:left w:val="single" w:sz="8" w:color="0000EE"/>
            </w:tcBorders>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Nine Months Ended January 30, 2022</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Cautionary Statement Concerning Forward-Looking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I-47</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8"/>
              </w:rPr>
              <w:t>Part II - Other Information</w:t>
            </w:r>
          </w:p>
        </w:tc>
        <w:tc>
          <w:tcPr>
            <w:tcW w:w="362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gridSpan w:val="9"/>
            <w:shd w:val="clear" w:color="auto" w:fill="0000FF"/>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6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c>
          <w:tcPr>
            <w:tcW w:w="0" w:type="dxa"/>
            <w:vAlign w:val="bottom"/>
          </w:tcPr>
          <w:p>
            <w:pPr>
              <w:spacing w:after="0"/>
              <w:rPr>
                <w:sz w:val="1"/>
                <w:szCs w:val="1"/>
                <w:color w:val="auto"/>
              </w:rPr>
            </w:pPr>
          </w:p>
        </w:tc>
      </w:tr>
      <w:tr>
        <w:trPr>
          <w:trHeight w:val="797"/>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THE THREE MONTHS ENDED JANUARY 29, 2023, AND JANUARY 30, 2022</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sales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sales</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Gross profit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Restructuring expense</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(Loss) income from operations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income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expense</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(Loss) income before income taxes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per share - basic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per share - diluted</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shares outstanding, basic</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shares outstanding, diluted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428"/>
              <w:spacing w:after="0" w:line="158"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488"/>
              <w:spacing w:after="0" w:line="158" w:lineRule="exact"/>
              <w:rPr>
                <w:sz w:val="20"/>
                <w:szCs w:val="20"/>
                <w:color w:val="auto"/>
              </w:rPr>
            </w:pPr>
            <w:r>
              <w:rPr>
                <w:rFonts w:ascii="Times New Roman" w:cs="Times New Roman" w:eastAsia="Times New Roman" w:hAnsi="Times New Roman"/>
                <w:sz w:val="14"/>
                <w:szCs w:val="14"/>
                <w:color w:val="auto"/>
              </w:rPr>
              <w:t>January 30,</w:t>
            </w:r>
          </w:p>
        </w:tc>
      </w:tr>
      <w:tr>
        <w:trPr>
          <w:trHeight w:val="187"/>
        </w:trPr>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2022</w:t>
            </w:r>
          </w:p>
        </w:tc>
      </w:tr>
      <w:tr>
        <w:trPr>
          <w:trHeight w:val="158"/>
        </w:trPr>
        <w:tc>
          <w:tcPr>
            <w:tcW w:w="24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52,523</w:t>
            </w:r>
          </w:p>
        </w:tc>
        <w:tc>
          <w:tcPr>
            <w:tcW w:w="44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80,291</w:t>
            </w:r>
          </w:p>
        </w:tc>
      </w:tr>
      <w:tr>
        <w:trPr>
          <w:trHeight w:val="187"/>
        </w:trPr>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(50,430 )</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(71,181 )</w:t>
            </w:r>
          </w:p>
        </w:tc>
      </w:tr>
      <w:tr>
        <w:trPr>
          <w:trHeight w:val="158"/>
        </w:trPr>
        <w:tc>
          <w:tcPr>
            <w:tcW w:w="240" w:type="dxa"/>
            <w:vAlign w:val="bottom"/>
          </w:tcPr>
          <w:p>
            <w:pPr>
              <w:spacing w:after="0"/>
              <w:rPr>
                <w:sz w:val="13"/>
                <w:szCs w:val="13"/>
                <w:color w:val="auto"/>
              </w:rPr>
            </w:pPr>
          </w:p>
        </w:tc>
        <w:tc>
          <w:tcPr>
            <w:tcW w:w="140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2,093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9,110</w:t>
            </w:r>
          </w:p>
        </w:tc>
      </w:tr>
      <w:tr>
        <w:trPr>
          <w:trHeight w:val="175"/>
        </w:trPr>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(9,165 )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(8,007 )</w:t>
            </w:r>
          </w:p>
        </w:tc>
      </w:tr>
      <w:tr>
        <w:trPr>
          <w:trHeight w:val="187"/>
        </w:trPr>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(711 )</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240" w:type="dxa"/>
            <w:vAlign w:val="bottom"/>
          </w:tcPr>
          <w:p>
            <w:pPr>
              <w:spacing w:after="0"/>
              <w:rPr>
                <w:sz w:val="13"/>
                <w:szCs w:val="13"/>
                <w:color w:val="auto"/>
              </w:rPr>
            </w:pPr>
          </w:p>
        </w:tc>
        <w:tc>
          <w:tcPr>
            <w:tcW w:w="14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(7,783 )</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1,103</w:t>
            </w:r>
          </w:p>
        </w:tc>
      </w:tr>
      <w:tr>
        <w:trPr>
          <w:trHeight w:val="175"/>
        </w:trPr>
        <w:tc>
          <w:tcPr>
            <w:tcW w:w="2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w:t>
            </w:r>
          </w:p>
        </w:tc>
      </w:tr>
      <w:tr>
        <w:trPr>
          <w:trHeight w:val="187"/>
        </w:trPr>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(1,095 )</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(322 )</w:t>
            </w:r>
          </w:p>
        </w:tc>
      </w:tr>
      <w:tr>
        <w:trPr>
          <w:trHeight w:val="158"/>
        </w:trPr>
        <w:tc>
          <w:tcPr>
            <w:tcW w:w="240" w:type="dxa"/>
            <w:vAlign w:val="bottom"/>
          </w:tcPr>
          <w:p>
            <w:pPr>
              <w:spacing w:after="0"/>
              <w:rPr>
                <w:sz w:val="13"/>
                <w:szCs w:val="13"/>
                <w:color w:val="auto"/>
              </w:rPr>
            </w:pPr>
          </w:p>
        </w:tc>
        <w:tc>
          <w:tcPr>
            <w:tcW w:w="14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(8,682 )</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995</w:t>
            </w:r>
          </w:p>
        </w:tc>
      </w:tr>
      <w:tr>
        <w:trPr>
          <w:trHeight w:val="187"/>
        </w:trPr>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(286 )</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(1,284 )</w:t>
            </w:r>
          </w:p>
        </w:tc>
      </w:tr>
      <w:tr>
        <w:trPr>
          <w:trHeight w:val="169"/>
        </w:trPr>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(8,968 )</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(289 )</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20"/>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(0.73 )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(0.02 )</w:t>
            </w:r>
          </w:p>
        </w:tc>
      </w:tr>
      <w:tr>
        <w:trPr>
          <w:trHeight w:val="175"/>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(0.73 )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(0.02 )</w:t>
            </w:r>
          </w:p>
        </w:tc>
      </w:tr>
      <w:tr>
        <w:trPr>
          <w:trHeight w:val="176"/>
        </w:trPr>
        <w:tc>
          <w:tcPr>
            <w:tcW w:w="2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12,299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12,212</w:t>
            </w:r>
          </w:p>
        </w:tc>
      </w:tr>
      <w:tr>
        <w:trPr>
          <w:trHeight w:val="190"/>
        </w:trPr>
        <w:tc>
          <w:tcPr>
            <w:tcW w:w="24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12,299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-1844675</wp:posOffset>
            </wp:positionV>
            <wp:extent cx="7132320" cy="111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-1613535</wp:posOffset>
            </wp:positionV>
            <wp:extent cx="713232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-1390650</wp:posOffset>
            </wp:positionV>
            <wp:extent cx="713232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-927735</wp:posOffset>
            </wp:positionV>
            <wp:extent cx="7132320"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-695960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-335915</wp:posOffset>
            </wp:positionV>
            <wp:extent cx="71323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-113030</wp:posOffset>
            </wp:positionV>
            <wp:extent cx="7132320"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480"/>
          </w:cols>
          <w:pgMar w:left="320" w:top="114" w:right="3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04040"/>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404040"/>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04040"/>
        </w:rPr>
        <w:t>CONSOLIDATED STATEMENTS OF NET (LOSS) INCOME</w:t>
      </w:r>
    </w:p>
    <w:p>
      <w:pPr>
        <w:jc w:val="center"/>
        <w:spacing w:after="0"/>
        <w:rPr>
          <w:sz w:val="20"/>
          <w:szCs w:val="20"/>
          <w:color w:val="auto"/>
        </w:rPr>
      </w:pPr>
      <w:r>
        <w:rPr>
          <w:rFonts w:ascii="Times New Roman" w:cs="Times New Roman" w:eastAsia="Times New Roman" w:hAnsi="Times New Roman"/>
          <w:sz w:val="20"/>
          <w:szCs w:val="20"/>
          <w:b w:val="1"/>
          <w:bCs w:val="1"/>
          <w:color w:val="404040"/>
        </w:rPr>
        <w:t>FOR THE NINE MONTHS ENDED JANUARY 29, 2023, AND JANUARY 30, 2022</w:t>
      </w:r>
    </w:p>
    <w:p>
      <w:pPr>
        <w:jc w:val="center"/>
        <w:spacing w:after="0"/>
        <w:rPr>
          <w:sz w:val="20"/>
          <w:szCs w:val="20"/>
          <w:color w:val="auto"/>
        </w:rPr>
      </w:pPr>
      <w:r>
        <w:rPr>
          <w:rFonts w:ascii="Times New Roman" w:cs="Times New Roman" w:eastAsia="Times New Roman" w:hAnsi="Times New Roman"/>
          <w:sz w:val="20"/>
          <w:szCs w:val="20"/>
          <w:b w:val="1"/>
          <w:bCs w:val="1"/>
          <w:color w:val="404040"/>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404040"/>
        </w:rPr>
        <w:t>(Amounts in Thousands, Except for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58"/>
        </w:trPr>
        <w:tc>
          <w:tcPr>
            <w:tcW w:w="77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428"/>
              <w:spacing w:after="0" w:line="158"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388"/>
              <w:spacing w:after="0" w:line="158" w:lineRule="exact"/>
              <w:rPr>
                <w:sz w:val="20"/>
                <w:szCs w:val="20"/>
                <w:color w:val="auto"/>
              </w:rPr>
            </w:pPr>
            <w:r>
              <w:rPr>
                <w:rFonts w:ascii="Times New Roman" w:cs="Times New Roman" w:eastAsia="Times New Roman" w:hAnsi="Times New Roman"/>
                <w:sz w:val="14"/>
                <w:szCs w:val="14"/>
                <w:color w:val="auto"/>
              </w:rPr>
              <w:t>January 30,</w:t>
            </w:r>
          </w:p>
        </w:tc>
        <w:tc>
          <w:tcPr>
            <w:tcW w:w="100" w:type="dxa"/>
            <w:vAlign w:val="bottom"/>
          </w:tcPr>
          <w:p>
            <w:pPr>
              <w:spacing w:after="0"/>
              <w:rPr>
                <w:sz w:val="13"/>
                <w:szCs w:val="13"/>
                <w:color w:val="auto"/>
              </w:rPr>
            </w:pPr>
          </w:p>
        </w:tc>
      </w:tr>
      <w:tr>
        <w:trPr>
          <w:trHeight w:val="187"/>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r>
      <w:tr>
        <w:trPr>
          <w:trHeight w:val="16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173,508</w:t>
            </w:r>
          </w:p>
        </w:tc>
        <w:tc>
          <w:tcPr>
            <w:tcW w:w="1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237,899</w:t>
            </w: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(169,500 )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(205,563 )</w:t>
            </w:r>
          </w:p>
        </w:tc>
      </w:tr>
      <w:tr>
        <w:trPr>
          <w:trHeight w:val="169"/>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4,008</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32,336</w:t>
            </w:r>
          </w:p>
        </w:tc>
        <w:tc>
          <w:tcPr>
            <w:tcW w:w="100" w:type="dxa"/>
            <w:vAlign w:val="bottom"/>
            <w:shd w:val="clear" w:color="auto" w:fill="CFF0FC"/>
          </w:tcPr>
          <w:p>
            <w:pPr>
              <w:spacing w:after="0"/>
              <w:rPr>
                <w:sz w:val="14"/>
                <w:szCs w:val="14"/>
                <w:color w:val="auto"/>
              </w:rPr>
            </w:pPr>
          </w:p>
        </w:tc>
      </w:tr>
      <w:tr>
        <w:trPr>
          <w:trHeight w:val="17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(27,133 )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(26,275 )</w:t>
            </w:r>
          </w:p>
        </w:tc>
      </w:tr>
      <w:tr>
        <w:trPr>
          <w:trHeight w:val="17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Restructuring expense</w:t>
            </w:r>
          </w:p>
        </w:tc>
        <w:tc>
          <w:tcPr>
            <w:tcW w:w="2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(1,326 )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income from operations</w:t>
            </w:r>
          </w:p>
        </w:tc>
        <w:tc>
          <w:tcPr>
            <w:tcW w:w="2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(24,451 )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100" w:type="dxa"/>
            <w:vAlign w:val="bottom"/>
          </w:tcPr>
          <w:p>
            <w:pPr>
              <w:spacing w:after="0"/>
              <w:rPr>
                <w:sz w:val="14"/>
                <w:szCs w:val="14"/>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2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(348 )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(963 )</w:t>
            </w:r>
          </w:p>
        </w:tc>
      </w:tr>
      <w:tr>
        <w:trPr>
          <w:trHeight w:val="169"/>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24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(24,507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00" w:type="dxa"/>
            <w:vAlign w:val="bottom"/>
            <w:shd w:val="clear" w:color="auto" w:fill="CFF0FC"/>
          </w:tcPr>
          <w:p>
            <w:pPr>
              <w:spacing w:after="0"/>
              <w:rPr>
                <w:sz w:val="14"/>
                <w:szCs w:val="14"/>
                <w:color w:val="auto"/>
              </w:rPr>
            </w:pPr>
          </w:p>
        </w:tc>
      </w:tr>
      <w:tr>
        <w:trPr>
          <w:trHeight w:val="17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(2,332 )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(2,633 )</w:t>
            </w:r>
          </w:p>
        </w:tc>
      </w:tr>
      <w:tr>
        <w:trPr>
          <w:trHeight w:val="209"/>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(26,839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44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332"/>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per share - basic</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(2.19 )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Pr>
          <w:p>
            <w:pPr>
              <w:spacing w:after="0"/>
              <w:rPr>
                <w:sz w:val="24"/>
                <w:szCs w:val="24"/>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income per share - diluted</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(2.19 )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shares outstanding, basic</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12,249</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shares outstanding, diluted</w:t>
            </w: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12,272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12,341</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-1276985</wp:posOffset>
            </wp:positionV>
            <wp:extent cx="685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-582295</wp:posOffset>
            </wp:positionV>
            <wp:extent cx="1234440" cy="248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2489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AND NINE MONTHS ENDED JANUARY 29, 2023, AND JANUARY 30,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January 29,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January 30,</w:t>
            </w:r>
          </w:p>
        </w:tc>
      </w:tr>
      <w:tr>
        <w:trPr>
          <w:trHeight w:val="240"/>
        </w:trPr>
        <w:tc>
          <w:tcPr>
            <w:tcW w:w="7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Borders>
              <w:bottom w:val="single" w:sz="8" w:color="auto"/>
            </w:tcBorders>
          </w:tcPr>
          <w:p>
            <w:pPr>
              <w:spacing w:after="0"/>
              <w:rPr>
                <w:sz w:val="20"/>
                <w:szCs w:val="20"/>
                <w:color w:val="auto"/>
              </w:rPr>
            </w:pPr>
          </w:p>
        </w:tc>
      </w:tr>
      <w:tr>
        <w:trPr>
          <w:trHeight w:val="22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(8,968 )</w:t>
            </w: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(289 )</w:t>
            </w:r>
          </w:p>
        </w:tc>
      </w:tr>
      <w:tr>
        <w:trPr>
          <w:trHeight w:val="221"/>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holding gain (loss) on investments, net of tax</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(229 )</w:t>
            </w:r>
          </w:p>
        </w:tc>
      </w:tr>
      <w:tr>
        <w:trPr>
          <w:trHeight w:val="232"/>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Reclassification adjustment for realized loss on sale of investments</w:t>
            </w: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auto"/>
            </w:tcBorders>
            <w:shd w:val="clear" w:color="auto" w:fill="CFF0FC"/>
          </w:tcPr>
          <w:p>
            <w:pPr>
              <w:spacing w:after="0"/>
              <w:rPr>
                <w:sz w:val="20"/>
                <w:szCs w:val="20"/>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(8,926 )</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(486 )</w:t>
            </w:r>
          </w:p>
        </w:tc>
      </w:tr>
      <w:tr>
        <w:trPr>
          <w:trHeight w:val="20"/>
        </w:trPr>
        <w:tc>
          <w:tcPr>
            <w:tcW w:w="7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93"/>
        </w:trPr>
        <w:tc>
          <w:tcPr>
            <w:tcW w:w="7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January 29,</w:t>
            </w: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January 30,</w:t>
            </w:r>
          </w:p>
        </w:tc>
        <w:tc>
          <w:tcPr>
            <w:tcW w:w="100" w:type="dxa"/>
            <w:vAlign w:val="bottom"/>
          </w:tcPr>
          <w:p>
            <w:pPr>
              <w:spacing w:after="0"/>
              <w:rPr>
                <w:sz w:val="18"/>
                <w:szCs w:val="18"/>
                <w:color w:val="auto"/>
              </w:rPr>
            </w:pPr>
          </w:p>
        </w:tc>
      </w:tr>
      <w:tr>
        <w:trPr>
          <w:trHeight w:val="240"/>
        </w:trPr>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20"/>
                <w:szCs w:val="20"/>
                <w:color w:val="auto"/>
              </w:rPr>
            </w:pPr>
          </w:p>
        </w:tc>
      </w:tr>
      <w:tr>
        <w:trPr>
          <w:trHeight w:val="22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(26,839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shd w:val="clear" w:color="auto" w:fill="CFF0FC"/>
          </w:tcPr>
          <w:p>
            <w:pPr>
              <w:spacing w:after="0"/>
              <w:rPr>
                <w:sz w:val="19"/>
                <w:szCs w:val="19"/>
                <w:color w:val="auto"/>
              </w:rPr>
            </w:pPr>
          </w:p>
        </w:tc>
      </w:tr>
      <w:tr>
        <w:trPr>
          <w:trHeight w:val="449"/>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holding loss on investments, net of tax</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(86 )</w:t>
            </w:r>
          </w:p>
        </w:tc>
      </w:tr>
      <w:tr>
        <w:trPr>
          <w:trHeight w:val="23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Reclassification adjustment for realized loss on investments</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(26,850 )</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-1576705</wp:posOffset>
            </wp:positionV>
            <wp:extent cx="10287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-179070</wp:posOffset>
            </wp:positionV>
            <wp:extent cx="685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JANUARY 29, 2023, JANUARY 30, 2022, AND MAY 1,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January 29,</w:t>
            </w:r>
          </w:p>
        </w:tc>
        <w:tc>
          <w:tcPr>
            <w:tcW w:w="100" w:type="dxa"/>
            <w:vAlign w:val="bottom"/>
          </w:tcPr>
          <w:p>
            <w:pPr>
              <w:spacing w:after="0"/>
              <w:rPr>
                <w:sz w:val="18"/>
                <w:szCs w:val="18"/>
                <w:color w:val="auto"/>
              </w:rPr>
            </w:pP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January 30,</w:t>
            </w:r>
          </w:p>
        </w:tc>
        <w:tc>
          <w:tcPr>
            <w:tcW w:w="120" w:type="dxa"/>
            <w:vAlign w:val="bottom"/>
          </w:tcPr>
          <w:p>
            <w:pPr>
              <w:spacing w:after="0"/>
              <w:rPr>
                <w:sz w:val="18"/>
                <w:szCs w:val="18"/>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 May 1,</w:t>
            </w:r>
          </w:p>
        </w:tc>
        <w:tc>
          <w:tcPr>
            <w:tcW w:w="0" w:type="dxa"/>
            <w:vAlign w:val="bottom"/>
          </w:tcPr>
          <w:p>
            <w:pPr>
              <w:spacing w:after="0"/>
              <w:rPr>
                <w:sz w:val="1"/>
                <w:szCs w:val="1"/>
                <w:color w:val="auto"/>
              </w:rPr>
            </w:pPr>
          </w:p>
        </w:tc>
      </w:tr>
      <w:tr>
        <w:trPr>
          <w:trHeight w:val="242"/>
        </w:trPr>
        <w:tc>
          <w:tcPr>
            <w:tcW w:w="6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20" w:type="dxa"/>
            <w:vAlign w:val="bottom"/>
            <w:tcBorders>
              <w:bottom w:val="single" w:sz="8" w:color="auto"/>
            </w:tcBorders>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1560" w:type="dxa"/>
            <w:vAlign w:val="bottom"/>
            <w:tcBorders>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16,725</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11,780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14,550</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2,420</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21,241</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38,998</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22,226</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47,627</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73,133</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66,557</w:t>
            </w:r>
          </w:p>
        </w:tc>
        <w:tc>
          <w:tcPr>
            <w:tcW w:w="0" w:type="dxa"/>
            <w:vAlign w:val="bottom"/>
          </w:tcPr>
          <w:p>
            <w:pPr>
              <w:spacing w:after="0"/>
              <w:rPr>
                <w:sz w:val="1"/>
                <w:szCs w:val="1"/>
                <w:color w:val="auto"/>
              </w:rPr>
            </w:pPr>
          </w:p>
        </w:tc>
      </w:tr>
      <w:tr>
        <w:trPr>
          <w:trHeight w:val="221"/>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1,950</w:t>
            </w:r>
          </w:p>
        </w:tc>
        <w:tc>
          <w:tcPr>
            <w:tcW w:w="10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238</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367</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2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2,839</w:t>
            </w:r>
          </w:p>
        </w:tc>
        <w:tc>
          <w:tcPr>
            <w:tcW w:w="15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4,419</w:t>
            </w:r>
          </w:p>
        </w:tc>
        <w:tc>
          <w:tcPr>
            <w:tcW w:w="15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2,986</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93,040</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130,450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107,176</w:t>
            </w:r>
          </w:p>
        </w:tc>
        <w:tc>
          <w:tcPr>
            <w:tcW w:w="0" w:type="dxa"/>
            <w:vAlign w:val="bottom"/>
          </w:tcPr>
          <w:p>
            <w:pPr>
              <w:spacing w:after="0"/>
              <w:rPr>
                <w:sz w:val="1"/>
                <w:szCs w:val="1"/>
                <w:color w:val="auto"/>
              </w:rPr>
            </w:pP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37,192</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42,778</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41,702</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8,913</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16,595</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15,577</w:t>
            </w:r>
          </w:p>
        </w:tc>
        <w:tc>
          <w:tcPr>
            <w:tcW w:w="0" w:type="dxa"/>
            <w:vAlign w:val="bottom"/>
          </w:tcPr>
          <w:p>
            <w:pPr>
              <w:spacing w:after="0"/>
              <w:rPr>
                <w:sz w:val="1"/>
                <w:szCs w:val="1"/>
                <w:color w:val="auto"/>
              </w:rPr>
            </w:pP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2,346</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2,722</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7,725</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9,223</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9,357</w:t>
            </w:r>
          </w:p>
        </w:tc>
        <w:tc>
          <w:tcPr>
            <w:tcW w:w="0" w:type="dxa"/>
            <w:vAlign w:val="bottom"/>
          </w:tcPr>
          <w:p>
            <w:pPr>
              <w:spacing w:after="0"/>
              <w:rPr>
                <w:sz w:val="1"/>
                <w:szCs w:val="1"/>
                <w:color w:val="auto"/>
              </w:rPr>
            </w:pP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8,677</w:t>
            </w:r>
          </w:p>
        </w:tc>
        <w:tc>
          <w:tcPr>
            <w:tcW w:w="12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463</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919</w:t>
            </w:r>
          </w:p>
        </w:tc>
        <w:tc>
          <w:tcPr>
            <w:tcW w:w="15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622</w:t>
            </w:r>
          </w:p>
        </w:tc>
        <w:tc>
          <w:tcPr>
            <w:tcW w:w="15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63"/>
        </w:trPr>
        <w:tc>
          <w:tcPr>
            <w:tcW w:w="6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150,598</w:t>
            </w:r>
          </w:p>
        </w:tc>
        <w:tc>
          <w:tcPr>
            <w:tcW w:w="15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211,567</w:t>
            </w:r>
          </w:p>
        </w:tc>
        <w:tc>
          <w:tcPr>
            <w:tcW w:w="15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177,563</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22,540</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46,690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20,099</w:t>
            </w:r>
          </w:p>
        </w:tc>
        <w:tc>
          <w:tcPr>
            <w:tcW w:w="0" w:type="dxa"/>
            <w:vAlign w:val="bottom"/>
          </w:tcPr>
          <w:p>
            <w:pPr>
              <w:spacing w:after="0"/>
              <w:rPr>
                <w:sz w:val="1"/>
                <w:szCs w:val="1"/>
                <w:color w:val="auto"/>
              </w:rPr>
            </w:pPr>
          </w:p>
        </w:tc>
      </w:tr>
      <w:tr>
        <w:trPr>
          <w:trHeight w:val="221"/>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25</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2,785</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3,295</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3,219</w:t>
            </w:r>
          </w:p>
        </w:tc>
        <w:tc>
          <w:tcPr>
            <w:tcW w:w="0" w:type="dxa"/>
            <w:vAlign w:val="bottom"/>
          </w:tcPr>
          <w:p>
            <w:pPr>
              <w:spacing w:after="0"/>
              <w:rPr>
                <w:sz w:val="1"/>
                <w:szCs w:val="1"/>
                <w:color w:val="auto"/>
              </w:rPr>
            </w:pPr>
          </w:p>
        </w:tc>
      </w:tr>
      <w:tr>
        <w:trPr>
          <w:trHeight w:val="221"/>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2,420</w:t>
            </w:r>
          </w:p>
        </w:tc>
        <w:tc>
          <w:tcPr>
            <w:tcW w:w="10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1,430</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21"/>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6,701</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8,446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7,832</w:t>
            </w:r>
          </w:p>
        </w:tc>
        <w:tc>
          <w:tcPr>
            <w:tcW w:w="0" w:type="dxa"/>
            <w:vAlign w:val="bottom"/>
          </w:tcPr>
          <w:p>
            <w:pPr>
              <w:spacing w:after="0"/>
              <w:rPr>
                <w:sz w:val="1"/>
                <w:szCs w:val="1"/>
                <w:color w:val="auto"/>
              </w:rPr>
            </w:pPr>
          </w:p>
        </w:tc>
      </w:tr>
      <w:tr>
        <w:trPr>
          <w:trHeight w:val="232"/>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467</w:t>
            </w:r>
          </w:p>
        </w:tc>
        <w:tc>
          <w:tcPr>
            <w:tcW w:w="15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240</w:t>
            </w:r>
          </w:p>
        </w:tc>
        <w:tc>
          <w:tcPr>
            <w:tcW w:w="15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21"/>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36,368</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59,222</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32,556</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4,399</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7,848</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7,062</w:t>
            </w:r>
          </w:p>
        </w:tc>
        <w:tc>
          <w:tcPr>
            <w:tcW w:w="0" w:type="dxa"/>
            <w:vAlign w:val="bottom"/>
          </w:tcPr>
          <w:p>
            <w:pPr>
              <w:spacing w:after="0"/>
              <w:rPr>
                <w:sz w:val="1"/>
                <w:szCs w:val="1"/>
                <w:color w:val="auto"/>
              </w:rPr>
            </w:pP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2,648</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3,099</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6,089</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5,484</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7,590</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9,180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9,343</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57,094</w:t>
            </w:r>
          </w:p>
        </w:tc>
        <w:tc>
          <w:tcPr>
            <w:tcW w:w="1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84,833</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58,062</w:t>
            </w: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9, 15, and 16)</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outstanding 12,311,583 at January 29, 2023; 12,218,067 at January 30, 2022,</w:t>
            </w:r>
          </w:p>
        </w:tc>
        <w:tc>
          <w:tcPr>
            <w:tcW w:w="18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616</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12,228,629 at May 1, 2022</w:t>
            </w:r>
          </w:p>
        </w:tc>
        <w:tc>
          <w:tcPr>
            <w:tcW w:w="180" w:type="dxa"/>
            <w:vAlign w:val="bottom"/>
            <w:shd w:val="clear" w:color="auto" w:fill="CFF0FC"/>
          </w:tcPr>
          <w:p>
            <w:pPr>
              <w:spacing w:after="0"/>
              <w:rPr>
                <w:sz w:val="19"/>
                <w:szCs w:val="19"/>
                <w:color w:val="auto"/>
              </w:rPr>
            </w:pPr>
          </w:p>
        </w:tc>
        <w:tc>
          <w:tcPr>
            <w:tcW w:w="1280" w:type="dxa"/>
            <w:vAlign w:val="bottom"/>
            <w:vMerge w:val="continue"/>
            <w:shd w:val="clear" w:color="auto" w:fill="CFF0FC"/>
          </w:tcPr>
          <w:p>
            <w:pPr>
              <w:spacing w:after="0"/>
              <w:rPr>
                <w:sz w:val="19"/>
                <w:szCs w:val="19"/>
                <w:color w:val="auto"/>
              </w:rPr>
            </w:pP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21"/>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43,992</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42,890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43,143</w:t>
            </w:r>
          </w:p>
        </w:tc>
        <w:tc>
          <w:tcPr>
            <w:tcW w:w="0" w:type="dxa"/>
            <w:vAlign w:val="bottom"/>
          </w:tcPr>
          <w:p>
            <w:pPr>
              <w:spacing w:after="0"/>
              <w:rPr>
                <w:sz w:val="1"/>
                <w:szCs w:val="1"/>
                <w:color w:val="auto"/>
              </w:rPr>
            </w:pPr>
          </w:p>
        </w:tc>
      </w:tr>
      <w:tr>
        <w:trPr>
          <w:trHeight w:val="238"/>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earnings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48,875</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83,145</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75,715</w:t>
            </w:r>
          </w:p>
        </w:tc>
        <w:tc>
          <w:tcPr>
            <w:tcW w:w="0" w:type="dxa"/>
            <w:vAlign w:val="bottom"/>
          </w:tcPr>
          <w:p>
            <w:pPr>
              <w:spacing w:after="0"/>
              <w:rPr>
                <w:sz w:val="1"/>
                <w:szCs w:val="1"/>
                <w:color w:val="auto"/>
              </w:rPr>
            </w:pPr>
          </w:p>
        </w:tc>
      </w:tr>
      <w:tr>
        <w:trPr>
          <w:trHeight w:val="22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w:t>
            </w:r>
          </w:p>
        </w:tc>
        <w:tc>
          <w:tcPr>
            <w:tcW w:w="15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5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93,504</w:t>
            </w:r>
          </w:p>
        </w:tc>
        <w:tc>
          <w:tcPr>
            <w:tcW w:w="15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126,734</w:t>
            </w:r>
          </w:p>
        </w:tc>
        <w:tc>
          <w:tcPr>
            <w:tcW w:w="15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119,501</w:t>
            </w:r>
          </w:p>
        </w:tc>
        <w:tc>
          <w:tcPr>
            <w:tcW w:w="0" w:type="dxa"/>
            <w:vAlign w:val="bottom"/>
          </w:tcPr>
          <w:p>
            <w:pPr>
              <w:spacing w:after="0"/>
              <w:rPr>
                <w:sz w:val="1"/>
                <w:szCs w:val="1"/>
                <w:color w:val="auto"/>
              </w:rPr>
            </w:pPr>
          </w:p>
        </w:tc>
      </w:tr>
      <w:tr>
        <w:trPr>
          <w:trHeight w:val="223"/>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150,598</w:t>
            </w:r>
          </w:p>
        </w:tc>
        <w:tc>
          <w:tcPr>
            <w:tcW w:w="15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211,567</w:t>
            </w:r>
          </w:p>
        </w:tc>
        <w:tc>
          <w:tcPr>
            <w:tcW w:w="15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177,563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29, 2023, AND JANUARY 30,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7"/>
        </w:trPr>
        <w:tc>
          <w:tcPr>
            <w:tcW w:w="7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14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January 30,</w:t>
            </w:r>
          </w:p>
        </w:tc>
      </w:tr>
      <w:tr>
        <w:trPr>
          <w:trHeight w:val="213"/>
        </w:trPr>
        <w:tc>
          <w:tcPr>
            <w:tcW w:w="7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2022</w:t>
            </w:r>
          </w:p>
        </w:tc>
      </w:tr>
      <w:tr>
        <w:trPr>
          <w:trHeight w:val="169"/>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r>
      <w:tr>
        <w:trPr>
          <w:trHeight w:val="176"/>
        </w:trPr>
        <w:tc>
          <w:tcPr>
            <w:tcW w:w="7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(26,839 )</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2,812</w:t>
            </w:r>
          </w:p>
        </w:tc>
      </w:tr>
      <w:tr>
        <w:trPr>
          <w:trHeight w:val="139"/>
        </w:trPr>
        <w:tc>
          <w:tcPr>
            <w:tcW w:w="79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income to net cash provided by</w:t>
            </w:r>
          </w:p>
        </w:tc>
        <w:tc>
          <w:tcPr>
            <w:tcW w:w="24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r>
      <w:tr>
        <w:trPr>
          <w:trHeight w:val="185"/>
        </w:trPr>
        <w:tc>
          <w:tcPr>
            <w:tcW w:w="7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(used in) operating activities:</w:t>
            </w:r>
          </w:p>
        </w:tc>
        <w:tc>
          <w:tcPr>
            <w:tcW w:w="24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r>
      <w:tr>
        <w:trPr>
          <w:trHeight w:val="175"/>
        </w:trPr>
        <w:tc>
          <w:tcPr>
            <w:tcW w:w="7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5,228</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5,203</w:t>
            </w:r>
          </w:p>
        </w:tc>
      </w:tr>
      <w:tr>
        <w:trPr>
          <w:trHeight w:val="176"/>
        </w:trPr>
        <w:tc>
          <w:tcPr>
            <w:tcW w:w="7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Non-cash inventory charges</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6,301</w:t>
            </w: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1,407</w:t>
            </w:r>
          </w:p>
        </w:tc>
      </w:tr>
      <w:tr>
        <w:trPr>
          <w:trHeight w:val="175"/>
        </w:trPr>
        <w:tc>
          <w:tcPr>
            <w:tcW w:w="7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323</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417</w:t>
            </w:r>
          </w:p>
        </w:tc>
      </w:tr>
      <w:tr>
        <w:trPr>
          <w:trHeight w:val="176"/>
        </w:trPr>
        <w:tc>
          <w:tcPr>
            <w:tcW w:w="7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887</w:t>
            </w: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880</w:t>
            </w:r>
          </w:p>
        </w:tc>
      </w:tr>
      <w:tr>
        <w:trPr>
          <w:trHeight w:val="176"/>
        </w:trPr>
        <w:tc>
          <w:tcPr>
            <w:tcW w:w="7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150</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w:t>
            </w:r>
          </w:p>
        </w:tc>
      </w:tr>
      <w:tr>
        <w:trPr>
          <w:trHeight w:val="175"/>
        </w:trPr>
        <w:tc>
          <w:tcPr>
            <w:tcW w:w="7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Realized loss from the sale of short-term investments available for sale</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r>
      <w:tr>
        <w:trPr>
          <w:trHeight w:val="176"/>
        </w:trPr>
        <w:tc>
          <w:tcPr>
            <w:tcW w:w="7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Gain sale of equipment</w:t>
            </w:r>
          </w:p>
        </w:tc>
        <w:tc>
          <w:tcPr>
            <w:tcW w:w="240" w:type="dxa"/>
            <w:vAlign w:val="bottom"/>
          </w:tcPr>
          <w:p>
            <w:pPr>
              <w:spacing w:after="0"/>
              <w:rPr>
                <w:sz w:val="15"/>
                <w:szCs w:val="15"/>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(312 )</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Non-cash restructuring expenses</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791</w:t>
            </w: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Foreign currency exchange (gain) loss</w:t>
            </w:r>
          </w:p>
        </w:tc>
        <w:tc>
          <w:tcPr>
            <w:tcW w:w="240" w:type="dxa"/>
            <w:vAlign w:val="bottom"/>
          </w:tcPr>
          <w:p>
            <w:pPr>
              <w:spacing w:after="0"/>
              <w:rPr>
                <w:sz w:val="15"/>
                <w:szCs w:val="15"/>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(362 )</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r>
      <w:tr>
        <w:trPr>
          <w:trHeight w:val="175"/>
        </w:trPr>
        <w:tc>
          <w:tcPr>
            <w:tcW w:w="7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176"/>
        </w:trPr>
        <w:tc>
          <w:tcPr>
            <w:tcW w:w="7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954</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(1,228 )</w:t>
            </w:r>
          </w:p>
        </w:tc>
      </w:tr>
      <w:tr>
        <w:trPr>
          <w:trHeight w:val="176"/>
        </w:trPr>
        <w:tc>
          <w:tcPr>
            <w:tcW w:w="7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12,477</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(18,453 )</w:t>
            </w:r>
          </w:p>
        </w:tc>
      </w:tr>
      <w:tr>
        <w:trPr>
          <w:trHeight w:val="175"/>
        </w:trPr>
        <w:tc>
          <w:tcPr>
            <w:tcW w:w="7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Pr>
          <w:p>
            <w:pPr>
              <w:spacing w:after="0"/>
              <w:rPr>
                <w:sz w:val="15"/>
                <w:szCs w:val="15"/>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(39 )</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(571 )</w:t>
            </w:r>
          </w:p>
        </w:tc>
      </w:tr>
      <w:tr>
        <w:trPr>
          <w:trHeight w:val="176"/>
        </w:trPr>
        <w:tc>
          <w:tcPr>
            <w:tcW w:w="7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(76 )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(1,404 )</w:t>
            </w:r>
          </w:p>
        </w:tc>
      </w:tr>
      <w:tr>
        <w:trPr>
          <w:trHeight w:val="175"/>
        </w:trPr>
        <w:tc>
          <w:tcPr>
            <w:tcW w:w="7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Accounts payable – trade</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3,051</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3,865</w:t>
            </w:r>
          </w:p>
        </w:tc>
      </w:tr>
      <w:tr>
        <w:trPr>
          <w:trHeight w:val="176"/>
        </w:trPr>
        <w:tc>
          <w:tcPr>
            <w:tcW w:w="7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910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76"/>
        </w:trPr>
        <w:tc>
          <w:tcPr>
            <w:tcW w:w="7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Accrued expenses and deferred compensation</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885</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(5,130 )</w:t>
            </w:r>
          </w:p>
        </w:tc>
      </w:tr>
      <w:tr>
        <w:trPr>
          <w:trHeight w:val="175"/>
        </w:trPr>
        <w:tc>
          <w:tcPr>
            <w:tcW w:w="79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254</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(612 )</w:t>
            </w:r>
          </w:p>
        </w:tc>
      </w:tr>
      <w:tr>
        <w:trPr>
          <w:trHeight w:val="169"/>
        </w:trPr>
        <w:tc>
          <w:tcPr>
            <w:tcW w:w="79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4,583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(12,369 )</w:t>
            </w:r>
          </w:p>
        </w:tc>
      </w:tr>
      <w:tr>
        <w:trPr>
          <w:trHeight w:val="169"/>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r>
      <w:tr>
        <w:trPr>
          <w:trHeight w:val="175"/>
        </w:trPr>
        <w:tc>
          <w:tcPr>
            <w:tcW w:w="7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tcPr>
          <w:p>
            <w:pPr>
              <w:spacing w:after="0"/>
              <w:rPr>
                <w:sz w:val="15"/>
                <w:szCs w:val="15"/>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(1,602 )</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(5,288 )</w:t>
            </w:r>
          </w:p>
        </w:tc>
      </w:tr>
      <w:tr>
        <w:trPr>
          <w:trHeight w:val="176"/>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the sale of equipment</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465</w:t>
            </w: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the maturity of short-term investments (Held to Maturity)</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3,953</w:t>
            </w:r>
          </w:p>
        </w:tc>
      </w:tr>
      <w:tr>
        <w:trPr>
          <w:trHeight w:val="175"/>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short-term and long-term investments (Held to Maturity)</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(9,751 )</w:t>
            </w:r>
          </w:p>
        </w:tc>
      </w:tr>
      <w:tr>
        <w:trPr>
          <w:trHeight w:val="175"/>
        </w:trPr>
        <w:tc>
          <w:tcPr>
            <w:tcW w:w="7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short-term investments (Available for Sale)</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(4,392 )</w:t>
            </w:r>
          </w:p>
        </w:tc>
      </w:tr>
      <w:tr>
        <w:trPr>
          <w:trHeight w:val="175"/>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the sale of short-term investments (Available for Sale)</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9,442</w:t>
            </w:r>
          </w:p>
        </w:tc>
      </w:tr>
      <w:tr>
        <w:trPr>
          <w:trHeight w:val="176"/>
        </w:trPr>
        <w:tc>
          <w:tcPr>
            <w:tcW w:w="7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the sale of long-term investments (rabbi trust)</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70</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r>
      <w:tr>
        <w:trPr>
          <w:trHeight w:val="175"/>
        </w:trPr>
        <w:tc>
          <w:tcPr>
            <w:tcW w:w="7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long-term investments (rabbi trust)</w:t>
            </w:r>
          </w:p>
        </w:tc>
        <w:tc>
          <w:tcPr>
            <w:tcW w:w="24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(870 )</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(873 )</w:t>
            </w:r>
          </w:p>
        </w:tc>
      </w:tr>
      <w:tr>
        <w:trPr>
          <w:trHeight w:val="169"/>
        </w:trPr>
        <w:tc>
          <w:tcPr>
            <w:tcW w:w="79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(1,937 )</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(6,876 )</w:t>
            </w:r>
          </w:p>
        </w:tc>
      </w:tr>
      <w:tr>
        <w:trPr>
          <w:trHeight w:val="169"/>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r>
      <w:tr>
        <w:trPr>
          <w:trHeight w:val="17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associated with lines of credit</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75"/>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Proceeds associated with lines of credit</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3,000</w:t>
            </w:r>
          </w:p>
        </w:tc>
      </w:tr>
      <w:tr>
        <w:trPr>
          <w:trHeight w:val="175"/>
        </w:trPr>
        <w:tc>
          <w:tcPr>
            <w:tcW w:w="7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paid</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(4,104 )</w:t>
            </w:r>
          </w:p>
        </w:tc>
      </w:tr>
      <w:tr>
        <w:trPr>
          <w:trHeight w:val="176"/>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Common stock repurchased</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(1,752 )</w:t>
            </w:r>
          </w:p>
        </w:tc>
      </w:tr>
      <w:tr>
        <w:trPr>
          <w:trHeight w:val="175"/>
        </w:trPr>
        <w:tc>
          <w:tcPr>
            <w:tcW w:w="7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 surrendered for withholding taxes payable</w:t>
            </w:r>
          </w:p>
        </w:tc>
        <w:tc>
          <w:tcPr>
            <w:tcW w:w="240" w:type="dxa"/>
            <w:vAlign w:val="bottom"/>
          </w:tcPr>
          <w:p>
            <w:pPr>
              <w:spacing w:after="0"/>
              <w:rPr>
                <w:sz w:val="15"/>
                <w:szCs w:val="15"/>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(33 )</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75"/>
        </w:trPr>
        <w:tc>
          <w:tcPr>
            <w:tcW w:w="7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24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(289 )</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(110 )</w:t>
            </w:r>
          </w:p>
        </w:tc>
      </w:tr>
      <w:tr>
        <w:trPr>
          <w:trHeight w:val="169"/>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(322 )</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(6,016 )</w:t>
            </w:r>
          </w:p>
        </w:tc>
      </w:tr>
      <w:tr>
        <w:trPr>
          <w:trHeight w:val="169"/>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(149 )</w:t>
            </w: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r>
      <w:tr>
        <w:trPr>
          <w:trHeight w:val="17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4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2,175</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(25,229 )</w:t>
            </w:r>
          </w:p>
        </w:tc>
      </w:tr>
      <w:tr>
        <w:trPr>
          <w:trHeight w:val="175"/>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14,550</w:t>
            </w: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37,009</w:t>
            </w:r>
          </w:p>
        </w:tc>
      </w:tr>
      <w:tr>
        <w:trPr>
          <w:trHeight w:val="169"/>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16,725</w:t>
            </w: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11,780</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NINE-MONTHS ENDED JANUARY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May 1, 2022 *</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Common stock issued in connection with the</w:t>
      </w:r>
    </w:p>
    <w:p>
      <w:pPr>
        <w:ind w:left="300"/>
        <w:spacing w:after="0" w:line="216" w:lineRule="auto"/>
        <w:rPr>
          <w:sz w:val="20"/>
          <w:szCs w:val="20"/>
          <w:color w:val="auto"/>
        </w:rPr>
      </w:pPr>
      <w:r>
        <w:rPr>
          <w:rFonts w:ascii="Times New Roman" w:cs="Times New Roman" w:eastAsia="Times New Roman" w:hAnsi="Times New Roman"/>
          <w:sz w:val="13"/>
          <w:szCs w:val="13"/>
          <w:color w:val="auto"/>
        </w:rPr>
        <w:t>vesting of performance-based restricted</w:t>
      </w:r>
    </w:p>
    <w:p>
      <w:pPr>
        <w:ind w:left="320"/>
        <w:spacing w:after="0"/>
        <w:rPr>
          <w:sz w:val="20"/>
          <w:szCs w:val="20"/>
          <w:color w:val="auto"/>
        </w:rPr>
      </w:pPr>
      <w:r>
        <w:rPr>
          <w:rFonts w:ascii="Times New Roman" w:cs="Times New Roman" w:eastAsia="Times New Roman" w:hAnsi="Times New Roman"/>
          <w:sz w:val="13"/>
          <w:szCs w:val="13"/>
          <w:color w:val="auto"/>
        </w:rPr>
        <w:t>stock units</w:t>
      </w:r>
    </w:p>
    <w:p>
      <w:pPr>
        <w:jc w:val="right"/>
        <w:ind w:right="2400"/>
        <w:spacing w:after="0" w:line="236" w:lineRule="auto"/>
        <w:rPr>
          <w:sz w:val="20"/>
          <w:szCs w:val="20"/>
          <w:color w:val="auto"/>
        </w:rPr>
      </w:pPr>
      <w:r>
        <w:rPr>
          <w:rFonts w:ascii="Times New Roman" w:cs="Times New Roman" w:eastAsia="Times New Roman" w:hAnsi="Times New Roman"/>
          <w:sz w:val="13"/>
          <w:szCs w:val="13"/>
          <w:color w:val="auto"/>
        </w:rPr>
        <w:t>Common stock issued in connection with the</w:t>
      </w:r>
    </w:p>
    <w:p>
      <w:pPr>
        <w:spacing w:after="0" w:line="1"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3"/>
          <w:szCs w:val="13"/>
          <w:color w:val="auto"/>
        </w:rPr>
        <w:t>vesting of time-based restricted stock units</w:t>
      </w:r>
    </w:p>
    <w:p>
      <w:pPr>
        <w:ind w:left="160"/>
        <w:spacing w:after="0" w:line="236" w:lineRule="auto"/>
        <w:rPr>
          <w:sz w:val="20"/>
          <w:szCs w:val="20"/>
          <w:color w:val="auto"/>
        </w:rPr>
      </w:pPr>
      <w:r>
        <w:rPr>
          <w:rFonts w:ascii="Times New Roman" w:cs="Times New Roman" w:eastAsia="Times New Roman" w:hAnsi="Times New Roman"/>
          <w:sz w:val="13"/>
          <w:szCs w:val="13"/>
          <w:color w:val="auto"/>
        </w:rPr>
        <w:t>Common stock surrendered in connection with</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payroll withholding taxes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July 31, 2022</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Common stock issued in connection with the</w:t>
      </w:r>
    </w:p>
    <w:p>
      <w:pPr>
        <w:ind w:left="300"/>
        <w:spacing w:after="0" w:line="216" w:lineRule="auto"/>
        <w:rPr>
          <w:sz w:val="20"/>
          <w:szCs w:val="20"/>
          <w:color w:val="auto"/>
        </w:rPr>
      </w:pPr>
      <w:r>
        <w:rPr>
          <w:rFonts w:ascii="Times New Roman" w:cs="Times New Roman" w:eastAsia="Times New Roman" w:hAnsi="Times New Roman"/>
          <w:sz w:val="13"/>
          <w:szCs w:val="13"/>
          <w:color w:val="auto"/>
        </w:rPr>
        <w:t>vesting of performance-based restricted</w:t>
      </w:r>
    </w:p>
    <w:p>
      <w:pPr>
        <w:ind w:left="320"/>
        <w:spacing w:after="0"/>
        <w:rPr>
          <w:sz w:val="20"/>
          <w:szCs w:val="20"/>
          <w:color w:val="auto"/>
        </w:rPr>
      </w:pPr>
      <w:r>
        <w:rPr>
          <w:rFonts w:ascii="Times New Roman" w:cs="Times New Roman" w:eastAsia="Times New Roman" w:hAnsi="Times New Roman"/>
          <w:sz w:val="13"/>
          <w:szCs w:val="13"/>
          <w:color w:val="auto"/>
        </w:rPr>
        <w:t>stock units</w:t>
      </w:r>
    </w:p>
    <w:p>
      <w:pPr>
        <w:ind w:left="160"/>
        <w:spacing w:after="0" w:line="236" w:lineRule="auto"/>
        <w:rPr>
          <w:sz w:val="20"/>
          <w:szCs w:val="20"/>
          <w:color w:val="auto"/>
        </w:rPr>
      </w:pPr>
      <w:r>
        <w:rPr>
          <w:rFonts w:ascii="Times New Roman" w:cs="Times New Roman" w:eastAsia="Times New Roman" w:hAnsi="Times New Roman"/>
          <w:sz w:val="13"/>
          <w:szCs w:val="13"/>
          <w:color w:val="auto"/>
        </w:rPr>
        <w:t>Common stock surrendered in connection with</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payroll withholding taxes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October 30, 2022</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Unrealized gain on investments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January 29, 2023</w:t>
      </w:r>
    </w:p>
    <w:p>
      <w:pPr>
        <w:spacing w:after="0" w:line="251" w:lineRule="exact"/>
        <w:rPr>
          <w:sz w:val="20"/>
          <w:szCs w:val="20"/>
          <w:color w:val="auto"/>
        </w:rPr>
      </w:pPr>
    </w:p>
    <w:p>
      <w:pPr>
        <w:ind w:left="400" w:hanging="392"/>
        <w:spacing w:after="0"/>
        <w:tabs>
          <w:tab w:leader="none" w:pos="4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5"/>
              </w:rPr>
              <w:t>Capital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center"/>
              <w:ind w:right="17"/>
              <w:spacing w:after="0"/>
              <w:rPr>
                <w:sz w:val="20"/>
                <w:szCs w:val="20"/>
                <w:color w:val="auto"/>
              </w:rPr>
            </w:pPr>
            <w:r>
              <w:rPr>
                <w:rFonts w:ascii="Times New Roman" w:cs="Times New Roman" w:eastAsia="Times New Roman" w:hAnsi="Times New Roman"/>
                <w:sz w:val="12"/>
                <w:szCs w:val="12"/>
                <w:color w:val="auto"/>
                <w:w w:val="96"/>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6"/>
              </w:rPr>
              <w:t>Contributed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ind w:right="257"/>
              <w:spacing w:after="0"/>
              <w:rPr>
                <w:sz w:val="20"/>
                <w:szCs w:val="20"/>
                <w:color w:val="auto"/>
              </w:rPr>
            </w:pPr>
            <w:r>
              <w:rPr>
                <w:rFonts w:ascii="Times New Roman" w:cs="Times New Roman" w:eastAsia="Times New Roman" w:hAnsi="Times New Roman"/>
                <w:sz w:val="12"/>
                <w:szCs w:val="12"/>
                <w:color w:val="auto"/>
                <w:w w:val="94"/>
              </w:rPr>
              <w:t>Other</w:t>
            </w:r>
          </w:p>
        </w:tc>
        <w:tc>
          <w:tcPr>
            <w:tcW w:w="220" w:type="dxa"/>
            <w:vAlign w:val="bottom"/>
          </w:tcPr>
          <w:p>
            <w:pPr>
              <w:spacing w:after="0"/>
              <w:rPr>
                <w:sz w:val="14"/>
                <w:szCs w:val="14"/>
                <w:color w:val="auto"/>
              </w:rPr>
            </w:pPr>
          </w:p>
        </w:tc>
        <w:tc>
          <w:tcPr>
            <w:tcW w:w="78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87"/>
              </w:rPr>
              <w:t>Total</w:t>
            </w:r>
          </w:p>
        </w:tc>
        <w:tc>
          <w:tcPr>
            <w:tcW w:w="0" w:type="dxa"/>
            <w:vAlign w:val="bottom"/>
          </w:tcPr>
          <w:p>
            <w:pPr>
              <w:spacing w:after="0"/>
              <w:rPr>
                <w:sz w:val="1"/>
                <w:szCs w:val="1"/>
                <w:color w:val="auto"/>
              </w:rPr>
            </w:pPr>
          </w:p>
        </w:tc>
      </w:tr>
      <w:tr>
        <w:trPr>
          <w:trHeight w:val="143"/>
        </w:trPr>
        <w:tc>
          <w:tcPr>
            <w:tcW w:w="1920" w:type="dxa"/>
            <w:vAlign w:val="bottom"/>
            <w:gridSpan w:val="3"/>
            <w:vMerge w:val="restart"/>
          </w:tcPr>
          <w:p>
            <w:pPr>
              <w:jc w:val="right"/>
              <w:ind w:right="557"/>
              <w:spacing w:after="0"/>
              <w:rPr>
                <w:sz w:val="20"/>
                <w:szCs w:val="20"/>
                <w:color w:val="auto"/>
              </w:rPr>
            </w:pPr>
            <w:r>
              <w:rPr>
                <w:rFonts w:ascii="Times New Roman" w:cs="Times New Roman" w:eastAsia="Times New Roman" w:hAnsi="Times New Roman"/>
                <w:sz w:val="13"/>
                <w:szCs w:val="13"/>
                <w:color w:val="auto"/>
              </w:rPr>
              <w:t>Common Stock</w:t>
            </w:r>
          </w:p>
        </w:tc>
        <w:tc>
          <w:tcPr>
            <w:tcW w:w="200" w:type="dxa"/>
            <w:vAlign w:val="bottom"/>
          </w:tcPr>
          <w:p>
            <w:pPr>
              <w:spacing w:after="0"/>
              <w:rPr>
                <w:sz w:val="12"/>
                <w:szCs w:val="12"/>
                <w:color w:val="auto"/>
              </w:rPr>
            </w:pPr>
          </w:p>
        </w:tc>
        <w:tc>
          <w:tcPr>
            <w:tcW w:w="8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color w:val="auto"/>
                <w:w w:val="96"/>
              </w:rPr>
              <w:t>in Excess</w:t>
            </w: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Accumulated</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Comprehensiv</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48"/>
        </w:trPr>
        <w:tc>
          <w:tcPr>
            <w:tcW w:w="1920" w:type="dxa"/>
            <w:vAlign w:val="bottom"/>
            <w:tcBorders>
              <w:bottom w:val="single" w:sz="8" w:color="auto"/>
            </w:tcBorders>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ind w:right="257"/>
              <w:spacing w:after="0"/>
              <w:rPr>
                <w:sz w:val="20"/>
                <w:szCs w:val="20"/>
                <w:color w:val="auto"/>
              </w:rPr>
            </w:pPr>
            <w:r>
              <w:rPr>
                <w:rFonts w:ascii="Times New Roman" w:cs="Times New Roman" w:eastAsia="Times New Roman" w:hAnsi="Times New Roman"/>
                <w:sz w:val="12"/>
                <w:szCs w:val="12"/>
                <w:color w:val="auto"/>
              </w:rPr>
              <w:t>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Amount</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4"/>
              </w:rPr>
              <w:t>of Par Value</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9"/>
              </w:rPr>
              <w:t>Earnings</w:t>
            </w: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Income (Loss)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color w:val="auto"/>
                <w:w w:val="92"/>
              </w:rPr>
              <w:t>Equity</w:t>
            </w:r>
          </w:p>
        </w:tc>
        <w:tc>
          <w:tcPr>
            <w:tcW w:w="0" w:type="dxa"/>
            <w:vAlign w:val="bottom"/>
          </w:tcPr>
          <w:p>
            <w:pPr>
              <w:spacing w:after="0"/>
              <w:rPr>
                <w:sz w:val="1"/>
                <w:szCs w:val="1"/>
                <w:color w:val="auto"/>
              </w:rPr>
            </w:pPr>
          </w:p>
        </w:tc>
      </w:tr>
      <w:tr>
        <w:trPr>
          <w:trHeight w:val="151"/>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12,228,629</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611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43,143</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75,715</w:t>
            </w:r>
          </w:p>
        </w:tc>
        <w:tc>
          <w:tcPr>
            <w:tcW w:w="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32</w:t>
            </w: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119,501</w:t>
            </w:r>
          </w:p>
        </w:tc>
        <w:tc>
          <w:tcPr>
            <w:tcW w:w="0" w:type="dxa"/>
            <w:vAlign w:val="bottom"/>
          </w:tcPr>
          <w:p>
            <w:pPr>
              <w:spacing w:after="0"/>
              <w:rPr>
                <w:sz w:val="1"/>
                <w:szCs w:val="1"/>
                <w:color w:val="auto"/>
              </w:rPr>
            </w:pPr>
          </w:p>
        </w:tc>
      </w:tr>
      <w:tr>
        <w:trPr>
          <w:trHeight w:val="16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(5,699 )</w:t>
            </w:r>
          </w:p>
        </w:tc>
        <w:tc>
          <w:tcPr>
            <w:tcW w:w="2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(5,699 )</w:t>
            </w:r>
          </w:p>
        </w:tc>
        <w:tc>
          <w:tcPr>
            <w:tcW w:w="0" w:type="dxa"/>
            <w:vAlign w:val="bottom"/>
          </w:tcPr>
          <w:p>
            <w:pPr>
              <w:spacing w:after="0"/>
              <w:rPr>
                <w:sz w:val="1"/>
                <w:szCs w:val="1"/>
                <w:color w:val="auto"/>
              </w:rPr>
            </w:pPr>
          </w:p>
        </w:tc>
      </w:tr>
      <w:tr>
        <w:trPr>
          <w:trHeight w:val="16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252</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64"/>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(7 )</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43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913</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7"/>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32,199</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(2 )</w:t>
            </w:r>
          </w:p>
        </w:tc>
        <w:tc>
          <w:tcPr>
            <w:tcW w:w="180" w:type="dxa"/>
            <w:vAlign w:val="bottom"/>
          </w:tcPr>
          <w:p>
            <w:pPr>
              <w:spacing w:after="0"/>
              <w:rPr>
                <w:sz w:val="24"/>
                <w:szCs w:val="2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5"/>
        </w:trPr>
        <w:tc>
          <w:tcPr>
            <w:tcW w:w="9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(6,708 )</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(52 )</w:t>
            </w:r>
          </w:p>
        </w:tc>
        <w:tc>
          <w:tcPr>
            <w:tcW w:w="180" w:type="dxa"/>
            <w:vAlign w:val="bottom"/>
          </w:tcPr>
          <w:p>
            <w:pPr>
              <w:spacing w:after="0"/>
              <w:rPr>
                <w:sz w:val="24"/>
                <w:szCs w:val="2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0" w:type="dxa"/>
            <w:vAlign w:val="bottom"/>
          </w:tcPr>
          <w:p>
            <w:pPr>
              <w:spacing w:after="0"/>
              <w:rPr>
                <w:sz w:val="1"/>
                <w:szCs w:val="1"/>
                <w:color w:val="auto"/>
              </w:rPr>
            </w:pPr>
          </w:p>
        </w:tc>
      </w:tr>
      <w:tr>
        <w:trPr>
          <w:trHeight w:val="165"/>
        </w:trPr>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19,753</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12,274,786</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614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43,340</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70,016</w:t>
            </w:r>
          </w:p>
        </w:tc>
        <w:tc>
          <w:tcPr>
            <w:tcW w:w="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113,995</w:t>
            </w:r>
          </w:p>
        </w:tc>
        <w:tc>
          <w:tcPr>
            <w:tcW w:w="0" w:type="dxa"/>
            <w:vAlign w:val="bottom"/>
          </w:tcPr>
          <w:p>
            <w:pPr>
              <w:spacing w:after="0"/>
              <w:rPr>
                <w:sz w:val="1"/>
                <w:szCs w:val="1"/>
                <w:color w:val="auto"/>
              </w:rPr>
            </w:pPr>
          </w:p>
        </w:tc>
      </w:tr>
      <w:tr>
        <w:trPr>
          <w:trHeight w:val="16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(12,173 )</w:t>
            </w:r>
          </w:p>
        </w:tc>
        <w:tc>
          <w:tcPr>
            <w:tcW w:w="2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(12,173 )</w:t>
            </w:r>
          </w:p>
        </w:tc>
        <w:tc>
          <w:tcPr>
            <w:tcW w:w="0" w:type="dxa"/>
            <w:vAlign w:val="bottom"/>
          </w:tcPr>
          <w:p>
            <w:pPr>
              <w:spacing w:after="0"/>
              <w:rPr>
                <w:sz w:val="1"/>
                <w:szCs w:val="1"/>
                <w:color w:val="auto"/>
              </w:rPr>
            </w:pPr>
          </w:p>
        </w:tc>
      </w:tr>
      <w:tr>
        <w:trPr>
          <w:trHeight w:val="16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313</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64"/>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(46 )</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0" w:type="dxa"/>
            <w:vAlign w:val="bottom"/>
          </w:tcPr>
          <w:p>
            <w:pPr>
              <w:spacing w:after="0"/>
              <w:rPr>
                <w:sz w:val="1"/>
                <w:szCs w:val="1"/>
                <w:color w:val="auto"/>
              </w:rPr>
            </w:pPr>
          </w:p>
        </w:tc>
      </w:tr>
      <w:tr>
        <w:trPr>
          <w:trHeight w:val="43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669</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5"/>
        </w:trPr>
        <w:tc>
          <w:tcPr>
            <w:tcW w:w="9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(20 )</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spacing w:after="0"/>
              <w:rPr>
                <w:sz w:val="24"/>
                <w:szCs w:val="2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5"/>
        </w:trPr>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18,327</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12,293,762</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615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43,671</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57,843</w:t>
            </w:r>
          </w:p>
        </w:tc>
        <w:tc>
          <w:tcPr>
            <w:tcW w:w="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(21 )</w:t>
            </w: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102,108</w:t>
            </w:r>
          </w:p>
        </w:tc>
        <w:tc>
          <w:tcPr>
            <w:tcW w:w="0" w:type="dxa"/>
            <w:vAlign w:val="bottom"/>
          </w:tcPr>
          <w:p>
            <w:pPr>
              <w:spacing w:after="0"/>
              <w:rPr>
                <w:sz w:val="1"/>
                <w:szCs w:val="1"/>
                <w:color w:val="auto"/>
              </w:rPr>
            </w:pPr>
          </w:p>
        </w:tc>
      </w:tr>
      <w:tr>
        <w:trPr>
          <w:trHeight w:val="16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(8,968 )</w:t>
            </w:r>
          </w:p>
        </w:tc>
        <w:tc>
          <w:tcPr>
            <w:tcW w:w="2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(8,968 )</w:t>
            </w:r>
          </w:p>
        </w:tc>
        <w:tc>
          <w:tcPr>
            <w:tcW w:w="0" w:type="dxa"/>
            <w:vAlign w:val="bottom"/>
          </w:tcPr>
          <w:p>
            <w:pPr>
              <w:spacing w:after="0"/>
              <w:rPr>
                <w:sz w:val="1"/>
                <w:szCs w:val="1"/>
                <w:color w:val="auto"/>
              </w:rPr>
            </w:pPr>
          </w:p>
        </w:tc>
      </w:tr>
      <w:tr>
        <w:trPr>
          <w:trHeight w:val="16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322</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62"/>
        </w:trPr>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5"/>
        </w:trPr>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17,821</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12,311,583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616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43,992</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48,875</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93,504</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-2811145</wp:posOffset>
            </wp:positionV>
            <wp:extent cx="71323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-2605405</wp:posOffset>
            </wp:positionV>
            <wp:extent cx="71323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-2399665</wp:posOffset>
            </wp:positionV>
            <wp:extent cx="71323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-1936750</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-1636395</wp:posOffset>
            </wp:positionV>
            <wp:extent cx="71323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-1430655</wp:posOffset>
            </wp:positionV>
            <wp:extent cx="71323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-1225550</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-762635</wp:posOffset>
            </wp:positionV>
            <wp:extent cx="7132320" cy="111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-548005</wp:posOffset>
            </wp:positionV>
            <wp:extent cx="71323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-342265</wp:posOffset>
            </wp:positionV>
            <wp:extent cx="71323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-128270</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40" w:space="500"/>
            <w:col w:w="5900"/>
          </w:cols>
          <w:pgMar w:left="320" w:top="11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NINE-MONTHS ENDED JANUARY 30,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rPr>
              <w:t>Capital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58"/>
              <w:spacing w:after="0"/>
              <w:rPr>
                <w:sz w:val="20"/>
                <w:szCs w:val="20"/>
                <w:color w:val="auto"/>
              </w:rPr>
            </w:pPr>
            <w:r>
              <w:rPr>
                <w:rFonts w:ascii="Times New Roman" w:cs="Times New Roman" w:eastAsia="Times New Roman" w:hAnsi="Times New Roman"/>
                <w:sz w:val="12"/>
                <w:szCs w:val="12"/>
                <w:color w:val="auto"/>
                <w:w w:val="96"/>
              </w:rPr>
              <w:t>Accumulated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00" w:type="dxa"/>
            <w:vAlign w:val="bottom"/>
          </w:tcPr>
          <w:p>
            <w:pPr>
              <w:spacing w:after="0"/>
              <w:rPr>
                <w:sz w:val="14"/>
                <w:szCs w:val="14"/>
                <w:color w:val="auto"/>
              </w:rPr>
            </w:pPr>
          </w:p>
        </w:tc>
        <w:tc>
          <w:tcPr>
            <w:tcW w:w="1980" w:type="dxa"/>
            <w:vAlign w:val="bottom"/>
            <w:gridSpan w:val="3"/>
            <w:vMerge w:val="restart"/>
          </w:tcPr>
          <w:p>
            <w:pPr>
              <w:jc w:val="right"/>
              <w:ind w:right="577"/>
              <w:spacing w:after="0"/>
              <w:rPr>
                <w:sz w:val="20"/>
                <w:szCs w:val="20"/>
                <w:color w:val="auto"/>
              </w:rPr>
            </w:pPr>
            <w:r>
              <w:rPr>
                <w:rFonts w:ascii="Times New Roman" w:cs="Times New Roman" w:eastAsia="Times New Roman" w:hAnsi="Times New Roman"/>
                <w:sz w:val="13"/>
                <w:szCs w:val="13"/>
                <w:color w:val="auto"/>
              </w:rPr>
              <w:t>Common Stock</w:t>
            </w:r>
          </w:p>
        </w:tc>
        <w:tc>
          <w:tcPr>
            <w:tcW w:w="220" w:type="dxa"/>
            <w:vAlign w:val="bottom"/>
          </w:tcPr>
          <w:p>
            <w:pPr>
              <w:spacing w:after="0"/>
              <w:rPr>
                <w:sz w:val="14"/>
                <w:szCs w:val="14"/>
                <w:color w:val="auto"/>
              </w:rPr>
            </w:pPr>
          </w:p>
        </w:tc>
        <w:tc>
          <w:tcPr>
            <w:tcW w:w="86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9"/>
              </w:rPr>
              <w:t>Contributed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58"/>
              <w:spacing w:after="0"/>
              <w:rPr>
                <w:sz w:val="20"/>
                <w:szCs w:val="20"/>
                <w:color w:val="auto"/>
              </w:rPr>
            </w:pPr>
            <w:r>
              <w:rPr>
                <w:rFonts w:ascii="Times New Roman" w:cs="Times New Roman" w:eastAsia="Times New Roman" w:hAnsi="Times New Roman"/>
                <w:sz w:val="12"/>
                <w:szCs w:val="12"/>
                <w:color w:val="auto"/>
                <w:w w:val="94"/>
              </w:rPr>
              <w:t>Other</w:t>
            </w:r>
          </w:p>
        </w:tc>
        <w:tc>
          <w:tcPr>
            <w:tcW w:w="240" w:type="dxa"/>
            <w:vAlign w:val="bottom"/>
          </w:tcPr>
          <w:p>
            <w:pPr>
              <w:spacing w:after="0"/>
              <w:rPr>
                <w:sz w:val="14"/>
                <w:szCs w:val="14"/>
                <w:color w:val="auto"/>
              </w:rPr>
            </w:pP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2"/>
              </w:rPr>
              <w:t>in Excess</w:t>
            </w:r>
          </w:p>
        </w:tc>
        <w:tc>
          <w:tcPr>
            <w:tcW w:w="9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Accumulated</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Amount</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4"/>
              </w:rPr>
              <w:t>of Par Value</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color w:val="auto"/>
                <w:w w:val="94"/>
              </w:rPr>
              <w:t>Income</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5"/>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May 2, 2021 *</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12,312,822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43,807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84,437</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146</w:t>
            </w:r>
          </w:p>
        </w:tc>
        <w:tc>
          <w:tcPr>
            <w:tcW w:w="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129,006</w:t>
            </w:r>
          </w:p>
        </w:tc>
        <w:tc>
          <w:tcPr>
            <w:tcW w:w="0" w:type="dxa"/>
            <w:vAlign w:val="bottom"/>
          </w:tcPr>
          <w:p>
            <w:pPr>
              <w:spacing w:after="0"/>
              <w:rPr>
                <w:sz w:val="1"/>
                <w:szCs w:val="1"/>
                <w:color w:val="auto"/>
              </w:rPr>
            </w:pPr>
          </w:p>
        </w:tc>
      </w:tr>
      <w:tr>
        <w:trPr>
          <w:trHeight w:val="162"/>
        </w:trPr>
        <w:tc>
          <w:tcPr>
            <w:tcW w:w="5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2,250</w:t>
            </w:r>
          </w:p>
        </w:tc>
        <w:tc>
          <w:tcPr>
            <w:tcW w:w="16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2,250</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274</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62"/>
        </w:trPr>
        <w:tc>
          <w:tcPr>
            <w:tcW w:w="5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148</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30"/>
        </w:trPr>
        <w:tc>
          <w:tcPr>
            <w:tcW w:w="520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shd w:val="clear" w:color="auto" w:fill="CFF0FC"/>
          </w:tcPr>
          <w:p>
            <w:pPr>
              <w:ind w:left="320"/>
              <w:spacing w:after="0" w:line="135" w:lineRule="exact"/>
              <w:rPr>
                <w:sz w:val="20"/>
                <w:szCs w:val="20"/>
                <w:color w:val="auto"/>
              </w:rPr>
            </w:pPr>
            <w:r>
              <w:rPr>
                <w:rFonts w:ascii="Times New Roman" w:cs="Times New Roman" w:eastAsia="Times New Roman" w:hAnsi="Times New Roman"/>
                <w:sz w:val="13"/>
                <w:szCs w:val="13"/>
                <w:color w:val="auto"/>
              </w:rPr>
              <w:t>vesting of performance-based restricted</w:t>
            </w: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stock units</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10,863</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520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surrendered in connection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with payroll withholding taxes</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(3,025 )</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(50 )</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0" w:type="dxa"/>
            <w:vAlign w:val="bottom"/>
          </w:tcPr>
          <w:p>
            <w:pPr>
              <w:spacing w:after="0"/>
              <w:rPr>
                <w:sz w:val="1"/>
                <w:szCs w:val="1"/>
                <w:color w:val="auto"/>
              </w:rPr>
            </w:pPr>
          </w:p>
        </w:tc>
      </w:tr>
      <w:tr>
        <w:trPr>
          <w:trHeight w:val="163"/>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4,312</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 repurchased</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(48,686 )</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22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(721 )</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(723 )</w:t>
            </w:r>
          </w:p>
        </w:tc>
        <w:tc>
          <w:tcPr>
            <w:tcW w:w="0" w:type="dxa"/>
            <w:vAlign w:val="bottom"/>
          </w:tcPr>
          <w:p>
            <w:pPr>
              <w:spacing w:after="0"/>
              <w:rPr>
                <w:sz w:val="1"/>
                <w:szCs w:val="1"/>
                <w:color w:val="auto"/>
              </w:rPr>
            </w:pPr>
          </w:p>
        </w:tc>
      </w:tr>
      <w:tr>
        <w:trPr>
          <w:trHeight w:val="162"/>
        </w:trPr>
        <w:tc>
          <w:tcPr>
            <w:tcW w:w="5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Dividends paid</w:t>
            </w:r>
          </w:p>
        </w:tc>
        <w:tc>
          <w:tcPr>
            <w:tcW w:w="9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(1,356 )</w:t>
            </w:r>
          </w:p>
        </w:tc>
        <w:tc>
          <w:tcPr>
            <w:tcW w:w="1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(1,356 )</w:t>
            </w:r>
          </w:p>
        </w:tc>
        <w:tc>
          <w:tcPr>
            <w:tcW w:w="0" w:type="dxa"/>
            <w:vAlign w:val="bottom"/>
          </w:tcPr>
          <w:p>
            <w:pPr>
              <w:spacing w:after="0"/>
              <w:rPr>
                <w:sz w:val="1"/>
                <w:szCs w:val="1"/>
                <w:color w:val="auto"/>
              </w:rPr>
            </w:pPr>
          </w:p>
        </w:tc>
      </w:tr>
      <w:tr>
        <w:trPr>
          <w:trHeight w:val="156"/>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August 1, 2021</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12,276,286</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614</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43,310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85,331</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294</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129,549</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851</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851</w:t>
            </w:r>
          </w:p>
        </w:tc>
        <w:tc>
          <w:tcPr>
            <w:tcW w:w="0" w:type="dxa"/>
            <w:vAlign w:val="bottom"/>
          </w:tcPr>
          <w:p>
            <w:pPr>
              <w:spacing w:after="0"/>
              <w:rPr>
                <w:sz w:val="1"/>
                <w:szCs w:val="1"/>
                <w:color w:val="auto"/>
              </w:rPr>
            </w:pPr>
          </w:p>
        </w:tc>
      </w:tr>
      <w:tr>
        <w:trPr>
          <w:trHeight w:val="162"/>
        </w:trPr>
        <w:tc>
          <w:tcPr>
            <w:tcW w:w="5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435</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(9 )</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162"/>
        </w:trPr>
        <w:tc>
          <w:tcPr>
            <w:tcW w:w="5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6,426</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Common stock repurchased</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(73,002 )</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(1,026 )</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(1,029 )</w:t>
            </w:r>
          </w:p>
        </w:tc>
        <w:tc>
          <w:tcPr>
            <w:tcW w:w="0" w:type="dxa"/>
            <w:vAlign w:val="bottom"/>
          </w:tcPr>
          <w:p>
            <w:pPr>
              <w:spacing w:after="0"/>
              <w:rPr>
                <w:sz w:val="1"/>
                <w:szCs w:val="1"/>
                <w:color w:val="auto"/>
              </w:rPr>
            </w:pPr>
          </w:p>
        </w:tc>
      </w:tr>
      <w:tr>
        <w:trPr>
          <w:trHeight w:val="162"/>
        </w:trPr>
        <w:tc>
          <w:tcPr>
            <w:tcW w:w="5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Dividends paid</w:t>
            </w:r>
          </w:p>
        </w:tc>
        <w:tc>
          <w:tcPr>
            <w:tcW w:w="9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(1,343 )</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(1,343 )</w:t>
            </w:r>
          </w:p>
        </w:tc>
        <w:tc>
          <w:tcPr>
            <w:tcW w:w="0" w:type="dxa"/>
            <w:vAlign w:val="bottom"/>
          </w:tcPr>
          <w:p>
            <w:pPr>
              <w:spacing w:after="0"/>
              <w:rPr>
                <w:sz w:val="1"/>
                <w:szCs w:val="1"/>
                <w:color w:val="auto"/>
              </w:rPr>
            </w:pPr>
          </w:p>
        </w:tc>
      </w:tr>
      <w:tr>
        <w:trPr>
          <w:trHeight w:val="15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October 31, 2021</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12,209,710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42,719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84,839</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285</w:t>
            </w:r>
          </w:p>
        </w:tc>
        <w:tc>
          <w:tcPr>
            <w:tcW w:w="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128,454</w:t>
            </w:r>
          </w:p>
        </w:tc>
        <w:tc>
          <w:tcPr>
            <w:tcW w:w="0" w:type="dxa"/>
            <w:vAlign w:val="bottom"/>
          </w:tcPr>
          <w:p>
            <w:pPr>
              <w:spacing w:after="0"/>
              <w:rPr>
                <w:sz w:val="1"/>
                <w:szCs w:val="1"/>
                <w:color w:val="auto"/>
              </w:rPr>
            </w:pPr>
          </w:p>
        </w:tc>
      </w:tr>
      <w:tr>
        <w:trPr>
          <w:trHeight w:val="162"/>
        </w:trPr>
        <w:tc>
          <w:tcPr>
            <w:tcW w:w="5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(289 )</w:t>
            </w:r>
          </w:p>
        </w:tc>
        <w:tc>
          <w:tcPr>
            <w:tcW w:w="16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(289 )</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171</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62"/>
        </w:trPr>
        <w:tc>
          <w:tcPr>
            <w:tcW w:w="5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(197 )</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(197 )</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8,357</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Dividends paid</w:t>
            </w:r>
          </w:p>
        </w:tc>
        <w:tc>
          <w:tcPr>
            <w:tcW w:w="9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(1,405 )</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(1,405 )</w:t>
            </w:r>
          </w:p>
        </w:tc>
        <w:tc>
          <w:tcPr>
            <w:tcW w:w="0" w:type="dxa"/>
            <w:vAlign w:val="bottom"/>
          </w:tcPr>
          <w:p>
            <w:pPr>
              <w:spacing w:after="0"/>
              <w:rPr>
                <w:sz w:val="1"/>
                <w:szCs w:val="1"/>
                <w:color w:val="auto"/>
              </w:rPr>
            </w:pPr>
          </w:p>
        </w:tc>
      </w:tr>
      <w:tr>
        <w:trPr>
          <w:trHeight w:val="195"/>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January 30, 2022</w:t>
            </w:r>
          </w:p>
        </w:tc>
        <w:tc>
          <w:tcPr>
            <w:tcW w:w="9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12,218,067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42,890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83,145</w:t>
            </w:r>
          </w:p>
        </w:tc>
        <w:tc>
          <w:tcPr>
            <w:tcW w:w="1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126,734</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15, 2022, for the fiscal year ended May 1, 2022.</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amounts presented in the prior period have been reclassified to conform to the current period financial statement presentation. A non-cash charge totaling $1.4 million for markdowns of inventory estimated based on our policy for aged inventory was reclassified from the line item "Inventories" to the line item "Non-cash inventory charges" in the Consolidated Statement of Cash Flows for the nine months ended January 30, 2022. This reclassification did not have an effect on previously reported net cash used in operating activities and decrease in cash and cash equivalents.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nine months ended January 29, 2023, and January 30, 2022, each represent 39-week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January 29, 2023, there were no changes in the nature of our significant accounting policies or the application of those policies from those reported in our annual report on Form 10-K for the year then ended May 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not any recently adopted accounting pronouncements during the first nine months of fiscal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Currently, there are no new recent accounting pronouncements that are expected to have a material effect on our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3"/>
          </w:tcPr>
          <w:p>
            <w:pPr>
              <w:jc w:val="right"/>
              <w:ind w:right="107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January 29, 2023</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January 30, 2022</w:t>
            </w: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591</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bad debts</w:t>
            </w:r>
          </w:p>
        </w:tc>
        <w:tc>
          <w:tcPr>
            <w:tcW w:w="160" w:type="dxa"/>
            <w:vAlign w:val="bottom"/>
          </w:tcPr>
          <w:p>
            <w:pPr>
              <w:spacing w:after="0"/>
              <w:rPr>
                <w:sz w:val="19"/>
                <w:szCs w:val="19"/>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r>
      <w:tr>
        <w:trPr>
          <w:trHeight w:val="233"/>
        </w:trPr>
        <w:tc>
          <w:tcPr>
            <w:tcW w:w="7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1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(72 )</w:t>
            </w:r>
          </w:p>
        </w:tc>
        <w:tc>
          <w:tcPr>
            <w:tcW w:w="2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643</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nine-month periods ended January 29, 2023, and January 30, 2022,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$253,000 and $643,000 as of January 29, 2023, and January 30, 2022, respectively.</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June 25, 2022, a significant customer and its affiliates associated with our mattress fabrics segment announced that they filed voluntary petitions for reorganization under Chapter 11 of the U.S. Bankruptcy Code. Our customer and its affiliates entered into an asset purchase agreement for the sale of substantially all of their assets and they are now conducting normal business operations. We did not record a credit loss associated with outstanding accounts receivable dated on or prior to May 1, 2022, for this customer and its affiliates, as we received payment in full regarding these invoices. We did not record a credit loss associated with outstanding accounts receivable dated after May 1, 2022, relating to products sold prior to the bankruptcy filing, as we received payment in full regarding these invoices.</w:t>
      </w:r>
    </w:p>
    <w:p>
      <w:pPr>
        <w:spacing w:after="0" w:line="19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January 23, 2023, a significant customer and its affiliates associated with our mattress fabrics segment filed pre-planned voluntary petitions for reorganization under Chapter 11 of the U.S. Bankruptcy Code. Our customer and its affiliates are operating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jc w:val="both"/>
        <w:spacing w:after="0" w:line="246" w:lineRule="auto"/>
        <w:rPr>
          <w:sz w:val="20"/>
          <w:szCs w:val="20"/>
          <w:color w:val="auto"/>
        </w:rPr>
      </w:pPr>
      <w:r>
        <w:rPr>
          <w:rFonts w:ascii="Times New Roman" w:cs="Times New Roman" w:eastAsia="Times New Roman" w:hAnsi="Times New Roman"/>
          <w:sz w:val="20"/>
          <w:szCs w:val="20"/>
          <w:color w:val="auto"/>
        </w:rPr>
        <w:t>as normal as a debtor-in-possession and subject to and within the provisions of the petitions as approved by the U.S. Bankruptcy Court. We did not record a credit loss with associated outstanding accounts receivable dated prior to January 29, 2023, for this customer and its affiliates, as mostly all of the outstanding receivables were paid during the fourth quarter of fiscal 2023, and based on information available to us at this time, we do not believe there is a risk of material loss on the remaining accounts receivable. We continue to sell to the customer on credit terms and are being paid in the normal course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upfront customer deposits that result in a contract liability which is recorded in the Consolidated Balance Sheets as deferred revenue. Our terms are customary within the industries in which we operate and are not considered financing arrangements. There were no contract assets recognized as of January 29, 2023, January 30, 2022, and May 1,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3360" w:type="dxa"/>
            <w:vAlign w:val="bottom"/>
            <w:tcBorders>
              <w:top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42"/>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January 29, 2023</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January 30, 2022</w:t>
            </w:r>
          </w:p>
        </w:tc>
      </w:tr>
      <w:tr>
        <w:trPr>
          <w:trHeight w:val="23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520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4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(3,496 )</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(2,276 )</w:t>
            </w:r>
          </w:p>
        </w:tc>
      </w:tr>
      <w:tr>
        <w:trPr>
          <w:trHeight w:val="233"/>
        </w:trPr>
        <w:tc>
          <w:tcPr>
            <w:tcW w:w="5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4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4,406</w:t>
            </w:r>
          </w:p>
        </w:tc>
        <w:tc>
          <w:tcPr>
            <w:tcW w:w="2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2,254</w:t>
            </w:r>
          </w:p>
        </w:tc>
      </w:tr>
      <w:tr>
        <w:trPr>
          <w:trHeight w:val="22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1,430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January 29,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4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42"/>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24,697</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25,575</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50,272</w:t>
            </w: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2,251</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2,251</w:t>
            </w:r>
          </w:p>
        </w:tc>
      </w:tr>
      <w:tr>
        <w:trPr>
          <w:trHeight w:val="223"/>
        </w:trPr>
        <w:tc>
          <w:tcPr>
            <w:tcW w:w="4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24,697</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27,826</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52,523</w:t>
            </w:r>
          </w:p>
        </w:tc>
      </w:tr>
    </w:tbl>
    <w:p>
      <w:pPr>
        <w:spacing w:after="0" w:line="3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January 30, 2022: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4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3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38,439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39,400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77,839</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Pr>
          <w:p>
            <w:pPr>
              <w:spacing w:after="0"/>
              <w:rPr>
                <w:sz w:val="19"/>
                <w:szCs w:val="19"/>
                <w:color w:val="auto"/>
              </w:rPr>
            </w:pPr>
          </w:p>
        </w:tc>
      </w:tr>
      <w:tr>
        <w:trPr>
          <w:trHeight w:val="223"/>
        </w:trPr>
        <w:tc>
          <w:tcPr>
            <w:tcW w:w="4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38,439</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41,852</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80,291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nine-month period ending January 29, 2023: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4"/>
        </w:trPr>
        <w:tc>
          <w:tcPr>
            <w:tcW w:w="454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42"/>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80,299</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86,981</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167,280</w:t>
            </w: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6,228</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6,228</w:t>
            </w:r>
          </w:p>
        </w:tc>
      </w:tr>
      <w:tr>
        <w:trPr>
          <w:trHeight w:val="223"/>
        </w:trPr>
        <w:tc>
          <w:tcPr>
            <w:tcW w:w="4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80,299</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93,209</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173,508</w:t>
            </w:r>
          </w:p>
        </w:tc>
      </w:tr>
    </w:tbl>
    <w:p>
      <w:pPr>
        <w:spacing w:after="0" w:line="200" w:lineRule="exact"/>
        <w:rPr>
          <w:sz w:val="20"/>
          <w:szCs w:val="20"/>
          <w:color w:val="auto"/>
        </w:rPr>
      </w:pPr>
    </w:p>
    <w:p>
      <w:pPr>
        <w:spacing w:after="0" w:line="290"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nine-month period ending January 30,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122,380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109,105</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231,485</w:t>
            </w:r>
          </w:p>
        </w:tc>
        <w:tc>
          <w:tcPr>
            <w:tcW w:w="10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100" w:type="dxa"/>
            <w:vAlign w:val="bottom"/>
          </w:tcPr>
          <w:p>
            <w:pPr>
              <w:spacing w:after="0"/>
              <w:rPr>
                <w:sz w:val="19"/>
                <w:szCs w:val="19"/>
                <w:color w:val="auto"/>
              </w:rPr>
            </w:pP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122,380</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115,519</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237,899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January 29,</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January 30,</w:t>
            </w: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vMerge w:val="continue"/>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2022</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7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9,623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12,964</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13,477</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7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3,164</w:t>
            </w:r>
          </w:p>
        </w:tc>
        <w:tc>
          <w:tcPr>
            <w:tcW w:w="32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4,679</w:t>
            </w:r>
          </w:p>
        </w:tc>
        <w:tc>
          <w:tcPr>
            <w:tcW w:w="4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4,237</w:t>
            </w:r>
          </w:p>
        </w:tc>
        <w:tc>
          <w:tcPr>
            <w:tcW w:w="0" w:type="dxa"/>
            <w:vAlign w:val="bottom"/>
          </w:tcPr>
          <w:p>
            <w:pPr>
              <w:spacing w:after="0"/>
              <w:rPr>
                <w:sz w:val="1"/>
                <w:szCs w:val="1"/>
                <w:color w:val="auto"/>
              </w:rPr>
            </w:pPr>
          </w:p>
        </w:tc>
      </w:tr>
      <w:tr>
        <w:trPr>
          <w:trHeight w:val="233"/>
        </w:trPr>
        <w:tc>
          <w:tcPr>
            <w:tcW w:w="40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7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34,840</w:t>
            </w:r>
          </w:p>
        </w:tc>
        <w:tc>
          <w:tcPr>
            <w:tcW w:w="3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55,490</w:t>
            </w:r>
          </w:p>
        </w:tc>
        <w:tc>
          <w:tcPr>
            <w:tcW w:w="4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48,843</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47,627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73,133</w:t>
            </w:r>
          </w:p>
        </w:tc>
        <w:tc>
          <w:tcPr>
            <w:tcW w:w="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66,557</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Substantial and Unusual Losses Resulting from Subsequent Measurement of Inventory</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incurred non-cash inventory charges totaling $6.3 million during the first nine months of fiscal 2023. These charges represent a $2.9 million write-down of inventory to its net realizable value associated with our mattress fabrics segment, $3.3 million related to markdowns of inventory estimated based on our policy for aged inventory in both our mattress and upholstery fabrics segments, and $98,000 for the loss on disposal and markdowns of inventory related to the exit of our cut and sew upholstery fabrics operation located in Shanghai, China (see Note 8 to the consolidated financial statements for further details). Of the $6.3 million non-cash inventory charge for the first nine months of fiscal 2023, $3.9 million and $2.4 million pertained to our mattress fabrics and upholstery fabrics segments, respectively.</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incurred a non-cash inventory charge of $1.4 million for the first nine months of fiscal 2022, which represents markdowns of inventory estimated based on our policy for aged inventory in both mattress and upholstery fabrics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 - Net Realizable Value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During the second quarter of fiscal 2023, our mattress fabrics segment experienced a 35.8% decline in net sales compared with the second quarter of fiscal 2022. This decline in net sales led to a significant decrease in gross margin to (8.7%), excluding non-cash inventory charges of $3.8 million during the second quarter of fiscal 2023, as compared with gross margin of 15.0% during the second quarter of fiscal 2022. The significant decline in net sales and profitability during the second quarter of fiscal 2023 stemmed from a greater than anticipated decline in consumer discretionary spending, which we believe was due to the following factors: (i) inflationary effects of commodities such as gas, food, and other necessities; (ii) a significant increase in interest rates; (iii) the pulling forward of demand for home goods products during the early years of the COVID-19 pandemic, which demand has now shifted to travel, leisure, and other services; and (iv) excess inventory held by customers due to the decline in consumer demand. Based on this evidence, management conducted a thorough review of its mattress fabrics inventory, and as result, recorded a charge of $2.9 million within cost of sales to write down inventory to its net realizable value. This $2.9 million charge was based on management's best estimates of product sales prices, customer demand trends, and its plans to transition to new products.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29, 2023, we reviewed our mattress fabrics inventory to determine if additional write-downs of inventory that were not recorded based on our policy for aged inventory were necessary. Based on this assessment, no additional write-downs of inventory to their net realizable value were recorded during the third quarter of fiscal 2023.</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the current unfavorable macroeconomic conditions, it is possible that the estimates used by management to determine the write down of inventory to its net realizable value could be materially different from the actual amounts or its results. These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differences could result in higher than expected inventory provisions, which could adversely affect the company's results of operations and financial condition in the near term.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January 29,</w:t>
            </w: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January 30,</w:t>
            </w: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vMerge w:val="continue"/>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540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58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1,411</w:t>
            </w:r>
          </w:p>
        </w:tc>
        <w:tc>
          <w:tcPr>
            <w:tcW w:w="3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1,711</w:t>
            </w:r>
          </w:p>
        </w:tc>
        <w:tc>
          <w:tcPr>
            <w:tcW w:w="4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33"/>
        </w:trPr>
        <w:tc>
          <w:tcPr>
            <w:tcW w:w="4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Non-compete agreement, net</w:t>
            </w:r>
          </w:p>
        </w:tc>
        <w:tc>
          <w:tcPr>
            <w:tcW w:w="25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395</w:t>
            </w:r>
          </w:p>
        </w:tc>
        <w:tc>
          <w:tcPr>
            <w:tcW w:w="3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471</w:t>
            </w:r>
          </w:p>
        </w:tc>
        <w:tc>
          <w:tcPr>
            <w:tcW w:w="4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2,346</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2,722</w:t>
            </w:r>
          </w:p>
        </w:tc>
        <w:tc>
          <w:tcPr>
            <w:tcW w:w="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tradename pertains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January 29, 2023, no indicators of impairment existed, and therefore we did not record any asset impairment charges associated with our tradename through the third quarter of fiscal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Borders>
              <w:top w:val="single" w:sz="8" w:color="auto"/>
              <w:bottom w:val="single" w:sz="8" w:color="auto"/>
            </w:tcBorders>
          </w:tcPr>
          <w:p>
            <w:pPr>
              <w:spacing w:after="0"/>
              <w:rPr>
                <w:sz w:val="20"/>
                <w:szCs w:val="20"/>
                <w:color w:val="auto"/>
              </w:rPr>
            </w:pPr>
          </w:p>
        </w:tc>
        <w:tc>
          <w:tcPr>
            <w:tcW w:w="3280" w:type="dxa"/>
            <w:vAlign w:val="bottom"/>
            <w:tcBorders>
              <w:top w:val="single" w:sz="8" w:color="auto"/>
              <w:bottom w:val="single" w:sz="8" w:color="auto"/>
            </w:tcBorders>
          </w:tcPr>
          <w:p>
            <w:pPr>
              <w:spacing w:after="0"/>
              <w:rPr>
                <w:sz w:val="20"/>
                <w:szCs w:val="20"/>
                <w:color w:val="auto"/>
              </w:rPr>
            </w:pPr>
          </w:p>
        </w:tc>
        <w:tc>
          <w:tcPr>
            <w:tcW w:w="3360" w:type="dxa"/>
            <w:vAlign w:val="bottom"/>
            <w:tcBorders>
              <w:top w:val="single" w:sz="8" w:color="auto"/>
              <w:bottom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January 29, 2023</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January 30, 2022</w:t>
            </w:r>
          </w:p>
        </w:tc>
      </w:tr>
      <w:tr>
        <w:trPr>
          <w:trHeight w:val="23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1,636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1,937</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(225 )</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(226 )</w:t>
            </w:r>
          </w:p>
        </w:tc>
      </w:tr>
      <w:tr>
        <w:trPr>
          <w:trHeight w:val="223"/>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1,411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1,711</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January 29, 2023, January 30, 2022, and May 1, 2022, respectively. Accumulated amortization for these customer relationships was $1.7 million, $1.4 million, and $1.5 million as of January 29, 2023, January 30, 2022, and May 1, 2022, respectively.</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fiscal years and thereafter follows: FY 2023 - $76,000; FY 2024 - $301,000; FY 2025 - $301,000; FY 2026 - $301,000; FY 2027 - $279,000; and thereafter - $153,000.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5.0 years as of January 29,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0" w:type="dxa"/>
            <w:vAlign w:val="bottom"/>
            <w:tcBorders>
              <w:top w:val="single" w:sz="8" w:color="auto"/>
              <w:bottom w:val="single" w:sz="8" w:color="auto"/>
            </w:tcBorders>
          </w:tcPr>
          <w:p>
            <w:pPr>
              <w:spacing w:after="0"/>
              <w:rPr>
                <w:sz w:val="20"/>
                <w:szCs w:val="20"/>
                <w:color w:val="auto"/>
              </w:rPr>
            </w:pPr>
          </w:p>
        </w:tc>
        <w:tc>
          <w:tcPr>
            <w:tcW w:w="3280" w:type="dxa"/>
            <w:vAlign w:val="bottom"/>
            <w:tcBorders>
              <w:top w:val="single" w:sz="8" w:color="auto"/>
              <w:bottom w:val="single" w:sz="8" w:color="auto"/>
            </w:tcBorders>
          </w:tcPr>
          <w:p>
            <w:pPr>
              <w:spacing w:after="0"/>
              <w:rPr>
                <w:sz w:val="20"/>
                <w:szCs w:val="20"/>
                <w:color w:val="auto"/>
              </w:rPr>
            </w:pPr>
          </w:p>
        </w:tc>
        <w:tc>
          <w:tcPr>
            <w:tcW w:w="3360" w:type="dxa"/>
            <w:vAlign w:val="bottom"/>
            <w:tcBorders>
              <w:top w:val="single" w:sz="8" w:color="auto"/>
              <w:bottom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January 29, 2023</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January 30, 2022</w:t>
            </w:r>
          </w:p>
        </w:tc>
      </w:tr>
      <w:tr>
        <w:trPr>
          <w:trHeight w:val="23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527</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(57 )</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23"/>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471</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mattress fabrics segment and is amortized on a straight-line basis over the fifteen-year life of the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January 29, 2023, January 30, 2022, and May 1, 2022, respectively. Accumulated amortization for our non-compete agreement was $1.6 million, $1.5 million, and $1.6 million as of January 29, 2023, January 30, 2022, and May 1, 2022, respectively.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years and thereafter follows: FY 2023 - $18,000; FY 2024 - $76,000; FY 2025 - $76,000; FY 2026 - $76,000; FY 2027 - $76,000, and thereafter - $73,000.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was 5.3 years as of January 29, 2023.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auto"/>
        </w:rPr>
        <w:t>Impairment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As of January 29, 2023, management reviewed the long-lived assets associated with our mattress fabrics segment, which consisted of property, plant, and equipment, right of use assets, and finite-lived intangible assets (collectively known as the "Asset Group"), for impairment, as events and changes in circumstances occurred that indicated the carrying amount of the Asset Group may not be recoverable. During the third quarter of fiscal 2023, the decline in net sales and profitability continued for our mattress fabrics segment. During the first nine months of fiscal 2023, net sales for our mattress fabrics segment declined by 34.4%, compared with the first nine months of fiscal 2022. This decline in net sales led to a significant decrease in gross margin to (9.1%) during the first nine months of fiscal 2023, compared with gross margin of 13.2% during the first nine months of fiscal 2022. The significant decline in net sales and profitability during the first nine months of fiscal 2023 stemmed from a greater than anticipated decline in consumer discretionary spending, which we believe was due to the following factors: (i) inflationary effects of commodities such as gas, food, and other necessities; (ii) a significant increase in interest rates;</w:t>
      </w:r>
    </w:p>
    <w:p>
      <w:pPr>
        <w:spacing w:after="0" w:line="7" w:lineRule="exact"/>
        <w:rPr>
          <w:sz w:val="20"/>
          <w:szCs w:val="20"/>
          <w:color w:val="auto"/>
        </w:rPr>
      </w:pPr>
    </w:p>
    <w:p>
      <w:pPr>
        <w:ind w:firstLine="8"/>
        <w:spacing w:after="0" w:line="246" w:lineRule="auto"/>
        <w:tabs>
          <w:tab w:leader="none" w:pos="367"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pulling forward of demand for home goods products during the early years of the COVID-19 pandemic, which demand has now shifted to travel, leisure, and other services; and (iv) excess inventory held by customers due to the decline in consumer demand.</w:t>
      </w:r>
    </w:p>
    <w:p>
      <w:pPr>
        <w:spacing w:after="0" w:line="1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above evidence, we were required to determine the recoverability of the Asset Group, which is classified as held and used, by comparing the carrying amount of the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(i.e., the sum of undiscounted future cash flows) of the asset. The carrying amount of the Asset Group totaled $37.8 million, which relates to property, plant, and equipment of $34.7 million, right of use assets of $2.5 million, customer relationships of $370,000, and a non-compete agreement of 309,000. Based on the comparison of the carrying amount of the Asset Group to the sum of its future undiscounted cash flows from its use and eventual disposition, we determined no impairment existed as of January 29, 2023, as the carrying amount of the Asset Group totaling $37.8 million did not exceed the sum of its future undiscounted cash flows.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January 29,</w:t>
            </w: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30,</w:t>
            </w:r>
          </w:p>
        </w:tc>
        <w:tc>
          <w:tcPr>
            <w:tcW w:w="4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3,571</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3,426</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4,248</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1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3,130</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5,020</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3,584</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6,701</w:t>
            </w: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8,446</w:t>
            </w: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7,832</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Upholstery Fabrics Segment Restructuring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Second Quarter of Fiscal 2023</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our response to adjust our operating costs to better align with the declining consumer demand for cut and sewn products. As a result of this strategic action, we recorded restructuring expense and restructuring related charges during the second quarter of fiscal 2023 totaling $713,000. Restructuring expense and restructuring related charges totaling $713,000 represent employee termination benefits of $468,000, loss from the disposal and markdowns of inventory of $98,000, impairment loss associated with equipment of $80,000, lease termination costs of $47,000, and other associated costs of $20,000. Of the total $713,000, $615,000 and $98,000, were recorded to restructuring expense and cost of sales, respectively, in the Consolidated Statement of Net loss for the three-month period ending October 30, 2022 and the nine-month period ending January 29,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 Quarter of Fiscal 2023</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Effective January 24, 2023, Culp Upholstery Fabrics Haiti, Ltd. ("CUF Haiti") entered into an agreement to terminate a lease associated with a facility located in Ouanaminthe, Haiti ("Haiti"), that was used solely for the production of cut and sewn kits associated with our upholstery fabrics segment. As a result, CUF Haiti's production of cut and sewn kits will be moved to an existing facility leased by Culp Home Fashions Haiti, Ltd. ("CHF Haiti"). Both CUF Haiti and CHF Haiti are indirect wholly-owned subsidiaries of Culp, Inc. CHF Haiti's facility, which is also located in Haiti, will now produce not only cut and sewn kits associated with our upholstery fabrics segment, but will also continue to produce cut and sewn mattress covers associated with our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4" w:name="page15"/>
    <w:bookmarkEnd w:id="14"/>
    <w:p>
      <w:pPr>
        <w:jc w:val="both"/>
        <w:spacing w:after="0" w:line="269" w:lineRule="auto"/>
        <w:rPr>
          <w:sz w:val="20"/>
          <w:szCs w:val="20"/>
          <w:color w:val="auto"/>
        </w:rPr>
      </w:pPr>
      <w:r>
        <w:rPr>
          <w:rFonts w:ascii="Times New Roman" w:cs="Times New Roman" w:eastAsia="Times New Roman" w:hAnsi="Times New Roman"/>
          <w:sz w:val="20"/>
          <w:szCs w:val="20"/>
          <w:color w:val="auto"/>
        </w:rPr>
        <w:t>mattress fabrics segment. We believe this restructuring action will reduce the costs of our operations located in Haiti to better align with the declining consumer demand for cut and sewn products by consolidating existing facilities and reducing headcount.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restructuring action will be completed during the fourth quarter of fiscal 2023.</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mentioned above, CUF Haiti entered into an agreement to terminate the lease ("the Termination Agreement") of a facility ("right of use asset"). Pursuant to the terms of the original lease agreement (the "Original Lease"), CUF Haiti was required to pay in advance $2.8 million for the full amount of rent due prior to the commencement of the Original Lease, and the initial lease term was set to expire on December 31, 2029. Pursuant to the terms of the Termination Agreement, the Original Lease would not be formally terminated until CUF Haiti vacated and returned possession of their right of use asset associated with the Original Lease to the lessor, which was required prior to February 28, 2023, and did occur in the fourth quarter of fiscal 2023. After CUF Haiti vacated and returned possession of their right of use asset to the lessor, a third party (the "Lessee"") has taken possession of CUF Haiti's right of use asset and the Lessee will pay CUF Haiti $2.4 million over a period commencing on April 1, 2023 through December 31, 2029, based on monthly installments as stated in the Termination Agreement. In connection with the Termination Agreement, an affiliate of the Lessee has guaranteed payment in full of all amounts due and payable to CUF Haiti by the Lessee and CUF Haiti will be fully and unconditionally released and discharged from all of its obligations under the Termination Agreement and Original Lease.</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connection with the Termination Agreement, CUF Haiti's right of use asset was classified as held for sale and is presented separately as assets held for sale on the Consolidated Balance Sheet as of January 29, 2023. As a result, CUF Haiti's right of use asset was recorded at its fair value of $2.0 million, which was lower than its carrying value as of January 29, 2023 (see Note 10 to the consolidated financial statements for further details regarding fair value measurement). Consequently, since the fair value of CUF Haiti's right of use asset was lower than its carrying amount, we recorded a restructuring charge of $434,000 during the third quarter of fiscal 2023 to reduce the carrying amount of CUF Haiti's right of use asset to its reported fair value. During the fourth quarter of fiscal 2023, CUF Haiti recognized the sale of their right of use asset, as they have vacated and returned possession of their right of use asset to the Lessor, and the Lessee has taken possession of CUF Haiti's right of use asset. As a result, CUF Haiti's right of use asset classified as held for sale was derecognized and a short-term and long-term note receivable was recognized based on the payments and timing of such payments due from the Lessee as stated in the Termination Agreement.</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a result of this strategic action, we recorded restructuring expense of $711,000 during the third quarter of fiscal 2023, which represents lease termination costs of $434,000 and an impairment loss regarding leasehold improvements totaling $277,000.</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from both our restructuring activities noted above for the nine months ending January 29,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8"/>
                <w:szCs w:val="18"/>
                <w:color w:val="auto"/>
              </w:rPr>
            </w:pPr>
          </w:p>
        </w:tc>
      </w:tr>
      <w:tr>
        <w:trPr>
          <w:trHeight w:val="243"/>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January 29, 2023</w:t>
            </w:r>
          </w:p>
        </w:tc>
        <w:tc>
          <w:tcPr>
            <w:tcW w:w="100" w:type="dxa"/>
            <w:vAlign w:val="bottom"/>
          </w:tcPr>
          <w:p>
            <w:pPr>
              <w:spacing w:after="0"/>
              <w:rPr>
                <w:sz w:val="21"/>
                <w:szCs w:val="21"/>
                <w:color w:val="auto"/>
              </w:rPr>
            </w:pPr>
          </w:p>
        </w:tc>
      </w:tr>
      <w:tr>
        <w:trPr>
          <w:trHeight w:val="23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FF0FC"/>
          </w:tcPr>
          <w:p>
            <w:pPr>
              <w:spacing w:after="0"/>
              <w:rPr>
                <w:sz w:val="19"/>
                <w:szCs w:val="19"/>
                <w:color w:val="auto"/>
              </w:rPr>
            </w:pPr>
          </w:p>
        </w:tc>
      </w:tr>
      <w:tr>
        <w:trPr>
          <w:trHeight w:val="22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9"/>
                <w:szCs w:val="19"/>
                <w:color w:val="auto"/>
              </w:rPr>
            </w:pPr>
          </w:p>
        </w:tc>
      </w:tr>
      <w:tr>
        <w:trPr>
          <w:trHeight w:val="23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loss - leasehold improvements and equipment</w:t>
            </w:r>
          </w:p>
        </w:tc>
        <w:tc>
          <w:tcPr>
            <w:tcW w:w="288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20"/>
                <w:szCs w:val="20"/>
                <w:color w:val="auto"/>
              </w:rPr>
            </w:pPr>
          </w:p>
        </w:tc>
      </w:tr>
      <w:tr>
        <w:trPr>
          <w:trHeight w:val="22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2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3"/>
        </w:trPr>
        <w:tc>
          <w:tcPr>
            <w:tcW w:w="6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288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78" w:lineRule="exact"/>
        <w:rPr>
          <w:sz w:val="20"/>
          <w:szCs w:val="20"/>
          <w:color w:val="auto"/>
        </w:rPr>
      </w:pPr>
    </w:p>
    <w:p>
      <w:pPr>
        <w:ind w:left="280" w:right="20" w:hanging="272"/>
        <w:spacing w:after="0" w:line="282"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$1.4 million, $1.3 million and $98,000 were recorded to restructuring expense and cost of sales, respectively, in the Consolidated Statement of Net Loss for the nine-month period ending January 29,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activity in accrued restructuring for the nine-month period ending January 29,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248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Employee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Lease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520" w:type="dxa"/>
            <w:vAlign w:val="bottom"/>
          </w:tcPr>
          <w:p>
            <w:pPr>
              <w:spacing w:after="0"/>
              <w:rPr>
                <w:sz w:val="23"/>
                <w:szCs w:val="23"/>
                <w:color w:val="auto"/>
              </w:rPr>
            </w:pPr>
          </w:p>
        </w:tc>
        <w:tc>
          <w:tcPr>
            <w:tcW w:w="2480" w:type="dxa"/>
            <w:vAlign w:val="bottom"/>
          </w:tcPr>
          <w:p>
            <w:pPr>
              <w:jc w:val="center"/>
              <w:ind w:left="1559"/>
              <w:spacing w:after="0"/>
              <w:rPr>
                <w:sz w:val="20"/>
                <w:szCs w:val="20"/>
                <w:color w:val="auto"/>
              </w:rPr>
            </w:pPr>
            <w:r>
              <w:rPr>
                <w:rFonts w:ascii="Times New Roman" w:cs="Times New Roman" w:eastAsia="Times New Roman" w:hAnsi="Times New Roman"/>
                <w:sz w:val="16"/>
                <w:szCs w:val="16"/>
                <w:color w:val="auto"/>
              </w:rPr>
              <w:t>Termination</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Termination</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Associated</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8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Benefits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Costs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Costs</w:t>
            </w:r>
          </w:p>
        </w:tc>
        <w:tc>
          <w:tcPr>
            <w:tcW w:w="340" w:type="dxa"/>
            <w:vAlign w:val="bottom"/>
          </w:tcPr>
          <w:p>
            <w:pPr>
              <w:spacing w:after="0"/>
              <w:rPr>
                <w:sz w:val="21"/>
                <w:szCs w:val="21"/>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3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80" w:type="dxa"/>
            <w:vAlign w:val="bottom"/>
            <w:tcBorders>
              <w:top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established in fiscal 2023</w:t>
            </w:r>
          </w:p>
        </w:tc>
        <w:tc>
          <w:tcPr>
            <w:tcW w:w="24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9"/>
                <w:szCs w:val="19"/>
                <w:color w:val="auto"/>
              </w:rPr>
            </w:pPr>
          </w:p>
        </w:tc>
      </w:tr>
      <w:tr>
        <w:trPr>
          <w:trHeight w:val="23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24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4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(468 )</w:t>
            </w:r>
          </w:p>
        </w:tc>
        <w:tc>
          <w:tcPr>
            <w:tcW w:w="120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(47 )</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(535 )</w:t>
            </w:r>
          </w:p>
        </w:tc>
      </w:tr>
      <w:tr>
        <w:trPr>
          <w:trHeight w:val="223"/>
        </w:trPr>
        <w:tc>
          <w:tcPr>
            <w:tcW w:w="35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80" w:type="dxa"/>
            <w:vAlign w:val="bottom"/>
            <w:tcBorders>
              <w:top w:val="single" w:sz="8" w:color="auto"/>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9. Lines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Existing Credit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May 1, 2022, we had a Credit Agreement (the “Existing Credit Agreement”) with Wells Fargo Bank, N.A. (“Wells Fargo”) that provided a revolving loan commitment of $30 million, was set to expire on August 15, 2022, and allowed us to issue letters of credit not to exceed $1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Amended Agreement</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June 24, 2022, we entered into an Amended and Restated Credit Agreement (“the Amended Agreement”) with Wells Fargo. The Amended Agreement amended, restated, superseded, and served as a replacement for the Existing Credit Agreement. The Amended Agreement provided a revolving credit facility of up to $40 million, was secured by a lien on the company’s assets, and was set to expire in June 2025.</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available borrowings under the Amended Agreement were based on a borrowing base calculation using certain accounts receivable and inventory of the company, subject to certain sub-limits as defined in the Amended Agreement, to be calculated on a monthly basis. Similar to the Existing Credit Agreement, the Amended Agreement contained a sub-facility that allows the company to issue letters of credit in an aggregate amount not to exceed $1 million.</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Borrowings under the Amended Agreement incurred interest at a rate calculated using a margin (the “Applicable Margin”) over the Federal Reserve Bank of New York’s secured overnight funding rate (SOFR). The Applicable Margin was set initially at 1.35% and varied under the terms of the Amended Agreement from 1.35% to 2.50%, depending on the ratio of the company’s consolidated debt to consolidated EBITDA, as defined in the Amended Agreement, determined on a quarterly basis. The Amended Agreement contained customary affirmative and negative covenants and required compliance by the company with certain financial covenants, including minimum tangible net worth of $100 million plus 50% of annual net income, and a minimum ratio of consolidated EBITDA to consolidated net interest expense of 3.0 to 1.0 as defined in the Amended Agreement. The EBITDA to interest expense covenant did not apply under the Amended Agreement during the first three quarters of the company’s fiscal 2023, but during that period, the company was required to maintain “access to liquidity” of $15 million, which is defined as unencumbered liquid assets plus available and unused credit under the revolving credit facility as calculated using the borrowing base, as defined in the Amended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First Amendment</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August 19, 2022, we entered into a First Amendment to the Amended Agreement (“the First Amendment”) with Wells Fargo. The terms of the First Amendment amended the time period in which the financial covenant for the minimum ratio of consolidated EBITDA to consolidated net interest expense applied, such that this EBITDA to interest expense covenant does not apply during any of the four quarters of the Company’s fiscal 2023. During that time period, we were still required to maintain minimum “access to liquidity” of $15 million as mentioned in the above Amended Agreement section.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Second Amended and Restated Agreement</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January 19, 2023, Culp, Inc., as borrower (the “Company”), and Read as guarantor (the “Guarantor”), entered into a Second Amended and Restated Credit Agreement (the “ABL Credit Agreement”), by and among the Company, the Guarantor and Wells Fargo Bank, National Association, as lender (the “Lender”), to establish an asset-based revolving credit facility (the “ABL Facility”), the proceeds of which may be used to pay fees and expenses related to the ABL Facility and to provide funding for ongoing working capital and general corporate purposes. The ABL Credit Agreement amends, restates and supersedes, and serves as a replacement for, the Amended Agreement, dated as of June 24, 2022, as amended, by and between the Company and the Lender.</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may be used for revolving credit loans and letters of credit from time to time up to a maximum principal amount of $35.0 million, subject to the limitations described below. Like the Amended Agreement, the ABL Facility contains a sub-facility that allows the Company to issue letters of credit in an aggregate amount not to exceed $1 million. The amount available under the ABL Facility is limited by a borrowing base consisting of certain eligible accounts receivable and inventory, reduced by specified reserves, as follows:</w:t>
      </w:r>
    </w:p>
    <w:p>
      <w:pPr>
        <w:spacing w:after="0" w:line="72"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eligible accounts receivable, plus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6" w:name="page17"/>
    <w:bookmarkEnd w:id="16"/>
    <w:p>
      <w:pPr>
        <w:ind w:left="1540" w:hanging="514"/>
        <w:spacing w:after="0"/>
        <w:tabs>
          <w:tab w:leader="none" w:pos="15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107" w:lineRule="exact"/>
        <w:rPr>
          <w:rFonts w:ascii="Times New Roman" w:cs="Times New Roman" w:eastAsia="Times New Roman" w:hAnsi="Times New Roman"/>
          <w:sz w:val="20"/>
          <w:szCs w:val="20"/>
          <w:color w:val="auto"/>
        </w:rPr>
      </w:pPr>
    </w:p>
    <w:p>
      <w:pPr>
        <w:ind w:left="2040" w:hanging="505"/>
        <w:spacing w:after="0" w:line="269" w:lineRule="auto"/>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lesser of (i) 65% of eligible inventory valued at cost based on a first-in first-out basis (net of intercompany profits) and (ii) 85% of the net-orderly-liquidation value percentage of eligible inventory, plus</w:t>
      </w:r>
    </w:p>
    <w:p>
      <w:pPr>
        <w:spacing w:after="0" w:line="51"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 (i) 65% of eligible in-transit inventory valued at cost based on a first-in first-out basis (net of intercompany profits), (ii) 85% of the net-orderly-liquidation value percentage of eligible in-transit inventory, and (iii) $5.0 million, plus</w:t>
      </w:r>
    </w:p>
    <w:p>
      <w:pPr>
        <w:spacing w:after="0" w:line="66"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88"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20"/>
          <w:szCs w:val="20"/>
          <w:color w:val="auto"/>
        </w:rPr>
        <w:t>In each case, the net-orderly-liquidation value is calculated based on the lower of (i) a first-in first-out basis and (ii) market value, and is (A) net of intercompany profits, (B) net of write-ups and write-downs in value with respect to currency exchange rates and (C) consistent with most recent appraisals received and acceptable to Lender.</w:t>
      </w:r>
    </w:p>
    <w:p>
      <w:pPr>
        <w:spacing w:after="0" w:line="66" w:lineRule="exact"/>
        <w:rPr>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$22.5 million; and</w:t>
      </w:r>
    </w:p>
    <w:p>
      <w:pPr>
        <w:spacing w:after="0" w:line="107"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200% of eligible accounts receivable,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minus</w:t>
      </w:r>
    </w:p>
    <w:p>
      <w:pPr>
        <w:spacing w:after="0" w:line="108"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reserves.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ABL Facility permits both base rate borrowings and borrowings based upon daily simple SOFR (the secured overnight financing rate administered by the Federal Reserve Bank of New York (or its successor)). Borrowings under the ABL Facility bear interest at an annual rate equal to daily simple SOFR plus 150 basis points (if the average monthly excess availability under the ABL Facility is greater than 50%) or 175 basis point (if the average monthly excess availability under the ABL Facility is less than or equal to 50%) or 50 basis points above base rate (if the average monthly excess availability under the ABL Facility is greater than 50%) or 75 basis points above base rate (if the average monthly excess availability under the ABL Facility is less than or equal to 50%), as applicable, with a fee on unutilized commitments at an annual rate of 37.5 basis points and an annual servicing fee of $12,000.</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matures on January 19, 2026. The ABL Facility may be prepaid from time to time, in whole or in part, without prepayment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obligations under the ABL Facility (and certain related obligations) are (a) guaranteed by the Guarantor and each of the Company’s future domestic subsidiaries is required to guarantee the ABL Facility on a senior secured basis (such guarantors and the Company, the “Loan Parties”) and (b) secured by all assets of the Loan Parties, subject to certain exceptions. The liens and other security interests granted by the Loan Parties on the collateral for the benefit of the Lender under the ABL Facility are, subject to certain permitted liens, first-priority.</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Cash Dominion</w:t>
      </w:r>
      <w:r>
        <w:rPr>
          <w:rFonts w:ascii="Times New Roman" w:cs="Times New Roman" w:eastAsia="Times New Roman" w:hAnsi="Times New Roman"/>
          <w:sz w:val="20"/>
          <w:szCs w:val="20"/>
          <w:color w:val="auto"/>
        </w:rPr>
        <w:t>. Under the terms of the ABL Facility, if (i) an event of default has occurred or (ii) excess borrowing availability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ABL Facility (based on the lesser of $35.0 million and the borrowing base) (the “Excess Availability”) falls below $7.0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$7.0 million for a period of 60 consecutive days and no event of default is continuing.</w:t>
      </w:r>
    </w:p>
    <w:p>
      <w:pPr>
        <w:spacing w:after="0" w:line="19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The ABL Facility contains a springing covenant requiring that the Company’s fixed charge coverage ratio be no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1.10 to 1.00 during any period that (i) an event of default has occurred or (ii) Excess Availability under the ABL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20"/>
          <w:szCs w:val="20"/>
          <w:color w:val="auto"/>
        </w:rPr>
        <w:t>Facility falls below $5.25 million at such time. Such compliance period shall end when Excess Availability shall be equal to or greater than $5.25 million for a period of 60 consecutive days and no event of default is continuing.</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Affirmative and Restrictive Covenants</w:t>
      </w:r>
      <w:r>
        <w:rPr>
          <w:rFonts w:ascii="Times New Roman" w:cs="Times New Roman" w:eastAsia="Times New Roman" w:hAnsi="Times New Roman"/>
          <w:sz w:val="20"/>
          <w:szCs w:val="20"/>
          <w:color w:val="auto"/>
        </w:rPr>
        <w:t>. The ABL Credit Agreement governing the ABL Facility contains customary representations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warranties, affirmative and negative covenants (subject, in each case, to exceptions and qualifications) and events of defaults, including covenants that limit the Company’s ability to, among other things:</w:t>
      </w:r>
    </w:p>
    <w:p>
      <w:pPr>
        <w:spacing w:after="0" w:line="6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make other restricted payments;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certain assets;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sell or otherwise dispose of all or substantially all of the Company’s assets;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January 19, 2023, interest was charged under the ABL Agreement at a rate (applicable interest rate of 5.81% as of January 29, 2023) calculated using the Applicable Margin over SOFR based on the the Company’s excess availability under the ABL Facility, as defined in the ABL Agreement. Under the Existing Credit Agreement, interest was charged at a rate (applicable interest rate of 1.71% and 2.40% as of January 30, 2022, and May 1, 2022, respectively) as a variable spread over LIBOR based on a ratio of debt to EBITDA, as defined in the Existing Credit Agreement.</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were $275,000 of outstanding letters of credit provided by the ABL Agreement and the Existing Agreement as applicable, as of January 29, 2023, January 30, 2022, and May 1, 2022. As of January 29, 2023, we had $725,000 remaining for the issuance of additional letters of credit under the ABL Agreement.</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borrowings outstanding under either the ABL Agreement or the Existing Credit Agreement, as applicable, as of January 29, 2023, January 30, 2022, and May 1, 2022,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29, 2023, our available borrowings calculated under the provisions of the ABL Agreement totaled $23.0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Agreements – China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Chinese Yuan Renminbi (“RMB”)</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an unsecured credit agreement denominated in RMB with a bank located in China that provides for a line of credit of up to 40 million RMB ($5.9 million USD as of January 29, 2023). Interest charged under this agreement is based on an interest rate determined by the Chinese government at the time of borrowing. The agreement was set to expire on November 15, 2022.</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November 24, 2022, we renewed this agreement, which renewal maintains our borrowing capacity of 40 million RMB and extends the expiration date to November 24, 2023.</w:t>
      </w:r>
    </w:p>
    <w:p>
      <w:pPr>
        <w:spacing w:after="0" w:line="119" w:lineRule="exact"/>
        <w:rPr>
          <w:sz w:val="20"/>
          <w:szCs w:val="20"/>
          <w:color w:val="auto"/>
        </w:rPr>
      </w:pPr>
    </w:p>
    <w:p>
      <w:pPr>
        <w:ind w:right="640"/>
        <w:spacing w:after="0" w:line="429" w:lineRule="auto"/>
        <w:rPr>
          <w:sz w:val="20"/>
          <w:szCs w:val="20"/>
          <w:color w:val="auto"/>
        </w:rPr>
      </w:pPr>
      <w:r>
        <w:rPr>
          <w:rFonts w:ascii="Times New Roman" w:cs="Times New Roman" w:eastAsia="Times New Roman" w:hAnsi="Times New Roman"/>
          <w:sz w:val="20"/>
          <w:szCs w:val="20"/>
          <w:color w:val="auto"/>
        </w:rPr>
        <w:t xml:space="preserve">There were no borrowings outstanding under this agreement as of January 29, 2023, January 30, 2022, and May 1, 2022, respectively. </w:t>
      </w:r>
      <w:r>
        <w:rPr>
          <w:rFonts w:ascii="Times New Roman" w:cs="Times New Roman" w:eastAsia="Times New Roman" w:hAnsi="Times New Roman"/>
          <w:sz w:val="20"/>
          <w:szCs w:val="20"/>
          <w:u w:val="single" w:color="auto"/>
          <w:color w:val="auto"/>
        </w:rPr>
        <w:t>Denominated in United States Dollar (“USD”)</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had an unsecured credit agreement denominated in USD with another bank located in China that provided for a line of credit of up to $2 million USD, which expired on August 30, 2022. Currently, the company does not plan to renew or replace this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January 29, 2023, we complied with our financial covenants.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both"/>
        <w:spacing w:after="0" w:line="269" w:lineRule="auto"/>
        <w:rPr>
          <w:sz w:val="20"/>
          <w:szCs w:val="20"/>
          <w:color w:val="auto"/>
        </w:rPr>
      </w:pPr>
      <w:r>
        <w:rPr>
          <w:rFonts w:ascii="Times New Roman" w:cs="Times New Roman" w:eastAsia="Times New Roman" w:hAnsi="Times New Roman"/>
          <w:sz w:val="20"/>
          <w:szCs w:val="20"/>
          <w:color w:val="auto"/>
        </w:rPr>
        <w:t>Interest paid during the first nine months of fiscal 2023 totaled $8,000. No interest payments were made during the first nine months of fiscal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Fair Value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75" w:lineRule="exact"/>
        <w:rPr>
          <w:sz w:val="20"/>
          <w:szCs w:val="20"/>
          <w:color w:val="auto"/>
        </w:rPr>
      </w:pPr>
    </w:p>
    <w:p>
      <w:pPr>
        <w:ind w:left="360" w:right="2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3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color w:val="auto"/>
        </w:rPr>
        <w:t>Fair value measurements as of January 29, 2023,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29"/>
        </w:trPr>
        <w:tc>
          <w:tcPr>
            <w:tcW w:w="4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8"/>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2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Level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9,364</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9,364</w:t>
            </w:r>
          </w:p>
        </w:tc>
      </w:tr>
      <w:tr>
        <w:trPr>
          <w:trHeight w:val="23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508</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508</w:t>
            </w: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2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85</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r>
      <w:tr>
        <w:trPr>
          <w:trHeight w:val="233"/>
        </w:trPr>
        <w:tc>
          <w:tcPr>
            <w:tcW w:w="4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188</w:t>
            </w:r>
          </w:p>
        </w:tc>
        <w:tc>
          <w:tcPr>
            <w:tcW w:w="12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w:t>
            </w:r>
          </w:p>
        </w:tc>
      </w:tr>
      <w:tr>
        <w:trPr>
          <w:trHeight w:val="439"/>
        </w:trPr>
        <w:tc>
          <w:tcPr>
            <w:tcW w:w="4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January 30, 2022, using:</w:t>
            </w:r>
          </w:p>
        </w:tc>
        <w:tc>
          <w:tcPr>
            <w:tcW w:w="900" w:type="dxa"/>
            <w:vAlign w:val="bottom"/>
            <w:tcBorders>
              <w:bottom w:val="single" w:sz="8" w:color="auto"/>
            </w:tcBorders>
          </w:tcPr>
          <w:p>
            <w:pPr>
              <w:spacing w:after="0"/>
              <w:rPr>
                <w:sz w:val="24"/>
                <w:szCs w:val="24"/>
                <w:color w:val="auto"/>
              </w:rPr>
            </w:pPr>
          </w:p>
        </w:tc>
      </w:tr>
      <w:tr>
        <w:trPr>
          <w:trHeight w:val="210"/>
        </w:trPr>
        <w:tc>
          <w:tcPr>
            <w:tcW w:w="4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4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8"/>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2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Level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8,531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8,531</w:t>
            </w:r>
          </w:p>
        </w:tc>
      </w:tr>
      <w:tr>
        <w:trPr>
          <w:trHeight w:val="23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444</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444</w:t>
            </w: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Bond Mutual Funds</w:t>
            </w:r>
          </w:p>
        </w:tc>
        <w:tc>
          <w:tcPr>
            <w:tcW w:w="172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267</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r>
      <w:tr>
        <w:trPr>
          <w:trHeight w:val="23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86</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Cap Equity Mutual Funds</w:t>
            </w:r>
          </w:p>
        </w:tc>
        <w:tc>
          <w:tcPr>
            <w:tcW w:w="172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74</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r>
      <w:tr>
        <w:trPr>
          <w:trHeight w:val="233"/>
        </w:trPr>
        <w:tc>
          <w:tcPr>
            <w:tcW w:w="4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259</w:t>
            </w:r>
          </w:p>
        </w:tc>
        <w:tc>
          <w:tcPr>
            <w:tcW w:w="12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259</w:t>
            </w:r>
          </w:p>
        </w:tc>
      </w:tr>
      <w:tr>
        <w:trPr>
          <w:trHeight w:val="439"/>
        </w:trPr>
        <w:tc>
          <w:tcPr>
            <w:tcW w:w="4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color w:val="auto"/>
              </w:rPr>
              <w:t>Fair value measurements as of May 1, 2022, using:</w:t>
            </w:r>
          </w:p>
        </w:tc>
        <w:tc>
          <w:tcPr>
            <w:tcW w:w="900" w:type="dxa"/>
            <w:vAlign w:val="bottom"/>
            <w:tcBorders>
              <w:bottom w:val="single" w:sz="8" w:color="auto"/>
            </w:tcBorders>
          </w:tcPr>
          <w:p>
            <w:pPr>
              <w:spacing w:after="0"/>
              <w:rPr>
                <w:sz w:val="24"/>
                <w:szCs w:val="24"/>
                <w:color w:val="auto"/>
              </w:rPr>
            </w:pPr>
          </w:p>
        </w:tc>
      </w:tr>
      <w:tr>
        <w:trPr>
          <w:trHeight w:val="210"/>
        </w:trPr>
        <w:tc>
          <w:tcPr>
            <w:tcW w:w="4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4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8"/>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2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Level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8,683</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8,683</w:t>
            </w:r>
          </w:p>
        </w:tc>
      </w:tr>
      <w:tr>
        <w:trPr>
          <w:trHeight w:val="23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435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2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r>
      <w:tr>
        <w:trPr>
          <w:trHeight w:val="233"/>
        </w:trPr>
        <w:tc>
          <w:tcPr>
            <w:tcW w:w="4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158</w:t>
            </w:r>
          </w:p>
        </w:tc>
        <w:tc>
          <w:tcPr>
            <w:tcW w:w="12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bl>
    <w:p>
      <w:pPr>
        <w:spacing w:after="0" w:line="200" w:lineRule="exact"/>
        <w:rPr>
          <w:sz w:val="20"/>
          <w:szCs w:val="20"/>
          <w:color w:val="auto"/>
        </w:rPr>
      </w:pPr>
    </w:p>
    <w:p>
      <w:pPr>
        <w:sectPr>
          <w:pgSz w:w="11900" w:h="16838" w:orient="portrait"/>
          <w:cols w:equalWidth="0" w:num="1">
            <w:col w:w="11240"/>
          </w:cols>
          <w:pgMar w:left="320" w:top="292" w:right="339" w:bottom="967"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967"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i w:val="1"/>
          <w:iCs w:val="1"/>
          <w:color w:val="auto"/>
        </w:rPr>
        <w:t>Short-Term Investments – Available for Sale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fourth quarter of fiscal 2022, we sold all of our remaining short-term investments classified as available-for-sale, and therefore we did not report short-term investments classified as available-for-sale in the accompanying Consolidated Balance Sheets as of January 29, 2023, and May 1, 2022. As of January 30, 2022, our short-term investments classified as available-for-sale (i) consisted of various types of bond and equity mutual funds, (ii) were recorded at their fair value totaling $438,000, (iii) had an accumulated unrealized loss of $2,000, (iv) approximated their cost basis, and (v) resided with our U.S.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and Long-Term Investments - Held-To-Maturity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fourth quarter of fiscal 2022, we sold all of our remaining investments classified as held-to-maturity, and therefore we did not report short-term or long-term investments classified as held-to-maturity in the accompanying Consolidated Balance Sheets as of January 29, 2023, and May 1, 2022. As of January 30, 2022, our investments classified as held-to-maturity consisted of investment grade U.S. corporate bonds, foreign bonds, and government bonds. These investments were classified as held-to-maturity as we had the positive intent and ability to hold these investments until maturity. Our held-to-maturity investments were recorded as either current or noncurrent in our Consolidated Balance Sheets, based on the maturity date in relation to the respective reporting period and were recorded at amortized cost.</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30, 2022, our held-to-maturity investments (i) were recorded at amortized cost totaling $10.0 million, (ii) had a fair value totaling $9.8 million, and (iii) resided with our U.S. operations.</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held-to-maturity investments were classified as level 2 within the fair value hierarchy as they were traded over the counter within a broker network and not on an active market. The fair value of our held-to-maturity investments was determined based on a published source that provided an average bid price. The average bid price was based on various broker prices that were determined based on market conditions, interest rates, and the rating of the respective bond investment.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 Rabbi Trust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 rabbi trust for the participants of our deferred compensation plan (the “Plan”), that enables participants to credit their contributions to various investment options under the Plan. The investments associated with the rabbi trust consist of a U.S. Government money market fund and various equity-related mutual funds that are classified as available-for-sale.</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January 29, 2023, our investments associated with our rabbi trust totaled $10.1 million, of which $2.4 million and $7.7 million were classified as short-term and long-term, respectively. As of January 30, 2022, our investments associated with our rabbi trust totaled $9.2 million, all of which were classified as long-term. As of May 1, 2022, our investments associated with our rabbi trust totaled $9.4 million, all of which were classified as long-term. The investments associated with our rabbi trust had an accumulated unrealized gain of $21,000, $90,000, and $32,000 as of January 29, 2023, January 30, 2022, and May 1, 2022,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our long-term investments associated with our rabbi trust approximates their cost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accounts payable, and accrued expenses approximated their fair value because of the short maturity of these financial instruments.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Non-Recurring Basis</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connection with the restructuring activity associated with our upholstery fabrics cut and sew operation located in Haiti (which is described more fully in Note 8 of the consolidated financial statements), we classified a right of use asset associated with a leased facility as held for sale in the accompanying Consolidated Balance Sheet as of January 29, 2023. This right of use asset classified as held for sale was recorded at its fair value of $2.0 million, which represents the present value of future discounted cash flows based on the payments and timing of such payments due from the Lessee as stated in the related Termination Agreement. The interest rate used to determine the present value of discounted cash flows was based on significant unobservable inputs and assumptions determined by management such as (i) the credit characteristics of the Lessee and guarantor of the Termination Agreement; (ii) the length of the payment terms as defined in the Termination Agreement; (iii) the payment terms as defined in the Termination Agreement are denominated in USD, and (iv) the fact that the right of use asset is located in and the Lessee and guarantor conduct business in Haiti, a foreign country. As a result, since management used significant unobservable inputs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20"/>
          <w:szCs w:val="20"/>
          <w:color w:val="auto"/>
        </w:rPr>
        <w:t>assumptions to determine the fair value of this right of use asset, this right of use asset is classified as level 3 within the fair value hierarchy defined above.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Net (Loss) Income Per Share</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Basic net (loss) income per share is computed using the weighted-average number of shares outstanding during the period. Diluted net (loss) income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income per share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0" w:type="dxa"/>
            <w:vAlign w:val="bottom"/>
            <w:tcBorders>
              <w:top w:val="single" w:sz="8" w:color="auto"/>
            </w:tcBorders>
          </w:tcPr>
          <w:p>
            <w:pPr>
              <w:spacing w:after="0"/>
              <w:rPr>
                <w:sz w:val="19"/>
                <w:szCs w:val="19"/>
                <w:color w:val="auto"/>
              </w:rPr>
            </w:pPr>
          </w:p>
        </w:tc>
        <w:tc>
          <w:tcPr>
            <w:tcW w:w="5440" w:type="dxa"/>
            <w:vAlign w:val="bottom"/>
            <w:tcBorders>
              <w:top w:val="single" w:sz="8" w:color="auto"/>
            </w:tcBorders>
            <w:gridSpan w:val="2"/>
          </w:tcPr>
          <w:p>
            <w:pPr>
              <w:jc w:val="right"/>
              <w:ind w:right="101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2"/>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29, 2023</w:t>
            </w:r>
          </w:p>
        </w:tc>
        <w:tc>
          <w:tcPr>
            <w:tcW w:w="16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30, 2022</w:t>
            </w:r>
          </w:p>
        </w:tc>
      </w:tr>
      <w:tr>
        <w:trPr>
          <w:trHeight w:val="23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12,299</w:t>
            </w: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12,212</w:t>
            </w:r>
          </w:p>
        </w:tc>
      </w:tr>
      <w:tr>
        <w:trPr>
          <w:trHeight w:val="223"/>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stock-based compensation</w:t>
            </w:r>
          </w:p>
        </w:tc>
        <w:tc>
          <w:tcPr>
            <w:tcW w:w="3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7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12,299</w:t>
            </w: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12,212</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third quarter of fiscal 2023, 22,053 shares of unvested common stock were not included in the computation of diluted net loss per share as their effect would be antidilutive due to the decrease in the price per share of our common stock during the reporting period compared with the price per share of our common stock as of the respective grant dates of the related stock-based compensation awards. In addition, during the third quarter of fiscal 2023, 87,433 shares of unvested common stock were not included in the computation of diluted net loss per share as we incurred a net loss during the reporting period.</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third quarter of fiscal 2022, 44,616 shares of unvested common stock were not included in the computation of diluted net loss per share, as their effect would be antidilutive due to the decrease in the price per share of our common stock during the reporting period compared with the price per share of our common stock as of the respective grant dates of the related stock-based compensation awards. In addition, during the third quarter of fiscal 2022, 79,507 shares of unvested common stock were not included in the computation as we incurred a net loss during the reporting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80" w:type="dxa"/>
            <w:vAlign w:val="bottom"/>
            <w:tcBorders>
              <w:top w:val="single" w:sz="8" w:color="auto"/>
            </w:tcBorders>
          </w:tcPr>
          <w:p>
            <w:pPr>
              <w:spacing w:after="0"/>
              <w:rPr>
                <w:sz w:val="19"/>
                <w:szCs w:val="19"/>
                <w:color w:val="auto"/>
              </w:rPr>
            </w:pPr>
          </w:p>
        </w:tc>
        <w:tc>
          <w:tcPr>
            <w:tcW w:w="5360" w:type="dxa"/>
            <w:vAlign w:val="bottom"/>
            <w:tcBorders>
              <w:top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9"/>
                <w:szCs w:val="19"/>
                <w:color w:val="auto"/>
              </w:rPr>
            </w:pPr>
          </w:p>
        </w:tc>
      </w:tr>
      <w:tr>
        <w:trPr>
          <w:trHeight w:val="242"/>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5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January 29, 2023</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30, 2022</w:t>
            </w:r>
          </w:p>
        </w:tc>
        <w:tc>
          <w:tcPr>
            <w:tcW w:w="100" w:type="dxa"/>
            <w:vAlign w:val="bottom"/>
          </w:tcPr>
          <w:p>
            <w:pPr>
              <w:spacing w:after="0"/>
              <w:rPr>
                <w:sz w:val="21"/>
                <w:szCs w:val="21"/>
                <w:color w:val="auto"/>
              </w:rPr>
            </w:pPr>
          </w:p>
        </w:tc>
      </w:tr>
      <w:tr>
        <w:trPr>
          <w:trHeight w:val="23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12,249</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effect of stock-based compensation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9"/>
                <w:szCs w:val="19"/>
                <w:color w:val="auto"/>
              </w:rPr>
            </w:pPr>
          </w:p>
        </w:tc>
      </w:tr>
      <w:tr>
        <w:trPr>
          <w:trHeight w:val="223"/>
        </w:trPr>
        <w:tc>
          <w:tcPr>
            <w:tcW w:w="57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1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12,341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nine-month period ending January 29, 2023, 31,176 shares of unvested common stock were not included in the computation of diluted net loss per share as their effect would be antidilutive due to the decrease in the price per share of our common stock during the reporting period compared with the price per share of our common stock as of the respective grant dates of the related stock-based compensation awards. In addition, during the nine-month period ending January 29, 2023, 68,380 shares of unvested common stock were not included in the computation of diluted net loss per share as we incurred a net loss during the reporting period.</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nine-month period ending January 30, 2022, 11,711 shares of unvested common stock were not included in the computation of diluted net income per share, as their effect would be antidilutive due to the decrease in the price per share of our common stock during the reporting period compared with the price per share of our common stock as of the respective grant dates of the related stock-based compensation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 Also, total assets related to our upholstery fabrics segment include a right of use asset classified as held for sale as of January 29, 2023.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r>
      <w:tr>
        <w:trPr>
          <w:trHeight w:val="242"/>
        </w:trPr>
        <w:tc>
          <w:tcPr>
            <w:tcW w:w="7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January 29, 2023</w:t>
            </w:r>
          </w:p>
        </w:tc>
        <w:tc>
          <w:tcPr>
            <w:tcW w:w="320" w:type="dxa"/>
            <w:vAlign w:val="bottom"/>
          </w:tcPr>
          <w:p>
            <w:pPr>
              <w:spacing w:after="0"/>
              <w:rPr>
                <w:sz w:val="21"/>
                <w:szCs w:val="21"/>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January 30, 2022</w:t>
            </w:r>
          </w:p>
        </w:tc>
      </w:tr>
      <w:tr>
        <w:trPr>
          <w:trHeight w:val="229"/>
        </w:trPr>
        <w:tc>
          <w:tcPr>
            <w:tcW w:w="7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38,439</w:t>
            </w:r>
          </w:p>
        </w:tc>
        <w:tc>
          <w:tcPr>
            <w:tcW w:w="100" w:type="dxa"/>
            <w:vAlign w:val="bottom"/>
          </w:tcPr>
          <w:p>
            <w:pPr>
              <w:spacing w:after="0"/>
              <w:rPr>
                <w:sz w:val="19"/>
                <w:szCs w:val="19"/>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27,826</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80,291</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(1,237 )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tcPr>
          <w:p>
            <w:pPr>
              <w:spacing w:after="0"/>
              <w:rPr>
                <w:sz w:val="19"/>
                <w:szCs w:val="19"/>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9,110</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FF0FC"/>
          </w:tcPr>
          <w:p>
            <w:pPr>
              <w:spacing w:after="0"/>
              <w:rPr>
                <w:sz w:val="20"/>
                <w:szCs w:val="20"/>
                <w:color w:val="auto"/>
              </w:rPr>
            </w:pPr>
          </w:p>
        </w:tc>
      </w:tr>
      <w:tr>
        <w:trPr>
          <w:trHeight w:val="22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9"/>
                <w:szCs w:val="19"/>
                <w:color w:val="auto"/>
              </w:rPr>
            </w:pPr>
          </w:p>
        </w:tc>
      </w:tr>
      <w:tr>
        <w:trPr>
          <w:trHeight w:val="26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Pr>
          <w:p>
            <w:pPr>
              <w:spacing w:after="0"/>
              <w:rPr>
                <w:sz w:val="19"/>
                <w:szCs w:val="19"/>
                <w:color w:val="auto"/>
              </w:rPr>
            </w:pPr>
          </w:p>
        </w:tc>
      </w:tr>
      <w:tr>
        <w:trPr>
          <w:trHeight w:val="23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(2,423 )</w:t>
            </w:r>
          </w:p>
        </w:tc>
        <w:tc>
          <w:tcPr>
            <w:tcW w:w="3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(1,707 )</w:t>
            </w:r>
          </w:p>
        </w:tc>
      </w:tr>
      <w:tr>
        <w:trPr>
          <w:trHeight w:val="20"/>
        </w:trPr>
        <w:tc>
          <w:tcPr>
            <w:tcW w:w="7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(7,072 )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8"/>
                <w:szCs w:val="18"/>
                <w:color w:val="auto"/>
              </w:rPr>
            </w:pPr>
          </w:p>
        </w:tc>
      </w:tr>
      <w:tr>
        <w:trPr>
          <w:trHeight w:val="23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expense (1)</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(711 )</w:t>
            </w:r>
          </w:p>
        </w:tc>
        <w:tc>
          <w:tcPr>
            <w:tcW w:w="3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(7,783 )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8"/>
                <w:szCs w:val="18"/>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FF0FC"/>
          </w:tcPr>
          <w:p>
            <w:pPr>
              <w:spacing w:after="0"/>
              <w:rPr>
                <w:sz w:val="20"/>
                <w:szCs w:val="20"/>
                <w:color w:val="auto"/>
              </w:rPr>
            </w:pPr>
          </w:p>
        </w:tc>
      </w:tr>
      <w:tr>
        <w:trPr>
          <w:trHeight w:val="22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(1,095 )</w:t>
            </w:r>
          </w:p>
        </w:tc>
        <w:tc>
          <w:tcPr>
            <w:tcW w:w="3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(322 )</w:t>
            </w:r>
          </w:p>
        </w:tc>
      </w:tr>
      <w:tr>
        <w:trPr>
          <w:trHeight w:val="26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-3068320</wp:posOffset>
            </wp:positionV>
            <wp:extent cx="685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-2451100</wp:posOffset>
            </wp:positionV>
            <wp:extent cx="685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-1533525</wp:posOffset>
            </wp:positionV>
            <wp:extent cx="124333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4333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-925195</wp:posOffset>
            </wp:positionV>
            <wp:extent cx="685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-624840</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2" w:name="page23"/>
    <w:bookmarkEnd w:id="22"/>
    <w:p>
      <w:pPr>
        <w:ind w:left="260" w:hanging="252"/>
        <w:spacing w:after="0" w:line="282"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 of $711,000 for the three months ending January 29, 2023, represents lease termination costs of $434,000 and an impairment loss regarding leasehold improvements totaling $277,000 that related to the consolidation of certain leased facilities located in Ouanaminthe, Haiti.</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5"/>
          </w:tcPr>
          <w:p>
            <w:pPr>
              <w:jc w:val="right"/>
              <w:ind w:right="99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9"/>
                <w:szCs w:val="19"/>
                <w:color w:val="auto"/>
              </w:rPr>
            </w:pPr>
          </w:p>
        </w:tc>
      </w:tr>
      <w:tr>
        <w:trPr>
          <w:trHeight w:val="242"/>
        </w:trPr>
        <w:tc>
          <w:tcPr>
            <w:tcW w:w="7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January 29, 2023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January 30, 2022</w:t>
            </w:r>
          </w:p>
        </w:tc>
      </w:tr>
      <w:tr>
        <w:trPr>
          <w:trHeight w:val="230"/>
        </w:trPr>
        <w:tc>
          <w:tcPr>
            <w:tcW w:w="7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80,299</w:t>
            </w: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122,380</w:t>
            </w:r>
          </w:p>
        </w:tc>
        <w:tc>
          <w:tcPr>
            <w:tcW w:w="100" w:type="dxa"/>
            <w:vAlign w:val="bottom"/>
          </w:tcPr>
          <w:p>
            <w:pPr>
              <w:spacing w:after="0"/>
              <w:rPr>
                <w:sz w:val="19"/>
                <w:szCs w:val="19"/>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93,209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173,508</w:t>
            </w: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237,899</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(7,330 )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16,106</w:t>
            </w:r>
          </w:p>
        </w:tc>
        <w:tc>
          <w:tcPr>
            <w:tcW w:w="100" w:type="dxa"/>
            <w:vAlign w:val="bottom"/>
          </w:tcPr>
          <w:p>
            <w:pPr>
              <w:spacing w:after="0"/>
              <w:rPr>
                <w:sz w:val="19"/>
                <w:szCs w:val="19"/>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32,336</w:t>
            </w:r>
          </w:p>
        </w:tc>
        <w:tc>
          <w:tcPr>
            <w:tcW w:w="100" w:type="dxa"/>
            <w:vAlign w:val="bottom"/>
          </w:tcPr>
          <w:p>
            <w:pPr>
              <w:spacing w:after="0"/>
              <w:rPr>
                <w:sz w:val="18"/>
                <w:szCs w:val="18"/>
                <w:color w:val="auto"/>
              </w:rPr>
            </w:pPr>
          </w:p>
        </w:tc>
      </w:tr>
      <w:tr>
        <w:trPr>
          <w:trHeight w:val="23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10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32,336</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8,821</w:t>
            </w: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10,491</w:t>
            </w:r>
          </w:p>
        </w:tc>
        <w:tc>
          <w:tcPr>
            <w:tcW w:w="100" w:type="dxa"/>
            <w:vAlign w:val="bottom"/>
            <w:shd w:val="clear" w:color="auto" w:fill="CFF0FC"/>
          </w:tcPr>
          <w:p>
            <w:pPr>
              <w:spacing w:after="0"/>
              <w:rPr>
                <w:sz w:val="20"/>
                <w:szCs w:val="20"/>
                <w:color w:val="auto"/>
              </w:rPr>
            </w:pPr>
          </w:p>
        </w:tc>
      </w:tr>
      <w:tr>
        <w:trPr>
          <w:trHeight w:val="227"/>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6,793</w:t>
            </w:r>
          </w:p>
        </w:tc>
        <w:tc>
          <w:tcPr>
            <w:tcW w:w="100" w:type="dxa"/>
            <w:vAlign w:val="bottom"/>
          </w:tcPr>
          <w:p>
            <w:pPr>
              <w:spacing w:after="0"/>
              <w:rPr>
                <w:sz w:val="19"/>
                <w:szCs w:val="19"/>
                <w:color w:val="auto"/>
              </w:rPr>
            </w:pPr>
          </w:p>
        </w:tc>
      </w:tr>
      <w:tr>
        <w:trPr>
          <w:trHeight w:val="26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26,275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(16,151 )</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100" w:type="dxa"/>
            <w:vAlign w:val="bottom"/>
          </w:tcPr>
          <w:p>
            <w:pPr>
              <w:spacing w:after="0"/>
              <w:rPr>
                <w:sz w:val="19"/>
                <w:szCs w:val="19"/>
                <w:color w:val="auto"/>
              </w:rPr>
            </w:pPr>
          </w:p>
        </w:tc>
      </w:tr>
      <w:tr>
        <w:trPr>
          <w:trHeight w:val="23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(7,259 )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(6,793 )</w:t>
            </w:r>
          </w:p>
        </w:tc>
      </w:tr>
      <w:tr>
        <w:trPr>
          <w:trHeight w:val="20"/>
        </w:trPr>
        <w:tc>
          <w:tcPr>
            <w:tcW w:w="7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(23,027 )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00" w:type="dxa"/>
            <w:vAlign w:val="bottom"/>
          </w:tcPr>
          <w:p>
            <w:pPr>
              <w:spacing w:after="0"/>
              <w:rPr>
                <w:sz w:val="18"/>
                <w:szCs w:val="18"/>
                <w:color w:val="auto"/>
              </w:rPr>
            </w:pPr>
          </w:p>
        </w:tc>
      </w:tr>
      <w:tr>
        <w:trPr>
          <w:trHeight w:val="239"/>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expense (2)</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(24,451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9"/>
                <w:szCs w:val="19"/>
                <w:color w:val="auto"/>
              </w:rPr>
            </w:pPr>
          </w:p>
        </w:tc>
      </w:tr>
      <w:tr>
        <w:trPr>
          <w:trHeight w:val="23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(963 )</w:t>
            </w:r>
          </w:p>
        </w:tc>
      </w:tr>
      <w:tr>
        <w:trPr>
          <w:trHeight w:val="20"/>
        </w:trPr>
        <w:tc>
          <w:tcPr>
            <w:tcW w:w="7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(24,507 )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-3514090</wp:posOffset>
            </wp:positionV>
            <wp:extent cx="6858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-2896870</wp:posOffset>
            </wp:positionV>
            <wp:extent cx="685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123444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444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left="260" w:hanging="252"/>
        <w:spacing w:after="0" w:line="261" w:lineRule="auto"/>
        <w:tabs>
          <w:tab w:leader="none" w:pos="2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related charge of $98,000 for the nine months ended January 29, 2023, represents a loss on disposal and markdowns of inventory related to the exit of our cut and sew upholstery fabrics operation located in Shanghai, China, which occurred during the second quarter of fiscal 2023. This $98,000 restructuring related charge was recorded in cost of sales in the Consolidated Statements of Net Loss for the nine months ending January 29, 2023.</w:t>
      </w:r>
    </w:p>
    <w:p>
      <w:pPr>
        <w:spacing w:after="0" w:line="179" w:lineRule="exact"/>
        <w:rPr>
          <w:rFonts w:ascii="Times New Roman" w:cs="Times New Roman" w:eastAsia="Times New Roman" w:hAnsi="Times New Roman"/>
          <w:sz w:val="18"/>
          <w:szCs w:val="18"/>
          <w:color w:val="auto"/>
        </w:rPr>
      </w:pPr>
    </w:p>
    <w:p>
      <w:pPr>
        <w:jc w:val="both"/>
        <w:ind w:left="260" w:hanging="252"/>
        <w:spacing w:after="0" w:line="261" w:lineRule="auto"/>
        <w:tabs>
          <w:tab w:leader="none" w:pos="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 of $1.3 million for the nine months ending January 29, 2023, relates to both our restructuring activities for our cut and sew upholstery fabrics operations located in Shanghai, China, which occurred during the second quarter of fiscal 2023, and located in Ouanaminthe, Haiti, which occurred during the third quarter of fiscal 2023. Restructuring expense consists of lease termination costs of $481,000, employee termination benefits of $468,000, impairment losses totaling $357,000 that relate to leasehold improvements and equipment, and $20,000 for other associated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January 29, 2023</w:t>
            </w:r>
          </w:p>
        </w:tc>
        <w:tc>
          <w:tcPr>
            <w:tcW w:w="1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January 30, 2022</w:t>
            </w:r>
          </w:p>
        </w:tc>
        <w:tc>
          <w:tcPr>
            <w:tcW w:w="1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May 1, 2022</w:t>
            </w:r>
          </w:p>
        </w:tc>
      </w:tr>
      <w:tr>
        <w:trPr>
          <w:trHeight w:val="22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8,314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17,617</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9,865</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28,757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39,544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39,028</w:t>
            </w: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34,661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39,913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38,731</w:t>
            </w:r>
          </w:p>
        </w:tc>
      </w:tr>
      <w:tr>
        <w:trPr>
          <w:trHeight w:val="22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(2)</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2,476</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3,706</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3,469</w:t>
            </w:r>
          </w:p>
        </w:tc>
      </w:tr>
      <w:tr>
        <w:trPr>
          <w:trHeight w:val="22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74,208</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100,780</w:t>
            </w:r>
          </w:p>
        </w:tc>
        <w:tc>
          <w:tcPr>
            <w:tcW w:w="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91,093</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12,927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21,381</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12,361</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18,870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33,589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27,529</w:t>
            </w: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(3)</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1,794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2,018</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2,030</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(4)</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8,727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8,124</w:t>
            </w:r>
          </w:p>
        </w:tc>
      </w:tr>
      <w:tr>
        <w:trPr>
          <w:trHeight w:val="233"/>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Assets held for sale (5)</w:t>
            </w:r>
          </w:p>
        </w:tc>
        <w:tc>
          <w:tcPr>
            <w:tcW w:w="1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1,950</w:t>
            </w:r>
          </w:p>
        </w:tc>
        <w:tc>
          <w:tcPr>
            <w:tcW w:w="1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38,536</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65,715</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50,044</w:t>
            </w:r>
          </w:p>
        </w:tc>
      </w:tr>
      <w:tr>
        <w:trPr>
          <w:trHeight w:val="22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segment assets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112,744</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166,495</w:t>
            </w:r>
          </w:p>
        </w:tc>
        <w:tc>
          <w:tcPr>
            <w:tcW w:w="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141,137</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Non-segment assets: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16,725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11,780</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14,550</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1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367</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857</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2,986</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(6)</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941</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 of use assets (7)</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3,442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4,162</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3,984</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7,725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9,223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9,357</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1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8,677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919</w:t>
            </w:r>
          </w:p>
        </w:tc>
        <w:tc>
          <w:tcPr>
            <w:tcW w:w="1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622</w:t>
            </w:r>
          </w:p>
        </w:tc>
        <w:tc>
          <w:tcPr>
            <w:tcW w:w="1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r>
      <w:tr>
        <w:trPr>
          <w:trHeight w:val="223"/>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150,598</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211,567</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177,563</w:t>
            </w: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4"/>
          </w:tcPr>
          <w:p>
            <w:pPr>
              <w:spacing w:after="0" w:line="20" w:lineRule="exact"/>
              <w:rPr>
                <w:sz w:val="1"/>
                <w:szCs w:val="1"/>
                <w:color w:val="auto"/>
              </w:rPr>
            </w:pPr>
          </w:p>
        </w:tc>
      </w:tr>
      <w:tr>
        <w:trPr>
          <w:trHeight w:val="176"/>
        </w:trPr>
        <w:tc>
          <w:tcPr>
            <w:tcW w:w="6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spacing w:after="0"/>
              <w:rPr>
                <w:sz w:val="15"/>
                <w:szCs w:val="15"/>
                <w:color w:val="auto"/>
              </w:rPr>
            </w:pPr>
          </w:p>
        </w:tc>
      </w:tr>
      <w:tr>
        <w:trPr>
          <w:trHeight w:val="204"/>
        </w:trPr>
        <w:tc>
          <w:tcPr>
            <w:tcW w:w="6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42"/>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January 29, 2023</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January 30, 2022</w:t>
            </w:r>
          </w:p>
        </w:tc>
      </w:tr>
      <w:tr>
        <w:trPr>
          <w:trHeight w:val="22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 (8):</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2,828</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465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815</w:t>
            </w:r>
          </w:p>
        </w:tc>
      </w:tr>
      <w:tr>
        <w:trPr>
          <w:trHeight w:val="223"/>
        </w:trPr>
        <w:tc>
          <w:tcPr>
            <w:tcW w:w="6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Unallocated Corporate</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1,330</w:t>
            </w:r>
          </w:p>
        </w:tc>
      </w:tr>
      <w:tr>
        <w:trPr>
          <w:trHeight w:val="223"/>
        </w:trPr>
        <w:tc>
          <w:tcPr>
            <w:tcW w:w="622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14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1,152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4,973</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4,624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4,613</w:t>
            </w:r>
          </w:p>
        </w:tc>
      </w:tr>
      <w:tr>
        <w:trPr>
          <w:trHeight w:val="223"/>
        </w:trPr>
        <w:tc>
          <w:tcPr>
            <w:tcW w:w="6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604</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590</w:t>
            </w:r>
          </w:p>
        </w:tc>
      </w:tr>
      <w:tr>
        <w:trPr>
          <w:trHeight w:val="263"/>
        </w:trPr>
        <w:tc>
          <w:tcPr>
            <w:tcW w:w="622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14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5,228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5,203</w:t>
            </w:r>
          </w:p>
        </w:tc>
      </w:tr>
    </w:tbl>
    <w:p>
      <w:pPr>
        <w:spacing w:after="0" w:line="153" w:lineRule="exact"/>
        <w:rPr>
          <w:sz w:val="20"/>
          <w:szCs w:val="20"/>
          <w:color w:val="auto"/>
        </w:rPr>
      </w:pPr>
    </w:p>
    <w:p>
      <w:pPr>
        <w:jc w:val="both"/>
        <w:ind w:left="380" w:hanging="372"/>
        <w:spacing w:after="0" w:line="246"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$34.7 million as of January 29, 2023, represents property, plant, and equipment of $23.1 million, $10.9 million, and $651,000 located in the U.S., Canada, and Haiti, respectively. The $39.9 million as of January 30, 2022, represents property, plant, and equipment of $26.6 million, $12.5 million, and $796,000 located in the U.S., Canada, and Haiti, respectively. The $38.7 million as of May 1, 2022, represents property, plant, and equipment of $25.6 million, $12.4 million, and $757,000 located in the U.S., Canada, and Haiti, respectively.</w:t>
      </w:r>
    </w:p>
    <w:p>
      <w:pPr>
        <w:spacing w:after="0" w:line="157"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$2.5 million as of January 29, 2023, represents right of use assets of $1.6 million and $833,000 located in Haiti and Canada, respectively. The $3.7 million as of January 30, 2022, represents right of use assets of $2.1 million, $1.3 million, and $352,000 located in Haiti, the U.S., and Canada, respectively. The $3.5 million as of May 1, 2022, represents right of use assets of $2.0 million, $1.2 million, and $291,000 located in Haiti, the U.S., and Canada,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334" w:gutter="0" w:footer="0" w:header="0"/>
        </w:sectPr>
      </w:pPr>
    </w:p>
    <w:bookmarkStart w:id="24" w:name="page25"/>
    <w:bookmarkEnd w:id="24"/>
    <w:p>
      <w:pPr>
        <w:jc w:val="both"/>
        <w:ind w:left="380" w:hanging="372"/>
        <w:spacing w:after="0" w:line="249"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$1.8 million as of January 29, 2023, represents property, plant, and equipment of $1.0 million, $630,000, and $121,000 located in the U.S., Haiti, and China, respectively. The $2.0 million as of January 30, 2022, represents property, plant, and equipment of $1.1 million, $585,000, and $344,000 located in the U.S., Haiti, and China, respectively. The $2.0 million as of May 1, 2022, represents property, plant, and equipment of $1.0 million, $756,000, and $255,000 located in the U.S., Haiti, and China,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$3.0 million as of January 29, 2023, represents right of use assets of $1.7 million and $1.3 million located in China and the U.S., respectively. The $8.7 million as of January 30, 2022, represents right of use assets of $4.1 million, $2.7 million, and $1.9 million located in China, Haiti, and the U.S., respectively. The $8.1 million as of May 1, 2022, represents right of use assets of $3.7 million, $2.6 million, and $1.8 million located in China, Haiti, and the U.S., respectively.</w:t>
      </w:r>
    </w:p>
    <w:p>
      <w:pPr>
        <w:spacing w:after="0" w:line="13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 million as of January 29, 2023, represents a right of use asset classified as held for sale located in Haiti.</w:t>
      </w:r>
    </w:p>
    <w:p>
      <w:pPr>
        <w:spacing w:after="0" w:line="17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$737,000, $847,000, and $941,000 as of January 29, 2023, January 30, 2022, and May 1, 2022, respectively, represent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47"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$3.4 million, $4.2 million, and $4.0 million as of January 29, 2023, January 30, 2022, and May 1, 2022, respectively, represent right of use assets located in the U.S.</w:t>
      </w:r>
    </w:p>
    <w:p>
      <w:pPr>
        <w:spacing w:after="0" w:line="118"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the accrual basis. See Consolidated Statements of Cash Flows for capital expenditure amounts on a cash basis.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$2.3 million, or (9.5%) of loss before income taxes, for the nine-month period ending January 29, 2023, compared with income tax expense of $2.6 million, or 48.4% of income before income taxes, for the nine-month period ending January 30, 2022.</w:t>
      </w:r>
    </w:p>
    <w:p>
      <w:pPr>
        <w:spacing w:after="0" w:line="13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nine-month periods ended January 29, 2023, and January 30, 2022, were based upon the estimated effective income tax rate applicable for the full year after giving effect to any significant items related specifically to interim periods. When calculating the annual estimated effective income tax rates for the nine-month periods ended January 29, 2023, and January 30, 2022,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ending January 29, 2023, and January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36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January 29,</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January 30,</w:t>
            </w:r>
          </w:p>
        </w:tc>
      </w:tr>
      <w:tr>
        <w:trPr>
          <w:trHeight w:val="236"/>
        </w:trPr>
        <w:tc>
          <w:tcPr>
            <w:tcW w:w="61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rPr>
              <w:t>2023</w:t>
            </w:r>
          </w:p>
        </w:tc>
        <w:tc>
          <w:tcPr>
            <w:tcW w:w="14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2022</w:t>
            </w:r>
          </w:p>
        </w:tc>
        <w:tc>
          <w:tcPr>
            <w:tcW w:w="40" w:type="dxa"/>
            <w:vAlign w:val="bottom"/>
          </w:tcPr>
          <w:p>
            <w:pPr>
              <w:spacing w:after="0"/>
              <w:rPr>
                <w:sz w:val="20"/>
                <w:szCs w:val="20"/>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(29.3 )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40" w:type="dxa"/>
            <w:vAlign w:val="bottom"/>
          </w:tcPr>
          <w:p>
            <w:pPr>
              <w:spacing w:after="0"/>
              <w:rPr>
                <w:sz w:val="20"/>
                <w:szCs w:val="20"/>
                <w:color w:val="auto"/>
              </w:rPr>
            </w:pPr>
          </w:p>
        </w:tc>
      </w:tr>
      <w:tr>
        <w:trPr>
          <w:trHeight w:val="23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6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(2.0 )</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40" w:type="dxa"/>
            <w:vAlign w:val="bottom"/>
          </w:tcPr>
          <w:p>
            <w:pPr>
              <w:spacing w:after="0"/>
              <w:rPr>
                <w:sz w:val="20"/>
                <w:szCs w:val="20"/>
                <w:color w:val="auto"/>
              </w:rPr>
            </w:pPr>
          </w:p>
        </w:tc>
      </w:tr>
      <w:tr>
        <w:trPr>
          <w:trHeight w:val="22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 deduction - Quebec, Canada</w:t>
            </w:r>
          </w:p>
        </w:tc>
        <w:tc>
          <w:tcPr>
            <w:tcW w:w="3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(1.6 )</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6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1.4</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40" w:type="dxa"/>
            <w:vAlign w:val="bottom"/>
          </w:tcPr>
          <w:p>
            <w:pPr>
              <w:spacing w:after="0"/>
              <w:rPr>
                <w:sz w:val="20"/>
                <w:szCs w:val="20"/>
                <w:color w:val="auto"/>
              </w:rPr>
            </w:pPr>
          </w:p>
        </w:tc>
      </w:tr>
      <w:tr>
        <w:trPr>
          <w:trHeight w:val="22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 (losses)</w:t>
            </w:r>
          </w:p>
        </w:tc>
        <w:tc>
          <w:tcPr>
            <w:tcW w:w="36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40" w:type="dxa"/>
            <w:vAlign w:val="bottom"/>
          </w:tcPr>
          <w:p>
            <w:pPr>
              <w:spacing w:after="0"/>
              <w:rPr>
                <w:sz w:val="19"/>
                <w:szCs w:val="19"/>
                <w:color w:val="auto"/>
              </w:rPr>
            </w:pPr>
          </w:p>
        </w:tc>
      </w:tr>
      <w:tr>
        <w:trPr>
          <w:trHeight w:val="23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36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37.4</w:t>
            </w:r>
          </w:p>
        </w:tc>
        <w:tc>
          <w:tcPr>
            <w:tcW w:w="40" w:type="dxa"/>
            <w:vAlign w:val="bottom"/>
          </w:tcPr>
          <w:p>
            <w:pPr>
              <w:spacing w:after="0"/>
              <w:rPr>
                <w:sz w:val="20"/>
                <w:szCs w:val="20"/>
                <w:color w:val="auto"/>
              </w:rPr>
            </w:pPr>
          </w:p>
        </w:tc>
      </w:tr>
      <w:tr>
        <w:trPr>
          <w:trHeight w:val="223"/>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(0.3 )</w:t>
            </w: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tcPr>
          <w:p>
            <w:pPr>
              <w:spacing w:after="0"/>
              <w:rPr>
                <w:sz w:val="19"/>
                <w:szCs w:val="19"/>
                <w:color w:val="auto"/>
              </w:rPr>
            </w:pPr>
          </w:p>
        </w:tc>
      </w:tr>
      <w:tr>
        <w:trPr>
          <w:trHeight w:val="223"/>
        </w:trPr>
        <w:tc>
          <w:tcPr>
            <w:tcW w:w="6120" w:type="dxa"/>
            <w:vAlign w:val="bottom"/>
          </w:tcPr>
          <w:p>
            <w:pPr>
              <w:spacing w:after="0"/>
              <w:rPr>
                <w:sz w:val="19"/>
                <w:szCs w:val="19"/>
                <w:color w:val="auto"/>
              </w:rPr>
            </w:pPr>
          </w:p>
        </w:tc>
        <w:tc>
          <w:tcPr>
            <w:tcW w:w="36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48.4 %</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2"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 during the first nine months of fiscal 2023 was much more negatively affected by the mix of earnings between our U.S. operations and our foreign subsidiaries, as compared to the first nine months of fiscal 2022. During the first nine months of fiscal 2023, we incurred a significantly higher pre-tax loss from our U.S. operations totaling $(28.8) million, compared with $(2.3) million during the first nine months of fiscal 2022. As a result, a significantly higher income tax benefit was not recognized due to a full valuation allowance being applied against our U.S. net deferred income tax assets during the first nine months of fiscal 2023, as compared with the first nine months of fiscal 2022. In addition, almost all of our taxable income in the first nine months of fiscal 2023 and fiscal 2022 was earned by our foreign operations located in China and Canada, which have higher income tax rates than the U.S.</w:t>
      </w:r>
    </w:p>
    <w:p>
      <w:pPr>
        <w:spacing w:after="0" w:line="19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During the first nine months of fiscal 2023, we incurred a significantly higher consolidated pre-tax loss totaling $(24.5) million, compared with a much lower pre-tax income totaling $5.4 million, during the first nine months of fiscal 2022. As a result, the principal differences between income tax expense at the U.S. federal income tax rate and the effective income tax rate reflected in the consolidated financial statements were more pronounced during the first nine months of fiscal 2022, compared with the first nine months of fiscal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9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As of January 29, 2023, we evaluated the realizability of our U.S. net deferred income tax assets to determine if a full valuation allowance was required. Based on our assessment, we determined we still have a recent history of significant cumulative U.S. taxable losses, in that we experienced U.S. taxable losses during each of the last three fiscal years from 2020 through 2022, and we are currently expecting significant U.S. pre-tax losses to continue during fiscal 2023.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4" w:right="299" w:bottom="1440" w:gutter="0" w:footer="0" w:header="0"/>
        </w:sectPr>
      </w:pPr>
    </w:p>
    <w:bookmarkStart w:id="26" w:name="page27"/>
    <w:bookmarkEnd w:id="26"/>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on our assessments as of January 29, 2023, January 30, 2022, and May 1, 2022, valuation allowances against our net deferred income tax assets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January 29, 2023</w:t>
            </w:r>
          </w:p>
        </w:tc>
        <w:tc>
          <w:tcPr>
            <w:tcW w:w="15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January 30, 2022</w:t>
            </w: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1, 2022</w:t>
            </w:r>
          </w:p>
        </w:tc>
      </w:tr>
      <w:tr>
        <w:trPr>
          <w:trHeight w:val="23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15,741</w:t>
            </w:r>
          </w:p>
        </w:tc>
        <w:tc>
          <w:tcPr>
            <w:tcW w:w="15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7,802</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9,527</w:t>
            </w:r>
          </w:p>
        </w:tc>
      </w:tr>
      <w:tr>
        <w:trPr>
          <w:trHeight w:val="22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2,330</w:t>
            </w:r>
          </w:p>
        </w:tc>
        <w:tc>
          <w:tcPr>
            <w:tcW w:w="1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2,330</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2,330</w:t>
            </w:r>
          </w:p>
        </w:tc>
      </w:tr>
      <w:tr>
        <w:trPr>
          <w:trHeight w:val="263"/>
        </w:trPr>
        <w:tc>
          <w:tcPr>
            <w:tcW w:w="5120" w:type="dxa"/>
            <w:vAlign w:val="bottom"/>
            <w:tcBorders>
              <w:bottom w:val="single" w:sz="8" w:color="auto"/>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18,071</w:t>
            </w:r>
          </w:p>
        </w:tc>
        <w:tc>
          <w:tcPr>
            <w:tcW w:w="15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10,132</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11,857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January 29, 2023,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January 29, 2023, January 30, 2022, and May 1, 2022, we recorded a deferred income tax liability of $4.1 million, $3.6 million, and $3.5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or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January 29, 2023, we had a $1.2 million total gross unrecognized income tax benefit, of which the entire amount was classified as income taxes payable – long-term in the accompanying Consolidated Balance Sheets. As of May 1, 2022, we had a $1.1 million total gross unrecognized income tax benefit, of which the entire amount was classified as income taxes payable – long-term in the accompanying Consolidated Balance Sheets. As of January 30, 2022, we had a $1.4 million total gross unrecognized income tax benefit, of which $1.1 million and $380,000 were recorded to income taxes payable – long-term and noncurrent deferred income taxes, respectively, in the accompanying Consolidated Balance Sheets. These unrecognized income tax benefits would favorably affect the income tax rate in future periods by $1.2 million, $1.1 million, and $1.1 million, as of January 29, 2023, May 1, 2022, and January 30, 2022, respectively.</w:t>
      </w:r>
    </w:p>
    <w:p>
      <w:pPr>
        <w:spacing w:after="0" w:line="14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gross unrecognized income tax benefit of $1.2 million as of January 29, 2023, relates to income tax positions for which significant change is currently not expected within the next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Nine Months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Nine Months</w:t>
            </w:r>
          </w:p>
        </w:tc>
        <w:tc>
          <w:tcPr>
            <w:tcW w:w="100" w:type="dxa"/>
            <w:vAlign w:val="bottom"/>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14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7"/>
              </w:rPr>
              <w:t>Ended</w:t>
            </w:r>
          </w:p>
        </w:tc>
        <w:tc>
          <w:tcPr>
            <w:tcW w:w="100" w:type="dxa"/>
            <w:vAlign w:val="bottom"/>
          </w:tcPr>
          <w:p>
            <w:pPr>
              <w:spacing w:after="0"/>
              <w:rPr>
                <w:sz w:val="23"/>
                <w:szCs w:val="23"/>
                <w:color w:val="auto"/>
              </w:rPr>
            </w:pPr>
          </w:p>
        </w:tc>
      </w:tr>
      <w:tr>
        <w:trPr>
          <w:trHeight w:val="270"/>
        </w:trPr>
        <w:tc>
          <w:tcPr>
            <w:tcW w:w="6740" w:type="dxa"/>
            <w:vAlign w:val="bottom"/>
          </w:tcPr>
          <w:p>
            <w:pPr>
              <w:spacing w:after="0"/>
              <w:rPr>
                <w:sz w:val="23"/>
                <w:szCs w:val="23"/>
                <w:color w:val="auto"/>
              </w:rPr>
            </w:pPr>
          </w:p>
        </w:tc>
        <w:tc>
          <w:tcPr>
            <w:tcW w:w="14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January 29,</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January 30,</w:t>
            </w:r>
          </w:p>
        </w:tc>
        <w:tc>
          <w:tcPr>
            <w:tcW w:w="100" w:type="dxa"/>
            <w:vAlign w:val="bottom"/>
          </w:tcPr>
          <w:p>
            <w:pPr>
              <w:spacing w:after="0"/>
              <w:rPr>
                <w:sz w:val="23"/>
                <w:szCs w:val="23"/>
                <w:color w:val="auto"/>
              </w:rPr>
            </w:pPr>
          </w:p>
        </w:tc>
      </w:tr>
      <w:tr>
        <w:trPr>
          <w:trHeight w:val="24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6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2023</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21"/>
                <w:szCs w:val="21"/>
                <w:color w:val="auto"/>
              </w:rPr>
            </w:pPr>
          </w:p>
        </w:tc>
      </w:tr>
      <w:tr>
        <w:trPr>
          <w:trHeight w:val="22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146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FF0FC"/>
          </w:tcPr>
          <w:p>
            <w:pPr>
              <w:spacing w:after="0"/>
              <w:rPr>
                <w:sz w:val="19"/>
                <w:szCs w:val="19"/>
                <w:color w:val="auto"/>
              </w:rPr>
            </w:pP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1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Pr>
          <w:p>
            <w:pPr>
              <w:spacing w:after="0"/>
              <w:rPr>
                <w:sz w:val="19"/>
                <w:szCs w:val="19"/>
                <w:color w:val="auto"/>
              </w:rPr>
            </w:pPr>
          </w:p>
        </w:tc>
      </w:tr>
      <w:tr>
        <w:trPr>
          <w:trHeight w:val="212"/>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China - Withholding Taxes Associated With</w:t>
            </w:r>
          </w:p>
        </w:tc>
        <w:tc>
          <w:tcPr>
            <w:tcW w:w="1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and Profits Distributed to the U.S.</w:t>
            </w:r>
          </w:p>
        </w:tc>
        <w:tc>
          <w:tcPr>
            <w:tcW w:w="14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FF0FC"/>
          </w:tcPr>
          <w:p>
            <w:pPr>
              <w:spacing w:after="0"/>
              <w:rPr>
                <w:sz w:val="19"/>
                <w:szCs w:val="19"/>
                <w:color w:val="auto"/>
              </w:rPr>
            </w:pP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14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(9 )</w:t>
            </w: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9"/>
                <w:szCs w:val="19"/>
                <w:color w:val="auto"/>
              </w:rPr>
            </w:pPr>
          </w:p>
        </w:tc>
      </w:tr>
      <w:tr>
        <w:trPr>
          <w:trHeight w:val="260"/>
        </w:trPr>
        <w:tc>
          <w:tcPr>
            <w:tcW w:w="67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top w:val="single" w:sz="8" w:color="auto"/>
              <w:bottom w:val="single" w:sz="8" w:color="auto"/>
            </w:tcBorders>
            <w:shd w:val="clear" w:color="auto" w:fill="CFF0FC"/>
          </w:tcPr>
          <w:p>
            <w:pPr>
              <w:jc w:val="right"/>
              <w:ind w:right="12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-25400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131" w:gutter="0" w:footer="0" w:header="0"/>
        </w:sectPr>
      </w:pPr>
    </w:p>
    <w:bookmarkStart w:id="27" w:name="page28"/>
    <w:bookmarkEnd w:id="27"/>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29, 2023, there were 224,369 shares available for future equity-based grants under the 2015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Executives</w:t>
      </w:r>
    </w:p>
    <w:p>
      <w:pPr>
        <w:spacing w:after="0" w:line="193"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w:t>
      </w:r>
    </w:p>
    <w:p>
      <w:pPr>
        <w:spacing w:after="0" w:line="13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34"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August 10, 2022 and July 22,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20" w:type="dxa"/>
            <w:vAlign w:val="bottom"/>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August 10,</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July 22,</w:t>
            </w:r>
          </w:p>
        </w:tc>
      </w:tr>
      <w:tr>
        <w:trPr>
          <w:trHeight w:val="250"/>
        </w:trPr>
        <w:tc>
          <w:tcPr>
            <w:tcW w:w="51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2021</w:t>
            </w:r>
          </w:p>
        </w:tc>
        <w:tc>
          <w:tcPr>
            <w:tcW w:w="60" w:type="dxa"/>
            <w:vAlign w:val="bottom"/>
          </w:tcPr>
          <w:p>
            <w:pPr>
              <w:spacing w:after="0"/>
              <w:rPr>
                <w:sz w:val="21"/>
                <w:szCs w:val="2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23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5.06</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60" w:type="dxa"/>
            <w:vAlign w:val="bottom"/>
          </w:tcPr>
          <w:p>
            <w:pPr>
              <w:spacing w:after="0"/>
              <w:rPr>
                <w:sz w:val="21"/>
                <w:szCs w:val="2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2300" w:type="dxa"/>
            <w:vAlign w:val="bottom"/>
          </w:tcPr>
          <w:p>
            <w:pPr>
              <w:spacing w:after="0"/>
              <w:rPr>
                <w:sz w:val="20"/>
                <w:szCs w:val="20"/>
                <w:color w:val="auto"/>
              </w:rPr>
            </w:pP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48.2 %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of peer companies (1)</w:t>
            </w:r>
          </w:p>
        </w:tc>
        <w:tc>
          <w:tcPr>
            <w:tcW w:w="2300" w:type="dxa"/>
            <w:vAlign w:val="bottom"/>
            <w:shd w:val="clear" w:color="auto" w:fill="CFF0FC"/>
          </w:tcPr>
          <w:p>
            <w:pPr>
              <w:spacing w:after="0"/>
              <w:rPr>
                <w:sz w:val="21"/>
                <w:szCs w:val="21"/>
                <w:color w:val="auto"/>
              </w:rPr>
            </w:pPr>
          </w:p>
        </w:tc>
        <w:tc>
          <w:tcPr>
            <w:tcW w:w="21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41.6% - 105.1%</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 - 101.5%</w:t>
            </w:r>
          </w:p>
        </w:tc>
        <w:tc>
          <w:tcPr>
            <w:tcW w:w="60" w:type="dxa"/>
            <w:vAlign w:val="bottom"/>
          </w:tcPr>
          <w:p>
            <w:pPr>
              <w:spacing w:after="0"/>
              <w:rPr>
                <w:sz w:val="21"/>
                <w:szCs w:val="2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00" w:type="dxa"/>
            <w:vAlign w:val="bottom"/>
          </w:tcPr>
          <w:p>
            <w:pPr>
              <w:spacing w:after="0"/>
              <w:rPr>
                <w:sz w:val="20"/>
                <w:szCs w:val="20"/>
                <w:color w:val="auto"/>
              </w:rPr>
            </w:pP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3.13 %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0.33 %</w:t>
            </w: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300" w:type="dxa"/>
            <w:vAlign w:val="bottom"/>
          </w:tcPr>
          <w:p>
            <w:pPr>
              <w:spacing w:after="0"/>
              <w:rPr>
                <w:sz w:val="20"/>
                <w:szCs w:val="20"/>
                <w:color w:val="auto"/>
              </w:rPr>
            </w:pP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5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Correlation coefficient of peer companies (1)</w:t>
            </w:r>
          </w:p>
        </w:tc>
        <w:tc>
          <w:tcPr>
            <w:tcW w:w="23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0.05 - 0.23</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0.03 - 0.35</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jc w:val="both"/>
        <w:ind w:left="380" w:right="60" w:hanging="372"/>
        <w:spacing w:after="0" w:line="24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volatility and correlation coefficient of our peer companies for the August 10, 2022 and July 22, 2021, grant dates were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Employees</w:t>
      </w:r>
    </w:p>
    <w:p>
      <w:pPr>
        <w:spacing w:after="0" w:line="179"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key employees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Overall</w:t>
      </w:r>
    </w:p>
    <w:p>
      <w:pPr>
        <w:spacing w:after="0" w:line="220"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and key employees that were unvested as of January 29,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8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rPr>
              <w:t>(3)</w:t>
            </w:r>
          </w:p>
        </w:tc>
        <w:tc>
          <w:tcPr>
            <w:tcW w:w="17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29"/>
        </w:trPr>
        <w:tc>
          <w:tcPr>
            <w:tcW w:w="2480" w:type="dxa"/>
            <w:vAlign w:val="bottom"/>
          </w:tcPr>
          <w:p>
            <w:pPr>
              <w:spacing w:after="0"/>
              <w:rPr>
                <w:sz w:val="19"/>
                <w:szCs w:val="19"/>
                <w:color w:val="auto"/>
              </w:rPr>
            </w:pPr>
          </w:p>
        </w:tc>
        <w:tc>
          <w:tcPr>
            <w:tcW w:w="290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rPr>
              <w:t>Performance-Based</w:t>
            </w:r>
          </w:p>
        </w:tc>
        <w:tc>
          <w:tcPr>
            <w:tcW w:w="17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Restricted Stock</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2480" w:type="dxa"/>
            <w:vAlign w:val="bottom"/>
          </w:tcPr>
          <w:p>
            <w:pPr>
              <w:spacing w:after="0"/>
              <w:rPr>
                <w:sz w:val="19"/>
                <w:szCs w:val="19"/>
                <w:color w:val="auto"/>
              </w:rPr>
            </w:pPr>
          </w:p>
        </w:tc>
        <w:tc>
          <w:tcPr>
            <w:tcW w:w="290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rPr>
              <w:t>Restricted Stock</w:t>
            </w:r>
          </w:p>
        </w:tc>
        <w:tc>
          <w:tcPr>
            <w:tcW w:w="17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Units Expected</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29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w w:val="98"/>
              </w:rPr>
              <w:t>Units Awarded</w:t>
            </w:r>
          </w:p>
        </w:tc>
        <w:tc>
          <w:tcPr>
            <w:tcW w:w="1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6"/>
              </w:rPr>
              <w:t>to Vest</w:t>
            </w:r>
          </w:p>
        </w:tc>
        <w:tc>
          <w:tcPr>
            <w:tcW w:w="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Price Per Share</w:t>
            </w:r>
          </w:p>
        </w:tc>
        <w:tc>
          <w:tcPr>
            <w:tcW w:w="5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29"/>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10, 2022 (1)</w:t>
            </w:r>
          </w:p>
        </w:tc>
        <w:tc>
          <w:tcPr>
            <w:tcW w:w="29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178,714</w:t>
            </w:r>
          </w:p>
        </w:tc>
        <w:tc>
          <w:tcPr>
            <w:tcW w:w="178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5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rPr>
              <w:t>3 years</w:t>
            </w:r>
          </w:p>
        </w:tc>
      </w:tr>
      <w:tr>
        <w:trPr>
          <w:trHeight w:val="220"/>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 22, 2021 (1)</w:t>
            </w:r>
          </w:p>
        </w:tc>
        <w:tc>
          <w:tcPr>
            <w:tcW w:w="29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122,476</w:t>
            </w:r>
          </w:p>
        </w:tc>
        <w:tc>
          <w:tcPr>
            <w:tcW w:w="178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5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w:t>
            </w:r>
          </w:p>
        </w:tc>
        <w:tc>
          <w:tcPr>
            <w:tcW w:w="16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3 years</w:t>
            </w:r>
          </w:p>
        </w:tc>
      </w:tr>
      <w:tr>
        <w:trPr>
          <w:trHeight w:val="273"/>
        </w:trPr>
        <w:tc>
          <w:tcPr>
            <w:tcW w:w="2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22, 2021 (2)</w:t>
            </w:r>
          </w:p>
        </w:tc>
        <w:tc>
          <w:tcPr>
            <w:tcW w:w="29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20,500</w:t>
            </w:r>
          </w:p>
        </w:tc>
        <w:tc>
          <w:tcPr>
            <w:tcW w:w="1780" w:type="dxa"/>
            <w:vAlign w:val="bottom"/>
            <w:tcBorders>
              <w:bottom w:val="single" w:sz="8" w:color="auto"/>
            </w:tcBorders>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54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(7)</w:t>
            </w:r>
          </w:p>
        </w:tc>
        <w:tc>
          <w:tcPr>
            <w:tcW w:w="164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193"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senior executives.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key employees.</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92" w:right="279" w:bottom="1440" w:gutter="0" w:footer="0" w:header="0"/>
        </w:sectPr>
      </w:pPr>
    </w:p>
    <w:bookmarkStart w:id="28" w:name="page29"/>
    <w:bookmarkEnd w:id="28"/>
    <w:p>
      <w:pPr>
        <w:ind w:left="380" w:hanging="372"/>
        <w:spacing w:after="0" w:line="269" w:lineRule="auto"/>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3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January 29, 2023.</w:t>
      </w:r>
    </w:p>
    <w:p>
      <w:pPr>
        <w:spacing w:after="0" w:line="133"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($1.08 per $1, or an increase of $1.18 to the closing price of our common stock on the date of grant) determined using the Monte Carlo simulation model for the market-based total shareholder return component and the closing price of our common stock ($14.75) for the performance-based component of the performance-based restricted stock units granted to senior executives on July 22, 2021.</w:t>
      </w:r>
    </w:p>
    <w:p>
      <w:pPr>
        <w:spacing w:after="0" w:line="152"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closing price of our common stock on the date of grant.</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performance-based restricted stock units that vested during the nine-month periods ending January 29, 2023, and January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jc w:val="center"/>
              <w:ind w:left="1979"/>
              <w:spacing w:after="0"/>
              <w:rPr>
                <w:sz w:val="20"/>
                <w:szCs w:val="20"/>
                <w:color w:val="auto"/>
              </w:rPr>
            </w:pPr>
            <w:r>
              <w:rPr>
                <w:rFonts w:ascii="Times New Roman" w:cs="Times New Roman" w:eastAsia="Times New Roman" w:hAnsi="Times New Roman"/>
                <w:sz w:val="16"/>
                <w:szCs w:val="16"/>
                <w:color w:val="auto"/>
              </w:rPr>
              <w:t>Performance-Based</w:t>
            </w:r>
          </w:p>
        </w:tc>
        <w:tc>
          <w:tcPr>
            <w:tcW w:w="14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6"/>
              </w:rPr>
              <w:t>(4)</w:t>
            </w:r>
          </w:p>
        </w:tc>
      </w:tr>
      <w:tr>
        <w:trPr>
          <w:trHeight w:val="229"/>
        </w:trPr>
        <w:tc>
          <w:tcPr>
            <w:tcW w:w="3400" w:type="dxa"/>
            <w:vAlign w:val="bottom"/>
          </w:tcPr>
          <w:p>
            <w:pPr>
              <w:spacing w:after="0"/>
              <w:rPr>
                <w:sz w:val="19"/>
                <w:szCs w:val="19"/>
                <w:color w:val="auto"/>
              </w:rPr>
            </w:pPr>
          </w:p>
        </w:tc>
        <w:tc>
          <w:tcPr>
            <w:tcW w:w="4060" w:type="dxa"/>
            <w:vAlign w:val="bottom"/>
          </w:tcPr>
          <w:p>
            <w:pPr>
              <w:jc w:val="center"/>
              <w:ind w:left="1959"/>
              <w:spacing w:after="0"/>
              <w:rPr>
                <w:sz w:val="20"/>
                <w:szCs w:val="20"/>
                <w:color w:val="auto"/>
              </w:rPr>
            </w:pPr>
            <w:r>
              <w:rPr>
                <w:rFonts w:ascii="Times New Roman" w:cs="Times New Roman" w:eastAsia="Times New Roman" w:hAnsi="Times New Roman"/>
                <w:sz w:val="16"/>
                <w:szCs w:val="16"/>
                <w:color w:val="auto"/>
              </w:rPr>
              <w:t>Restricted Stock</w:t>
            </w: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Price</w:t>
            </w:r>
          </w:p>
        </w:tc>
      </w:tr>
      <w:tr>
        <w:trPr>
          <w:trHeight w:val="24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4060" w:type="dxa"/>
            <w:vAlign w:val="bottom"/>
            <w:tcBorders>
              <w:bottom w:val="single" w:sz="8" w:color="auto"/>
            </w:tcBorders>
          </w:tcPr>
          <w:p>
            <w:pPr>
              <w:jc w:val="center"/>
              <w:ind w:left="1959"/>
              <w:spacing w:after="0"/>
              <w:rPr>
                <w:sz w:val="20"/>
                <w:szCs w:val="20"/>
                <w:color w:val="auto"/>
              </w:rPr>
            </w:pPr>
            <w:r>
              <w:rPr>
                <w:rFonts w:ascii="Times New Roman" w:cs="Times New Roman" w:eastAsia="Times New Roman" w:hAnsi="Times New Roman"/>
                <w:sz w:val="16"/>
                <w:szCs w:val="16"/>
                <w:color w:val="auto"/>
                <w:w w:val="98"/>
              </w:rPr>
              <w:t>Units Vested</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Fair Value</w:t>
            </w: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Per Share</w:t>
            </w:r>
          </w:p>
        </w:tc>
      </w:tr>
      <w:tr>
        <w:trPr>
          <w:trHeight w:val="22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2023 (1)</w:t>
            </w:r>
          </w:p>
        </w:tc>
        <w:tc>
          <w:tcPr>
            <w:tcW w:w="4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545</w:t>
            </w:r>
          </w:p>
        </w:tc>
        <w:tc>
          <w:tcPr>
            <w:tcW w:w="148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r>
        <w:trPr>
          <w:trHeight w:val="22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2023 (2)</w:t>
            </w:r>
          </w:p>
        </w:tc>
        <w:tc>
          <w:tcPr>
            <w:tcW w:w="4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437</w:t>
            </w:r>
          </w:p>
        </w:tc>
        <w:tc>
          <w:tcPr>
            <w:tcW w:w="148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r>
        <w:trPr>
          <w:trHeight w:val="23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2022 (1)</w:t>
            </w:r>
          </w:p>
        </w:tc>
        <w:tc>
          <w:tcPr>
            <w:tcW w:w="4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5,051</w:t>
            </w:r>
          </w:p>
        </w:tc>
        <w:tc>
          <w:tcPr>
            <w:tcW w:w="148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87</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17.14</w:t>
            </w:r>
          </w:p>
        </w:tc>
      </w:tr>
      <w:tr>
        <w:trPr>
          <w:trHeight w:val="22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2022 (2)</w:t>
            </w:r>
          </w:p>
        </w:tc>
        <w:tc>
          <w:tcPr>
            <w:tcW w:w="4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5,812</w:t>
            </w:r>
          </w:p>
        </w:tc>
        <w:tc>
          <w:tcPr>
            <w:tcW w:w="148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17.14</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senior executives.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key employees.</w:t>
      </w:r>
    </w:p>
    <w:p>
      <w:pPr>
        <w:spacing w:after="0" w:line="1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is derived from the closing price of our common stock on the date the respective performance-based restricted stock units vested.</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recorded a charge of $2,000 and a credit of $40,000 to compensation expense within selling, general, and administrative expenses for the nine-month periods ending January 29, 2023, and January 30, 2022,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following table summarizes </w:t>
      </w:r>
      <w:r>
        <w:rPr>
          <w:rFonts w:ascii="Times New Roman" w:cs="Times New Roman" w:eastAsia="Times New Roman" w:hAnsi="Times New Roman"/>
          <w:sz w:val="17"/>
          <w:szCs w:val="17"/>
          <w:color w:val="auto"/>
        </w:rPr>
        <w:t>information</w:t>
      </w:r>
      <w:r>
        <w:rPr>
          <w:rFonts w:ascii="Times New Roman" w:cs="Times New Roman" w:eastAsia="Times New Roman" w:hAnsi="Times New Roman"/>
          <w:sz w:val="20"/>
          <w:szCs w:val="20"/>
          <w:color w:val="auto"/>
        </w:rPr>
        <w:t xml:space="preserve"> related to our grants of time-based restricted stock unit awards associated with senior executives and key members of management that were unvested as of January 29,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2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left="1879"/>
              <w:spacing w:after="0"/>
              <w:rPr>
                <w:sz w:val="20"/>
                <w:szCs w:val="20"/>
                <w:color w:val="auto"/>
              </w:rPr>
            </w:pPr>
            <w:r>
              <w:rPr>
                <w:rFonts w:ascii="Times New Roman" w:cs="Times New Roman" w:eastAsia="Times New Roman" w:hAnsi="Times New Roman"/>
                <w:sz w:val="16"/>
                <w:szCs w:val="16"/>
                <w:color w:val="auto"/>
                <w:w w:val="99"/>
              </w:rPr>
              <w:t>Time-Based</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229"/>
        </w:trPr>
        <w:tc>
          <w:tcPr>
            <w:tcW w:w="3520" w:type="dxa"/>
            <w:vAlign w:val="bottom"/>
          </w:tcPr>
          <w:p>
            <w:pPr>
              <w:spacing w:after="0"/>
              <w:rPr>
                <w:sz w:val="19"/>
                <w:szCs w:val="19"/>
                <w:color w:val="auto"/>
              </w:rPr>
            </w:pPr>
          </w:p>
        </w:tc>
        <w:tc>
          <w:tcPr>
            <w:tcW w:w="366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3660" w:type="dxa"/>
            <w:vAlign w:val="bottom"/>
            <w:tcBorders>
              <w:bottom w:val="single" w:sz="8" w:color="auto"/>
            </w:tcBorders>
          </w:tcPr>
          <w:p>
            <w:pPr>
              <w:jc w:val="center"/>
              <w:ind w:left="1879"/>
              <w:spacing w:after="0"/>
              <w:rPr>
                <w:sz w:val="20"/>
                <w:szCs w:val="20"/>
                <w:color w:val="auto"/>
              </w:rPr>
            </w:pPr>
            <w:r>
              <w:rPr>
                <w:rFonts w:ascii="Times New Roman" w:cs="Times New Roman" w:eastAsia="Times New Roman" w:hAnsi="Times New Roman"/>
                <w:sz w:val="16"/>
                <w:szCs w:val="16"/>
                <w:color w:val="auto"/>
              </w:rPr>
              <w:t>Units Awarded</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Price Per Share</w:t>
            </w:r>
          </w:p>
        </w:tc>
        <w:tc>
          <w:tcPr>
            <w:tcW w:w="1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2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6, 2022</w:t>
            </w:r>
          </w:p>
        </w:tc>
        <w:tc>
          <w:tcPr>
            <w:tcW w:w="3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37,671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to 3 years</w:t>
            </w: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10, 2022</w:t>
            </w:r>
          </w:p>
        </w:tc>
        <w:tc>
          <w:tcPr>
            <w:tcW w:w="3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82,016</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3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22, 2021</w:t>
            </w:r>
          </w:p>
        </w:tc>
        <w:tc>
          <w:tcPr>
            <w:tcW w:w="3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37,591</w:t>
            </w:r>
          </w:p>
        </w:tc>
        <w:tc>
          <w:tcPr>
            <w:tcW w:w="5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FF0FC"/>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6, 2020</w:t>
            </w:r>
          </w:p>
        </w:tc>
        <w:tc>
          <w:tcPr>
            <w:tcW w:w="3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129,095</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73"/>
        </w:trPr>
        <w:tc>
          <w:tcPr>
            <w:tcW w:w="35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2, 2018</w:t>
            </w:r>
          </w:p>
        </w:tc>
        <w:tc>
          <w:tcPr>
            <w:tcW w:w="3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Borders>
              <w:bottom w:val="single" w:sz="8" w:color="CFF0FC"/>
            </w:tcBorders>
            <w:shd w:val="clear" w:color="auto" w:fill="CFF0FC"/>
          </w:tcPr>
          <w:p>
            <w:pPr>
              <w:spacing w:after="0"/>
              <w:rPr>
                <w:sz w:val="23"/>
                <w:szCs w:val="23"/>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-25400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Price per share represents closing price of common stock on the date the respective award was granted.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related to our time-based restricted stock units that vested during the nine-month period ending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29, 2023:</w:t>
      </w:r>
    </w:p>
    <w:p>
      <w:pPr>
        <w:sectPr>
          <w:pgSz w:w="11900" w:h="16838" w:orient="portrait"/>
          <w:cols w:equalWidth="0" w:num="1">
            <w:col w:w="11240"/>
          </w:cols>
          <w:pgMar w:left="320" w:top="292" w:right="339" w:bottom="1102"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102"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4"/>
        </w:trPr>
        <w:tc>
          <w:tcPr>
            <w:tcW w:w="336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tcPr>
          <w:p>
            <w:pPr>
              <w:jc w:val="center"/>
              <w:ind w:left="1819"/>
              <w:spacing w:after="0"/>
              <w:rPr>
                <w:sz w:val="20"/>
                <w:szCs w:val="20"/>
                <w:color w:val="auto"/>
              </w:rPr>
            </w:pPr>
            <w:r>
              <w:rPr>
                <w:rFonts w:ascii="Times New Roman" w:cs="Times New Roman" w:eastAsia="Times New Roman" w:hAnsi="Times New Roman"/>
                <w:sz w:val="16"/>
                <w:szCs w:val="16"/>
                <w:color w:val="auto"/>
              </w:rPr>
              <w:t>Time-Based</w:t>
            </w:r>
          </w:p>
        </w:tc>
        <w:tc>
          <w:tcPr>
            <w:tcW w:w="1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(4)</w:t>
            </w:r>
          </w:p>
        </w:tc>
      </w:tr>
      <w:tr>
        <w:trPr>
          <w:trHeight w:val="229"/>
        </w:trPr>
        <w:tc>
          <w:tcPr>
            <w:tcW w:w="3360" w:type="dxa"/>
            <w:vAlign w:val="bottom"/>
          </w:tcPr>
          <w:p>
            <w:pPr>
              <w:spacing w:after="0"/>
              <w:rPr>
                <w:sz w:val="19"/>
                <w:szCs w:val="19"/>
                <w:color w:val="auto"/>
              </w:rPr>
            </w:pPr>
          </w:p>
        </w:tc>
        <w:tc>
          <w:tcPr>
            <w:tcW w:w="38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Restricted Stock</w:t>
            </w: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7"/>
              </w:rPr>
              <w:t>Price</w:t>
            </w:r>
          </w:p>
        </w:tc>
      </w:tr>
      <w:tr>
        <w:trPr>
          <w:trHeight w:val="24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3860" w:type="dxa"/>
            <w:vAlign w:val="bottom"/>
            <w:tcBorders>
              <w:bottom w:val="single" w:sz="8" w:color="auto"/>
            </w:tcBorders>
          </w:tcPr>
          <w:p>
            <w:pPr>
              <w:jc w:val="center"/>
              <w:ind w:left="1819"/>
              <w:spacing w:after="0"/>
              <w:rPr>
                <w:sz w:val="20"/>
                <w:szCs w:val="20"/>
                <w:color w:val="auto"/>
              </w:rPr>
            </w:pPr>
            <w:r>
              <w:rPr>
                <w:rFonts w:ascii="Times New Roman" w:cs="Times New Roman" w:eastAsia="Times New Roman" w:hAnsi="Times New Roman"/>
                <w:sz w:val="16"/>
                <w:szCs w:val="16"/>
                <w:color w:val="auto"/>
              </w:rPr>
              <w:t>Units Vested</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Fair Value</w:t>
            </w:r>
          </w:p>
        </w:tc>
        <w:tc>
          <w:tcPr>
            <w:tcW w:w="5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Per Share</w:t>
            </w:r>
          </w:p>
        </w:tc>
      </w:tr>
      <w:tr>
        <w:trPr>
          <w:trHeight w:val="22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2023 (1)</w:t>
            </w:r>
          </w:p>
        </w:tc>
        <w:tc>
          <w:tcPr>
            <w:tcW w:w="3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19,786</w:t>
            </w:r>
          </w:p>
        </w:tc>
        <w:tc>
          <w:tcPr>
            <w:tcW w:w="144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5.10</w:t>
            </w:r>
          </w:p>
        </w:tc>
      </w:tr>
      <w:tr>
        <w:trPr>
          <w:trHeight w:val="22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2023 (2)</w:t>
            </w:r>
          </w:p>
        </w:tc>
        <w:tc>
          <w:tcPr>
            <w:tcW w:w="3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13,013</w:t>
            </w:r>
          </w:p>
        </w:tc>
        <w:tc>
          <w:tcPr>
            <w:tcW w:w="144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5.10</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vested by senior executives.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vested by key employees.</w:t>
      </w:r>
    </w:p>
    <w:p>
      <w:pPr>
        <w:spacing w:after="0" w:line="1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Price per share is derived from the closing price of our common stock on the date the respective time-based restricted stock units vested.</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$634,000 and $682,000 within selling, general, and administrative expenses associated with our time-based restricted stock unit awards for the nine-month periods ending January 29, 2023, and January 30, 2022, respectively.</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29, 2023, the remaining unrecognized compensation expense related to our time-based restricted stock units was $1.0 million, which is expected to be recognized over a weighted average vesting period of 1.7 years. As of January 29, 2023, the time-based restricted stock units that are expected to vest had a fair value totaling $1.6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Awards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granted a total of 17,819, 18,326, and 19,753 shares of common stock to our outside directors on January 3, 2023, October 3, 2022, and July 1, 2022, respectively. These shares of common stock vested immediately and were measured at their fair value on the date of grant. The fair value of these awards was $4.70, $4.57, and $4.24 per share on January 3, 2023, October 3, 2022, and July 1, 2022, respectively, which represents the closing price of our common stock on the date of grant.</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granted a total of 8,357, 6,426, and 4,312 shares of common stock to our outside directors on January 3, 2022, October 1, 2021, and July 1, 2021, respectively. These shares of common stock vested immediately and were measured at their fair value on the date of grant. The fair value of these awards was $10.02, $13.03, and $16.24 per share on January 3, 2022, October 1, 2021, and July 1, 2021, respectively, which represents the closing price of our common stock on the date of grant.</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$251,000 and $238,000 of compensation expense within selling, general, and administrative expenses for common stock awards to our outside directors for the nine-month periods ending January 29, 2023, and January 30,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nine years, with renewal options for additional periods ranging up to twelve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January 29, 2023, January 30, 2022, and May 1,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Pr>
          <w:p>
            <w:pPr>
              <w:spacing w:after="0"/>
              <w:rPr>
                <w:sz w:val="17"/>
                <w:szCs w:val="17"/>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January 29,</w:t>
            </w:r>
          </w:p>
        </w:tc>
        <w:tc>
          <w:tcPr>
            <w:tcW w:w="400" w:type="dxa"/>
            <w:vAlign w:val="bottom"/>
          </w:tcPr>
          <w:p>
            <w:pPr>
              <w:spacing w:after="0"/>
              <w:rPr>
                <w:sz w:val="17"/>
                <w:szCs w:val="17"/>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January 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8,913</w:t>
            </w:r>
          </w:p>
        </w:tc>
        <w:tc>
          <w:tcPr>
            <w:tcW w:w="4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15,577</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900" w:type="dxa"/>
            <w:vAlign w:val="bottom"/>
          </w:tcPr>
          <w:p>
            <w:pPr>
              <w:spacing w:after="0"/>
              <w:rPr>
                <w:sz w:val="19"/>
                <w:szCs w:val="19"/>
                <w:color w:val="auto"/>
              </w:rPr>
            </w:pPr>
          </w:p>
        </w:tc>
        <w:tc>
          <w:tcPr>
            <w:tcW w:w="12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w w:val="99"/>
              </w:rPr>
              <w:t>2,785</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3,219</w:t>
            </w:r>
          </w:p>
        </w:tc>
        <w:tc>
          <w:tcPr>
            <w:tcW w:w="0" w:type="dxa"/>
            <w:vAlign w:val="bottom"/>
          </w:tcPr>
          <w:p>
            <w:pPr>
              <w:spacing w:after="0"/>
              <w:rPr>
                <w:sz w:val="1"/>
                <w:szCs w:val="1"/>
                <w:color w:val="auto"/>
              </w:rPr>
            </w:pPr>
          </w:p>
        </w:tc>
      </w:tr>
      <w:tr>
        <w:trPr>
          <w:trHeight w:val="233"/>
        </w:trPr>
        <w:tc>
          <w:tcPr>
            <w:tcW w:w="4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19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4,399</w:t>
            </w:r>
          </w:p>
        </w:tc>
        <w:tc>
          <w:tcPr>
            <w:tcW w:w="4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7,848</w:t>
            </w:r>
          </w:p>
        </w:tc>
        <w:tc>
          <w:tcPr>
            <w:tcW w:w="1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7,062</w:t>
            </w:r>
          </w:p>
        </w:tc>
        <w:tc>
          <w:tcPr>
            <w:tcW w:w="0" w:type="dxa"/>
            <w:vAlign w:val="bottom"/>
          </w:tcPr>
          <w:p>
            <w:pPr>
              <w:spacing w:after="0"/>
              <w:rPr>
                <w:sz w:val="1"/>
                <w:szCs w:val="1"/>
                <w:color w:val="auto"/>
              </w:rPr>
            </w:pPr>
          </w:p>
        </w:tc>
      </w:tr>
      <w:tr>
        <w:trPr>
          <w:trHeight w:val="452"/>
        </w:trPr>
        <w:tc>
          <w:tcPr>
            <w:tcW w:w="49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gridSpan w:val="2"/>
          </w:tcPr>
          <w:p>
            <w:pPr>
              <w:jc w:val="center"/>
              <w:ind w:right="479"/>
              <w:spacing w:after="0"/>
              <w:rPr>
                <w:sz w:val="20"/>
                <w:szCs w:val="20"/>
                <w:color w:val="auto"/>
              </w:rPr>
            </w:pPr>
            <w:r>
              <w:rPr>
                <w:rFonts w:ascii="Times New Roman" w:cs="Times New Roman" w:eastAsia="Times New Roman" w:hAnsi="Times New Roman"/>
                <w:sz w:val="16"/>
                <w:szCs w:val="16"/>
                <w:color w:val="auto"/>
              </w:rPr>
              <w:t>Nine Months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w w:val="99"/>
              </w:rPr>
              <w:t>Nine Months</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479"/>
              <w:spacing w:after="0"/>
              <w:rPr>
                <w:sz w:val="20"/>
                <w:szCs w:val="20"/>
                <w:color w:val="auto"/>
              </w:rPr>
            </w:pPr>
            <w:r>
              <w:rPr>
                <w:rFonts w:ascii="Times New Roman" w:cs="Times New Roman" w:eastAsia="Times New Roman" w:hAnsi="Times New Roman"/>
                <w:sz w:val="16"/>
                <w:szCs w:val="16"/>
                <w:color w:val="auto"/>
              </w:rPr>
              <w:t>Ended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color w:val="auto"/>
              </w:rPr>
              <w:t>January 29, 2023</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6"/>
                <w:szCs w:val="16"/>
                <w:color w:val="auto"/>
              </w:rPr>
              <w:t>January 30, 2022</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190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1,704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2,249</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1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731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0" w:name="page31"/>
    <w:bookmarkEnd w:id="30"/>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Operating lease expense for the three-month periods ended January 29, 2023, and January 30, 2022, was $921,000 and $1.0 million, respectively. Operating lease expense for the nine-month periods ended January 29, 2023, and January 30, 2022, was $2.9 million and $2.8 million, respectively. Short-term lease and variable lease expenses were immaterial for the three-month and nine-month periods ended January 29, 2023, and January 30,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2023,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3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756</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2,907</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1,914</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1,028</w:t>
            </w:r>
          </w:p>
        </w:tc>
      </w:tr>
      <w:tr>
        <w:trPr>
          <w:trHeight w:val="229"/>
        </w:trPr>
        <w:tc>
          <w:tcPr>
            <w:tcW w:w="5660" w:type="dxa"/>
            <w:vAlign w:val="bottom"/>
            <w:shd w:val="clear" w:color="auto" w:fill="CFF0FC"/>
          </w:tcPr>
          <w:p>
            <w:pPr>
              <w:spacing w:after="0"/>
              <w:rPr>
                <w:sz w:val="19"/>
                <w:szCs w:val="19"/>
                <w:color w:val="auto"/>
              </w:rPr>
            </w:pPr>
          </w:p>
        </w:tc>
        <w:tc>
          <w:tcPr>
            <w:tcW w:w="43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7,557</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(373 )</w:t>
            </w:r>
          </w:p>
        </w:tc>
      </w:tr>
      <w:tr>
        <w:trPr>
          <w:trHeight w:val="263"/>
        </w:trPr>
        <w:tc>
          <w:tcPr>
            <w:tcW w:w="5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7,184</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29, 2023, the weighted average remaining lease term and discount rate for our operating leases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tcBorders>
              <w:top w:val="single" w:sz="8" w:color="auto"/>
              <w:bottom w:val="single" w:sz="8" w:color="auto"/>
            </w:tcBorders>
          </w:tcPr>
          <w:p>
            <w:pPr>
              <w:spacing w:after="0"/>
              <w:rPr>
                <w:sz w:val="20"/>
                <w:szCs w:val="20"/>
                <w:color w:val="auto"/>
              </w:rPr>
            </w:pPr>
          </w:p>
        </w:tc>
        <w:tc>
          <w:tcPr>
            <w:tcW w:w="5400" w:type="dxa"/>
            <w:vAlign w:val="bottom"/>
            <w:tcBorders>
              <w:top w:val="single" w:sz="8" w:color="auto"/>
              <w:bottom w:val="single" w:sz="8" w:color="auto"/>
            </w:tcBorders>
          </w:tcPr>
          <w:p>
            <w:pPr>
              <w:ind w:left="3780"/>
              <w:spacing w:after="0"/>
              <w:rPr>
                <w:sz w:val="20"/>
                <w:szCs w:val="20"/>
                <w:color w:val="auto"/>
              </w:rPr>
            </w:pPr>
            <w:r>
              <w:rPr>
                <w:rFonts w:ascii="Times New Roman" w:cs="Times New Roman" w:eastAsia="Times New Roman" w:hAnsi="Times New Roman"/>
                <w:sz w:val="16"/>
                <w:szCs w:val="16"/>
                <w:color w:val="auto"/>
              </w:rPr>
              <w:t>January 29, 2023</w:t>
            </w:r>
          </w:p>
        </w:tc>
        <w:tc>
          <w:tcPr>
            <w:tcW w:w="40" w:type="dxa"/>
            <w:vAlign w:val="bottom"/>
          </w:tcPr>
          <w:p>
            <w:pPr>
              <w:spacing w:after="0"/>
              <w:rPr>
                <w:sz w:val="20"/>
                <w:szCs w:val="20"/>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lease term</w:t>
            </w:r>
          </w:p>
        </w:tc>
        <w:tc>
          <w:tcPr>
            <w:tcW w:w="5400" w:type="dxa"/>
            <w:vAlign w:val="bottom"/>
            <w:shd w:val="clear" w:color="auto" w:fill="CFF0FC"/>
          </w:tcPr>
          <w:p>
            <w:pPr>
              <w:ind w:left="4700"/>
              <w:spacing w:after="0"/>
              <w:rPr>
                <w:sz w:val="20"/>
                <w:szCs w:val="20"/>
                <w:color w:val="auto"/>
              </w:rPr>
            </w:pPr>
            <w:r>
              <w:rPr>
                <w:rFonts w:ascii="Times New Roman" w:cs="Times New Roman" w:eastAsia="Times New Roman" w:hAnsi="Times New Roman"/>
                <w:sz w:val="16"/>
                <w:szCs w:val="16"/>
                <w:color w:val="auto"/>
              </w:rPr>
              <w:t>3.9 years</w:t>
            </w:r>
          </w:p>
        </w:tc>
        <w:tc>
          <w:tcPr>
            <w:tcW w:w="40" w:type="dxa"/>
            <w:vAlign w:val="bottom"/>
          </w:tcPr>
          <w:p>
            <w:pPr>
              <w:spacing w:after="0"/>
              <w:rPr>
                <w:sz w:val="19"/>
                <w:szCs w:val="19"/>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3.69 %</w:t>
            </w:r>
          </w:p>
        </w:tc>
      </w:tr>
      <w:tr>
        <w:trPr>
          <w:trHeight w:val="23"/>
        </w:trPr>
        <w:tc>
          <w:tcPr>
            <w:tcW w:w="5840" w:type="dxa"/>
            <w:vAlign w:val="bottom"/>
            <w:shd w:val="clear" w:color="auto" w:fill="000000"/>
          </w:tcPr>
          <w:p>
            <w:pPr>
              <w:spacing w:after="0"/>
              <w:rPr>
                <w:sz w:val="2"/>
                <w:szCs w:val="2"/>
                <w:color w:val="auto"/>
              </w:rPr>
            </w:pPr>
          </w:p>
        </w:tc>
        <w:tc>
          <w:tcPr>
            <w:tcW w:w="5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As of January 29, 2023, January 30, 2022, and May 1, 2022, we had total amounts due regarding capital expenditures totaling $25,000, $33,000, and $473,000, respectively, which pertained to outstanding vendor invoices, none of which were financed.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29, 2023, we had open purchase commitments to acquire equipment for our mattress fabrics segment totaling $738,000.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Statutory Reserves</w:t>
      </w:r>
    </w:p>
    <w:p>
      <w:pPr>
        <w:spacing w:after="0" w:line="179"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January 29, 2023,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58"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January 29, 2023, the company’s statutory surplus reserve was $4.3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4"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$4.3 million, to assist with debt repayment, capital expenditures, and other expenses of the company’s business.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11"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18. 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nine-month period ending January 29, 2023, we did not repurchase any shares of our common stock. During the nine-month period ending January 30, 2022, we repurchased 121,688 shares of our common stock at a cost of $1.8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29, 2023, $3.2 million is available for additional repurchases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Dividend Program</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did not make any dividend payments during first nine months of fiscal 2023.</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nine-month period ending January 30, 2022, dividend payments totaled $4.1 million, which represented quarterly dividend payments ranging from $0.11 per share to $0.115 per share.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projections, or trends for our future operations, strategic initiatives and plans, production levels, new product launches, sales, profit margins, profitability, operating income, capital expenditures, working capital levels, cost savings, income taxes, SG&amp;A or other expenses, pre-tax income, earnings, cash flow, and other performance or liquidity measures, as well as any statements regarding dividends, share repurchases, liquidity, use of cash and cash requirements, borrowing capacity, investments, potential acquisitions, future economic or industry trends, public health epidemics, or future developments. There can be no assurance that we will realize these expectations or meet our guidance, or that these beliefs will prove correct.</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disruption in our customers’ supply chains for non-fabric components may cause declines in new orders and/or delayed shipping of existing orders while our customers wait for other components, which could adversely affect our financial results.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and financial results.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auto"/>
        </w:rPr>
        <w:t>ITEM 2. MANAGEMENT’S DISCUSSION AND ANALYSIS OF FINANCIAL CONDITION AND RESULTS OF OPERATIONS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nine months ended January 29, 2023, and January 30, 2023, both represent 39-week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 We currently have mattress fabric operations located in Stokesdale, NC, Quebec, Canada, and Ouanaminthe, Haiti. During the third quarter of fiscal 2023, we completed a rationalization of our U.S.-based mattress fabrics cut and sew platform, which included the closure of our two High Point, NC, facilities associated with this business.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upholstery fabrics segment develops, sources, manufactures, and sells fabrics primarily to residential and commercial furniture manufacturers. We have upholstery fabric operations located in Shanghai, China, and Burlington, NC, as well as cut and sewn kit production in Ouanaminthe Haiti. During the third quarter of fiscal 2023, we began a rationalization and consolidation of our upholstery cut and sewn kit production in Ouanaminthe, Haiti, which includes closing a leased facility and relocating into an existing facility used by our mattress fabrics segment in Ouanaminthe, Haiti (See Note 8 to the consolidated financial statements for further details). Additionally, Read Window Products, LLC (“Read”), a wholly-owned subsidiary with operations located in Knoxville, TN,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4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January 29,</w:t>
            </w:r>
          </w:p>
        </w:tc>
        <w:tc>
          <w:tcPr>
            <w:tcW w:w="200" w:type="dxa"/>
            <w:vAlign w:val="bottom"/>
          </w:tcPr>
          <w:p>
            <w:pPr>
              <w:spacing w:after="0"/>
              <w:rPr>
                <w:sz w:val="19"/>
                <w:szCs w:val="19"/>
                <w:color w:val="auto"/>
              </w:rPr>
            </w:pPr>
          </w:p>
        </w:tc>
        <w:tc>
          <w:tcPr>
            <w:tcW w:w="150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January 30,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52,523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80,291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4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11.3 %</w:t>
            </w: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8"/>
              </w:rPr>
              <w:t>(730)bp</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(7,783 )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4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(14.8 )%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1.4 %</w:t>
            </w: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8"/>
              </w:rPr>
              <w:t>(1620)bp</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(8,682 )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(8,968 )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(289 )</w:t>
            </w: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
        </w:trPr>
        <w:tc>
          <w:tcPr>
            <w:tcW w:w="488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4"/>
        </w:trPr>
        <w:tc>
          <w:tcPr>
            <w:tcW w:w="48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4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January 29,</w:t>
            </w:r>
          </w:p>
        </w:tc>
        <w:tc>
          <w:tcPr>
            <w:tcW w:w="200" w:type="dxa"/>
            <w:vAlign w:val="bottom"/>
          </w:tcPr>
          <w:p>
            <w:pPr>
              <w:spacing w:after="0"/>
              <w:rPr>
                <w:sz w:val="19"/>
                <w:szCs w:val="19"/>
                <w:color w:val="auto"/>
              </w:rPr>
            </w:pPr>
          </w:p>
        </w:tc>
        <w:tc>
          <w:tcPr>
            <w:tcW w:w="150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January 30,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173,508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237,899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4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13.6 %</w:t>
            </w: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8"/>
              </w:rPr>
              <w:t>(1130)bp</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(24,451 )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4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2.5 %</w:t>
            </w: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8"/>
              </w:rPr>
              <w:t>(1660)bp</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(24,507 )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w w:val="99"/>
              </w:rPr>
              <w:t>(11.4)%</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(26,839 )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
        </w:trPr>
        <w:tc>
          <w:tcPr>
            <w:tcW w:w="488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Overall, our net sales for the third quarter of fiscal 2023 decreased by 34.6% compared with the same period a year ago, with mattress fabrics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decreasing 35.8% and upholstery fabrics sales decreasing 33.5%. Our net sales for the first nine months of fiscal 2023 decreased by</w:t>
      </w:r>
    </w:p>
    <w:p>
      <w:pPr>
        <w:spacing w:after="0"/>
        <w:rPr>
          <w:sz w:val="20"/>
          <w:szCs w:val="20"/>
          <w:color w:val="auto"/>
        </w:rPr>
      </w:pPr>
      <w:r>
        <w:rPr>
          <w:rFonts w:ascii="Times New Roman" w:cs="Times New Roman" w:eastAsia="Times New Roman" w:hAnsi="Times New Roman"/>
          <w:sz w:val="20"/>
          <w:szCs w:val="20"/>
          <w:color w:val="auto"/>
        </w:rPr>
        <w:t>27.1% compared with the same period a year ago, with mattress fabrics sales decreasing 34.4% and upholstery fabrics sales decreasing</w:t>
      </w:r>
    </w:p>
    <w:p>
      <w:pPr>
        <w:spacing w:after="0"/>
        <w:rPr>
          <w:sz w:val="20"/>
          <w:szCs w:val="20"/>
          <w:color w:val="auto"/>
        </w:rPr>
      </w:pPr>
      <w:r>
        <w:rPr>
          <w:rFonts w:ascii="Times New Roman" w:cs="Times New Roman" w:eastAsia="Times New Roman" w:hAnsi="Times New Roman"/>
          <w:sz w:val="20"/>
          <w:szCs w:val="20"/>
          <w:color w:val="auto"/>
        </w:rPr>
        <w:t>19.3%.</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decrease in net sales in our mattress fabrics segment for both the third quarter and the first nine months of fiscal 2023 primarily reflects an ongoing slowdown in consumer demand in the domestic mattress industry. The impact of this industry softness has been exacerbated by mattress manufacturers and retailers continuing to work through an excess of inventory, delaying the timing of shipments and new product rollouts. The decrease in net sales during both periods was partially offset by certain pricing and surcharge actions in effect that were not in effect during the same periods a year ago. These pricing actions increased net sales for the division by approximately 1.3% during the third quarter and by approximately 3.0% during the first nine months of fiscal 2023.</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decrease in net sales for our upholstery fabrics segment for both the third quarter and the first nine months of fiscal 2023 primarily reflects reduced demand for our residential upholstery fabrics products, driven by a slowdown in new retail business in the residential home furnishings industry and high inventory levels at manufacturers and retailers. The decrease in net sales during the nine month period was partially offset by higher sales in our hospitality/contract fabric business, as compared to the prior-year period, as well as certain pricing and surcharge actions in effect that were not in effect during the same periods a year ago. These pricing actions increased net sales for the division by approximately 1.7% during the third quarter and by approximately 2.9% during the first nine months of fiscal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Before 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loss before income taxes for the third quarter of fiscal 2023 was $(8.7) million, compared with income before income taxes of $1.0 million for the prior-year period, while our loss before income taxes for the first nine months of fiscal 2023 was $(24.5) million, compared with income before income taxes of $5.4 million for the prior-year period.</w:t>
      </w:r>
    </w:p>
    <w:p>
      <w:pPr>
        <w:spacing w:after="0" w:line="1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Operating performance for the third quarter of fiscal 2023, as compared to the prior-year period, was primarily affected by lower sales; operating inefficiencies due to these lower sales and holiday shutdowns in both of our businesses; operating inefficiencies within the upholstery fabrics segment's cut and sew facility in Haiti due to lower demand; labor challenges and inflationary pressures affecting our Read business; and restructuring charges associated with the rationalization of our upholstery fabrics cut and sew platform located in Ouanaminthe, Haiti during the quarter. Operating performance for the first nine months of fiscal 2023 was also materially pressured by the same factors, as well as continued inflationary pressures; labor challenges within our mattress fabrics business that resulted in increased employee training costs and operating inefficiencies, including quality issues within our mattress fabrics segment; impairment charges during the second quarter of fiscal 2023 due to the write down of inventory to its net realizable value and inventory closeout sales for our mattress fabrics segment; markdowns of inventory due to our aged inventory policy for both our mattress fabrics and upholstery fabrics segment; and restructuring and related charges associated with the closure of our upholstery fabric segment's cut and sew facility located in Shanghai, China, during the second quarter. Performance for the first nine months of fiscal 2023 was favorably affected by the foreign exchange rate associated with our upholstery fabric operations in China.</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$2.3 million, or (9.5%) of loss before income taxes, for the nine-month period ended January 29, 2023, compared with income tax expense of $2.6 million, or 48.4% of income before income taxes, for the nine-month period ended January 30, 2022.</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 during the first nine months of fiscal 2023 was much more negatively affected by the mix of earnings between our U.S. operations and foreign subsidiaries, as compared to the first nine months of fiscal 2022. During the first nine months of fiscal 2023, we incurred a significantly higher pre-tax loss from our U.S. operations totaling $(28.8) million, compared with $(2.3) million during the first nine months of fiscal 2022. As a result, a significantly higher income tax benefit was not recognized due to a full valuation allowance being applied against our U.S. net deferred income tax assets during the first nine months of fiscal 2023, as compared with the first nine months of fiscal 2022. In addition, almost all of our taxable income in the first nine months of both fiscal 2023 and fiscal 2022 was earned by our foreign operations located in China and Canada, which have higher income tax rates than the U.S.</w:t>
      </w:r>
    </w:p>
    <w:p>
      <w:pPr>
        <w:spacing w:after="0" w:line="145" w:lineRule="exact"/>
        <w:rPr>
          <w:sz w:val="20"/>
          <w:szCs w:val="20"/>
          <w:color w:val="auto"/>
        </w:rPr>
      </w:pPr>
    </w:p>
    <w:p>
      <w:pPr>
        <w:ind w:right="19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13 of the consolidated financial statements for further details regarding our provision for income taxes. </w:t>
      </w:r>
      <w:r>
        <w:rPr>
          <w:rFonts w:ascii="Times New Roman" w:cs="Times New Roman" w:eastAsia="Times New Roman" w:hAnsi="Times New Roman"/>
          <w:sz w:val="20"/>
          <w:szCs w:val="20"/>
          <w:u w:val="single" w:color="auto"/>
          <w:color w:val="auto"/>
        </w:rPr>
        <w:t>Liquidity</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29, 2023, our cash and cash equivalents (collectively, “cash”) totaled $16.7 million, an increase of $2.2 million, compared with $14.6 million as of May 1, 2022. This increase was primarily due to (i) net cash provided by operating activities totaling $4.6 million, partially offset by (ii) capital expenditures of $1.6 million and (iii) contributions totaling $870,000 to our rabbi trust that funds our deferred compensation plan.</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net cash provided by operating activities was $4.6 million during the first nine months of fiscal 2023, an increase of $17.0 million compared with net cash used in operating activities of $12.4 million during the first nine months of fiscal 2022. This trend mostly reflects (i) a reduction of inventory related to the significant decline in net sales, improved alignment of inventory purchases with current customer demand trends, and promotional programs to reduce aged raw materials and finished goods inventory; (ii) annual incentive payments made during the first quarter of fiscal 2022 that did not recur during the first nine months of fiscal 2023, partially offset by (iii) a decrease in net cash earnings during the first nine months of fiscal 2023 as compared with the first nine months of fiscal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29, 2023, there were no outstanding borrowings under our lines of credit.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 Program</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did not make any dividend payments during the first nine months of fiscal 2023.</w:t>
      </w:r>
    </w:p>
    <w:p>
      <w:pPr>
        <w:spacing w:after="0" w:line="1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During the first nine months of fiscal 2022, dividend payments totaled $4.1 million, which represented quarterly cash dividend payments ranging from $0.11 per share to $0.115 per share.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We will continue to reassess our dividend policy each quarter. Future dividend payments will depend on our earnings, capital requirements, financial condition, excess availability under our lines of credit, market and economic conditions, and other factors we consider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Common Stock Repurchases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nine months of fiscal 2023, we did not purchase any shares of our common stock. As a result, as of January 29, 2023, $3.2 million is available for additional repurchases of our common stock. Despite the current share repurchase authorization, the company does not expect to repurchase any shares through at least the fourth quarter of fiscal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first nine months of fiscal 2022, we repurchased 121,688 shares of our common stock at a cost of $1.8 million.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January 29,</w:t>
            </w:r>
          </w:p>
        </w:tc>
        <w:tc>
          <w:tcPr>
            <w:tcW w:w="200" w:type="dxa"/>
            <w:vAlign w:val="bottom"/>
          </w:tcPr>
          <w:p>
            <w:pPr>
              <w:spacing w:after="0"/>
              <w:rPr>
                <w:sz w:val="19"/>
                <w:szCs w:val="19"/>
                <w:color w:val="auto"/>
              </w:rPr>
            </w:pPr>
          </w:p>
        </w:tc>
        <w:tc>
          <w:tcPr>
            <w:tcW w:w="15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January 30,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38,439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2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(1,237 )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14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8.2 %</w:t>
            </w: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8"/>
              </w:rPr>
              <w:t>(1320)bp</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(4,229 )</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40" w:type="dxa"/>
            <w:vAlign w:val="bottom"/>
          </w:tcPr>
          <w:p>
            <w:pPr>
              <w:spacing w:after="0"/>
              <w:rPr>
                <w:sz w:val="19"/>
                <w:szCs w:val="19"/>
                <w:color w:val="auto"/>
              </w:rPr>
            </w:pPr>
          </w:p>
        </w:tc>
        <w:tc>
          <w:tcPr>
            <w:tcW w:w="15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(17.1 )%</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0.9 %</w:t>
            </w: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8"/>
              </w:rPr>
              <w:t>(1800)bp</w:t>
            </w:r>
          </w:p>
        </w:tc>
        <w:tc>
          <w:tcPr>
            <w:tcW w:w="0" w:type="dxa"/>
            <w:vAlign w:val="bottom"/>
          </w:tcPr>
          <w:p>
            <w:pPr>
              <w:spacing w:after="0"/>
              <w:rPr>
                <w:sz w:val="1"/>
                <w:szCs w:val="1"/>
                <w:color w:val="auto"/>
              </w:rPr>
            </w:pPr>
          </w:p>
        </w:tc>
      </w:tr>
      <w:tr>
        <w:trPr>
          <w:trHeight w:val="486"/>
        </w:trPr>
        <w:tc>
          <w:tcPr>
            <w:tcW w:w="488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66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January 29,</w:t>
            </w:r>
          </w:p>
        </w:tc>
        <w:tc>
          <w:tcPr>
            <w:tcW w:w="200" w:type="dxa"/>
            <w:vAlign w:val="bottom"/>
          </w:tcPr>
          <w:p>
            <w:pPr>
              <w:spacing w:after="0"/>
              <w:rPr>
                <w:sz w:val="19"/>
                <w:szCs w:val="19"/>
                <w:color w:val="auto"/>
              </w:rPr>
            </w:pPr>
          </w:p>
        </w:tc>
        <w:tc>
          <w:tcPr>
            <w:tcW w:w="15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January 30,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122,380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2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(7,330 )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4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13.2 %</w:t>
            </w: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8"/>
              </w:rPr>
              <w:t>(2230)bp</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(16,151 )</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40" w:type="dxa"/>
            <w:vAlign w:val="bottom"/>
          </w:tcPr>
          <w:p>
            <w:pPr>
              <w:spacing w:after="0"/>
              <w:rPr>
                <w:sz w:val="19"/>
                <w:szCs w:val="19"/>
                <w:color w:val="auto"/>
              </w:rPr>
            </w:pPr>
          </w:p>
        </w:tc>
        <w:tc>
          <w:tcPr>
            <w:tcW w:w="15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(20.1 )%</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5.8 %</w:t>
            </w: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8"/>
              </w:rPr>
              <w:t>(2590)bp</w:t>
            </w:r>
          </w:p>
        </w:tc>
        <w:tc>
          <w:tcPr>
            <w:tcW w:w="0" w:type="dxa"/>
            <w:vAlign w:val="bottom"/>
          </w:tcPr>
          <w:p>
            <w:pPr>
              <w:spacing w:after="0"/>
              <w:rPr>
                <w:sz w:val="1"/>
                <w:szCs w:val="1"/>
                <w:color w:val="auto"/>
              </w:rPr>
            </w:pPr>
          </w:p>
        </w:tc>
      </w:tr>
      <w:tr>
        <w:trPr>
          <w:trHeight w:val="23"/>
        </w:trPr>
        <w:tc>
          <w:tcPr>
            <w:tcW w:w="488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Mattress fabrics sales decreased 35.8% in the third quarter of fiscal 2023 compared to the prior-year period. Mattress fabrics sales decreased 34.4% in the first nine months of fiscal 2023 compared to the first nine months of fiscal 2022.</w:t>
      </w:r>
    </w:p>
    <w:p>
      <w:pPr>
        <w:spacing w:after="0" w:line="1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decrease in mattress fabrics net sales for the third quarter and for the first nine months of fiscal 2023 reflects an ongoing slowdown in consumer demand in the domestic mattress industry. We believe this slowdown is primarily due to inflationary pressures affecting consumer spending, as well as a shift in demand from home goods to travel, leisure, and entertainment following a pulling forward of demand for home goods during the early years of the COVID-19 pandemic. The impact of this industry softness has been exacerbated by mattress manufacturers and retailers continuing to work through an excess of inventory, delaying the timing of shipments and new product rollouts. However, we did begin the roll out of some new customer programs during the third quarter. The decrease in net sales during both periods was partially offset by certain pricing and surcharge actions in effect that were not in effect during the same periods a year ago. These pricing actions increased net sales for the division by approximately 1.3% during the third quarter and by approximately 3.0% during the first nine months of fiscal 2023.</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Despite the headwinds, we remained focused on inventory reductions and cash generation during the quarter, while also engaging in an ongoing business transformation plan focused on long-term improvement in the business in areas that include quality, sales, marketing, and operational processes; supply chain optimization; employee engagement; and our organizational management structure. We continued to execute our product-driven strategy during the quarter, with an emphasis on innovation, design creativity, and customer relationships. Additionally, the strength and flexibility of our global manufacturing and sourcing operations in the U.S., Canada, Haiti, Asia, and Turkey continued to enable us to support the evolving needs of our mattress fabrics and cover customers during the period. We believe our market position remains solid, with strong new placements, although the timing for new product rollouts continues to be affected by customers working through their existing excess inventory.</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Looking ahead, we expect the current macroeconomic environment will continue to affect consumer spending trends for some time, resulting in ongoing industry softness that may reduce demand for our mattress fabrics and cover products and continue to delay the timing of new product rollouts. We expect these conditions are likely to pressure results through at least the end of fiscal 2023. Additionally, the ongoing impacts of the COVID-19 pandemic, as well as Russia’s invasion of Ukraine, including its effect on petrochemical pricing and consumer spending, remain unknown and depend on factors beyond our knowledge or control. At this time, we cannot reasonably estimate the ongoing impact of the COVID-19 pandemic or the evolving impact of the Russia-Ukraine war on our mattress fabrics segment; however, either of these situations could cause disruption that could adversely affect our operations and financial performance.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Operating Income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decrease in mattress fabrics profitability during the third quarter of fiscal 2023, as compared to the prior-year period, was primarily due to lower sales and operating inefficiencies arising from these lower sales volumes and from holiday shutdowns across our locations.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7" w:name="page38"/>
    <w:bookmarkEnd w:id="37"/>
    <w:p>
      <w:pPr>
        <w:jc w:val="both"/>
        <w:spacing w:after="0" w:line="246" w:lineRule="auto"/>
        <w:rPr>
          <w:sz w:val="20"/>
          <w:szCs w:val="20"/>
          <w:color w:val="auto"/>
        </w:rPr>
      </w:pPr>
      <w:r>
        <w:rPr>
          <w:rFonts w:ascii="Times New Roman" w:cs="Times New Roman" w:eastAsia="Times New Roman" w:hAnsi="Times New Roman"/>
          <w:sz w:val="20"/>
          <w:szCs w:val="20"/>
          <w:color w:val="auto"/>
        </w:rPr>
        <w:t>Mattress fabrics profitability for the first nine months of fiscal 2023 was pressured by the same factors that affected the third quarter, as well as labor challenges that resulted in increased employee training costs and operating inefficiencies, including quality issues; higher raw material costs; $2.9 million in impairment charges due to the write down of inventory to its net realizable value; $2.6 million in losses from closeout sales of raw material and finished goods inventory; and $1.0 million in markdowns of inventory based on our policy for aged inventory.</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completed the previously announced restructuring and rationalization of our U.S.-based cut and sewn cover platform during the third quarter of fiscal 2023, moving our R&amp;D and prototyping capabilities from our High Point, North Carolina, location to our facility in Stokesdale, North Carolina. The result of this move is the discontinuation of our higher-cost on-shore production capabilities, with closures of our two leased facilities in High Point, North Carolina, during the quarter. We believe this move will allow us to generate cost savings by utilizing our lower-cost mattress cover production and sourcing capabilities in Haiti and Asia, where we can scale operations to align with demand and continue to support the needs of our customers.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expect the ongoing industry softness affecting sales volumes, as well as continued inflationary pressures, will affect profitability through at least the end of fiscal 2023, although we believe these headwinds will be mitigated to some extent by our ongoing efforts to control internal costs and improve efficiencies. We will consider further adjustments to right-size and restructure our operations as necessary to align with current demand levels, as well as additional reasonable pricing actions as necessary to further mitigate and manage inflation.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138430</wp:posOffset>
            </wp:positionV>
            <wp:extent cx="187706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77060" cy="18859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29, 2023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January 30, 2022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8"/>
              </w:rPr>
              <w:t>May 1, 2022</w:t>
            </w:r>
          </w:p>
        </w:tc>
        <w:tc>
          <w:tcPr>
            <w:tcW w:w="100" w:type="dxa"/>
            <w:vAlign w:val="bottom"/>
          </w:tcPr>
          <w:p>
            <w:pPr>
              <w:spacing w:after="0"/>
              <w:rPr>
                <w:sz w:val="20"/>
                <w:szCs w:val="20"/>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17,617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9,865</w:t>
            </w:r>
          </w:p>
        </w:tc>
        <w:tc>
          <w:tcPr>
            <w:tcW w:w="100" w:type="dxa"/>
            <w:vAlign w:val="bottom"/>
            <w:shd w:val="clear" w:color="auto" w:fill="CFF0FC"/>
          </w:tcPr>
          <w:p>
            <w:pPr>
              <w:spacing w:after="0"/>
              <w:rPr>
                <w:sz w:val="19"/>
                <w:szCs w:val="19"/>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39,028</w:t>
            </w:r>
          </w:p>
        </w:tc>
        <w:tc>
          <w:tcPr>
            <w:tcW w:w="100" w:type="dxa"/>
            <w:vAlign w:val="bottom"/>
          </w:tcPr>
          <w:p>
            <w:pPr>
              <w:spacing w:after="0"/>
              <w:rPr>
                <w:sz w:val="19"/>
                <w:szCs w:val="19"/>
                <w:color w:val="auto"/>
              </w:rPr>
            </w:pPr>
          </w:p>
        </w:tc>
      </w:tr>
      <w:tr>
        <w:trPr>
          <w:trHeight w:val="23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34,661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38,731</w:t>
            </w:r>
          </w:p>
        </w:tc>
        <w:tc>
          <w:tcPr>
            <w:tcW w:w="100" w:type="dxa"/>
            <w:vAlign w:val="bottom"/>
            <w:shd w:val="clear" w:color="auto" w:fill="CFF0FC"/>
          </w:tcPr>
          <w:p>
            <w:pPr>
              <w:spacing w:after="0"/>
              <w:rPr>
                <w:sz w:val="20"/>
                <w:szCs w:val="20"/>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00" w:type="dxa"/>
            <w:vAlign w:val="bottom"/>
          </w:tcPr>
          <w:p>
            <w:pPr>
              <w:spacing w:after="0"/>
              <w:rPr>
                <w:sz w:val="19"/>
                <w:szCs w:val="19"/>
                <w:color w:val="auto"/>
              </w:rPr>
            </w:pPr>
          </w:p>
        </w:tc>
      </w:tr>
      <w:tr>
        <w:trPr>
          <w:trHeight w:val="223"/>
        </w:trPr>
        <w:tc>
          <w:tcPr>
            <w:tcW w:w="4440" w:type="dxa"/>
            <w:vAlign w:val="bottom"/>
            <w:tcBorders>
              <w:bottom w:val="single" w:sz="8" w:color="auto"/>
            </w:tcBorders>
            <w:shd w:val="clear" w:color="auto" w:fill="CFF0FC"/>
          </w:tcPr>
          <w:p>
            <w:pPr>
              <w:spacing w:after="0"/>
              <w:rPr>
                <w:sz w:val="19"/>
                <w:szCs w:val="19"/>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74,208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100,780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91,093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-7620</wp:posOffset>
            </wp:positionV>
            <wp:extent cx="7747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14"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12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As of January 29, 2023, accounts receivable significantly decreased by $9.3 million, or 52.8%, compared with January 30, 2022. These declines reflect the significant decrease in net sales during third quarter of fiscal 2023 compared with the third quarter of fiscal 2022, as described in the </w:t>
      </w:r>
      <w:r>
        <w:rPr>
          <w:rFonts w:ascii="Times New Roman" w:cs="Times New Roman" w:eastAsia="Times New Roman" w:hAnsi="Times New Roman"/>
          <w:sz w:val="20"/>
          <w:szCs w:val="20"/>
          <w:i w:val="1"/>
          <w:iCs w:val="1"/>
          <w:color w:val="auto"/>
        </w:rPr>
        <w:t>Net Sales</w:t>
      </w:r>
      <w:r>
        <w:rPr>
          <w:rFonts w:ascii="Times New Roman" w:cs="Times New Roman" w:eastAsia="Times New Roman" w:hAnsi="Times New Roman"/>
          <w:sz w:val="20"/>
          <w:szCs w:val="20"/>
          <w:color w:val="auto"/>
        </w:rPr>
        <w:t xml:space="preserve"> section above. In addition, we experienced faster cash collections from certain significant customers we had on shorter credit terms due to their financial condition, during the third quarter of fiscal 2023 compared with the third quarter of fiscal 2022, which led to a decline in days’ sales outstanding to 31 days for the third quarter of fiscal 2023, down from 42 days for the third quarter of fiscal 2022.</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As of January 29, 2023, accounts receivable decreased by $1.6 million, or 15.7%, compared with May 1, 2022. This trend reflects a decrease in net sales during the third quarter of fiscal 2023 compared with the fourth quarter of fiscal 2022. Net sales during the third quarter of fiscal 2023 were $24.7 million, a decrease of $5.1 million, or 17.1%, compared with net sales of $29.8 million during the fourth quarter of fiscal 2022. Days’ sales outstanding was 31 days and 30 days for the third quarter of fiscal 2023 and the fourth quarter of fiscal 2022,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January 29, 2023, inventory significantly decreased by $10.8 million, or 27.3%, compared with January 30, 2022, and significantly decreased by $10.3 million, or 26.3%, compared with May 1, 2022. This trend reflects (i) a decline in inventory purchases reflecting the 35.8% decrease in net sales during the third quarter of fiscal 2023 compared with the third quarter of fiscal 2022 and a 17.1% decrease in net sales during the third quarter of fiscal 2023 compared with the fourth quarter of fiscal 2022; (ii) $3.9 million of non-cash charges recorded in the first nine months of fiscal 2023, which includes $2.9 million related to a write down of inventory to its net realizable value and $1.0 million related to markdowns of inventory estimated based on our policy for aged inventory; and (iii) promotional programs to reduce aged raw materials and finished goods inventory; partially offset by (iv) higher raw material, labor, and overhead costs stemming from inflationary pressures.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3.5 for the third quarter of fiscal 2023, compared with 3.4 for the third quarter of fiscal 2022 and 2.9 for the fourth quarter of fiscal 2022.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220"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$34.7 million as of January 29, 2023, represents property, plant, and equipment of $23.1 million, $10.9 million, and $651,000 located in the U.S., Canada, and Haiti, respectively. The $39.9 million as of January 30, 2022 represents property, plant, and equipment of $26.6 million, $12.5 million, and $796,000 located in the U.S., Canada, and Haiti, respectively. The $38.7 million as of May 1, 2022, represents property, plant, and equipment of $25.6 million, $12.4 million, and $757,000 located in the U.S., Canada, and Haiti, respectively.</w:t>
      </w:r>
    </w:p>
    <w:p>
      <w:pPr>
        <w:spacing w:after="0" w:line="153"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As of January 29, 2023, property, plant, and equipment has steadily decreased compared with January 30, 2022, as we have reduced our capital spending as a result of current and expected macroeconomic conditions.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$2.5 million as of January 29, 2023, represents right of use assets of $1.6 million and $833,000 located in Haiti and Canada, respectively. The $3.7 million as of January 30, 2022, represents right of use assets of $2.1 million, $1.3 million, and $352,000 located in Haiti, the U.S., and Canada, respectively. The $3.5 million as of May 1, 2022, represents right of use assets of $2.0 million, $1.2 million, and $291,000 located in Haiti, the U.S., and Canada, respectively.</w:t>
      </w:r>
    </w:p>
    <w:p>
      <w:pPr>
        <w:spacing w:after="0" w:line="153"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As of January 29, 2023, right of use assets have steadily decreased compared with January 30, 2022, due to rent expense recognized over the terms of the respective lease agreements, as well as the termination of one lease agreement and the significant reduction in the lease term associated with another lease agreement, both of which are related to the closure of our mattress cover operation located in High Point, NC, during the third quarter of fiscal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jc w:val="right"/>
              <w:ind w:right="29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80" w:type="dxa"/>
            <w:vAlign w:val="bottom"/>
          </w:tcPr>
          <w:p>
            <w:pPr>
              <w:spacing w:after="0"/>
              <w:rPr>
                <w:sz w:val="19"/>
                <w:szCs w:val="19"/>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January 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January 30,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25,514</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39,286</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94%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0" w:type="dxa"/>
            <w:vAlign w:val="bottom"/>
          </w:tcPr>
          <w:p>
            <w:pPr>
              <w:spacing w:after="0"/>
              <w:rPr>
                <w:sz w:val="1"/>
                <w:szCs w:val="1"/>
                <w:color w:val="auto"/>
              </w:rPr>
            </w:pPr>
          </w:p>
        </w:tc>
      </w:tr>
      <w:tr>
        <w:trPr>
          <w:trHeight w:val="24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6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27,826</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41,852</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100%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0" w:type="dxa"/>
            <w:vAlign w:val="bottom"/>
          </w:tcPr>
          <w:p>
            <w:pPr>
              <w:spacing w:after="0"/>
              <w:rPr>
                <w:sz w:val="1"/>
                <w:szCs w:val="1"/>
                <w:color w:val="auto"/>
              </w:rPr>
            </w:pPr>
          </w:p>
        </w:tc>
      </w:tr>
      <w:tr>
        <w:trPr>
          <w:trHeight w:val="459"/>
        </w:trPr>
        <w:tc>
          <w:tcPr>
            <w:tcW w:w="4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80" w:type="dxa"/>
            <w:vAlign w:val="bottom"/>
            <w:gridSpan w:val="5"/>
          </w:tcPr>
          <w:p>
            <w:pPr>
              <w:jc w:val="right"/>
              <w:ind w:right="33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80" w:type="dxa"/>
            <w:vAlign w:val="bottom"/>
          </w:tcPr>
          <w:p>
            <w:pPr>
              <w:spacing w:after="0"/>
              <w:rPr>
                <w:sz w:val="19"/>
                <w:szCs w:val="19"/>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January 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January 30,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86,633</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108,814</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94%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0" w:type="dxa"/>
            <w:vAlign w:val="bottom"/>
          </w:tcPr>
          <w:p>
            <w:pPr>
              <w:spacing w:after="0"/>
              <w:rPr>
                <w:sz w:val="1"/>
                <w:szCs w:val="1"/>
                <w:color w:val="auto"/>
              </w:rPr>
            </w:pPr>
          </w:p>
        </w:tc>
      </w:tr>
      <w:tr>
        <w:trPr>
          <w:trHeight w:val="24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6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6,705</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93,209</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115,519</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100%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Upholstery fabrics sales decreased 33.5% in the third quarter of fiscal 2023 compared to the prior-year period, which was an especially strong sales period. Upholstery fabrics sales decreased by 19.3% for the first nine months of fiscal 2023, as compared to the first nine months of fiscal 2022.</w:t>
      </w:r>
    </w:p>
    <w:p>
      <w:pPr>
        <w:spacing w:after="0" w:line="188"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0"/>
          <w:szCs w:val="20"/>
          <w:color w:val="auto"/>
        </w:rPr>
        <w:t>The decrease in upholstery fabrics net sales for the third quarter and for the first nine months of fiscal 2023 reflects reduced demand for our residential upholstery fabrics products compared to the prior-year periods, driven by high inventory levels and a slowdown in new retail business for the residential home furnishings industry. It also reflects slightly lower sales for our Read business during both periods, as compared to the prior-year periods. For the first nine months of fiscal 2023, the decrease in net sales was partially offset by higher sales in our hospitality/contract fabric business, as compared to the prior year period, as well as pricing and surcharge actions in effect that were not in effect during the same periods a year ago. These actions increased net sales for the division by approximately 1.7% during the quarter and by approximately 2.9% during the first nine months of fiscal 2023.</w:t>
      </w:r>
    </w:p>
    <w:p>
      <w:pPr>
        <w:spacing w:after="0" w:line="15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Looking ahead, we expect the high inventory levels and the slowdown in new retail business for the residential home furnishings industry may affect demand for our residential business for some period of time. Despite this challenge, we believe our business is well positioned for the long term with our product-driven strategy and innovative product offerings, as well as our flexible Asian platform and our long-term supplier relationships.</w:t>
      </w:r>
    </w:p>
    <w:p>
      <w:pPr>
        <w:spacing w:after="0" w:line="139"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Notably, the ongoing economic and health effects of the COVID-19 pandemic, as well as the impact of Russia’s invasion of Ukraine, including its effect on petrochemical pricing and consumer spending, remain unknown and depend on factors beyond our control. At this time, we cannot reasonably estimate the impact on our upholstery fabrics segment, but we note that if conditions worsen in either of these situations, including additional COVID-19-related shutdowns of our China operations, the impact on our operations, and/or on our suppliers, customers, consumers, and the global economy, could adversely affect our financial performance.</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8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Operating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40" w:type="dxa"/>
            <w:vAlign w:val="bottom"/>
            <w:tcBorders>
              <w:top w:val="single" w:sz="8" w:color="auto"/>
            </w:tcBorders>
          </w:tcPr>
          <w:p>
            <w:pPr>
              <w:spacing w:after="0"/>
              <w:rPr>
                <w:sz w:val="19"/>
                <w:szCs w:val="19"/>
                <w:color w:val="auto"/>
              </w:rPr>
            </w:pPr>
          </w:p>
        </w:tc>
        <w:tc>
          <w:tcPr>
            <w:tcW w:w="4600" w:type="dxa"/>
            <w:vAlign w:val="bottom"/>
            <w:tcBorders>
              <w:top w:val="single" w:sz="8" w:color="auto"/>
            </w:tcBorders>
            <w:gridSpan w:val="6"/>
          </w:tcPr>
          <w:p>
            <w:pPr>
              <w:ind w:left="2580"/>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50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color w:val="auto"/>
              </w:rPr>
              <w:t>January 29,</w:t>
            </w:r>
          </w:p>
        </w:tc>
        <w:tc>
          <w:tcPr>
            <w:tcW w:w="1460" w:type="dxa"/>
            <w:vAlign w:val="bottom"/>
            <w:gridSpan w:val="4"/>
          </w:tcPr>
          <w:p>
            <w:pPr>
              <w:jc w:val="center"/>
              <w:ind w:right="480"/>
              <w:spacing w:after="0"/>
              <w:rPr>
                <w:sz w:val="20"/>
                <w:szCs w:val="20"/>
                <w:color w:val="auto"/>
              </w:rPr>
            </w:pPr>
            <w:r>
              <w:rPr>
                <w:rFonts w:ascii="Times New Roman" w:cs="Times New Roman" w:eastAsia="Times New Roman" w:hAnsi="Times New Roman"/>
                <w:sz w:val="16"/>
                <w:szCs w:val="16"/>
                <w:color w:val="auto"/>
              </w:rPr>
              <w:t>January 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vMerge w:val="continue"/>
          </w:tcPr>
          <w:p>
            <w:pPr>
              <w:spacing w:after="0"/>
              <w:rPr>
                <w:sz w:val="19"/>
                <w:szCs w:val="19"/>
                <w:color w:val="auto"/>
              </w:rPr>
            </w:pPr>
          </w:p>
        </w:tc>
        <w:tc>
          <w:tcPr>
            <w:tcW w:w="3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Change</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50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12.0 %</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14.2 %</w:t>
            </w: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(220)bp</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2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5"/>
              </w:rPr>
              <w:t>7.1%</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3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334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(420 )</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5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(1.5 )%</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5.8 %</w:t>
            </w: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(730)bp</w:t>
            </w:r>
          </w:p>
        </w:tc>
        <w:tc>
          <w:tcPr>
            <w:tcW w:w="0" w:type="dxa"/>
            <w:vAlign w:val="bottom"/>
          </w:tcPr>
          <w:p>
            <w:pPr>
              <w:spacing w:after="0"/>
              <w:rPr>
                <w:sz w:val="1"/>
                <w:szCs w:val="1"/>
                <w:color w:val="auto"/>
              </w:rPr>
            </w:pPr>
          </w:p>
        </w:tc>
      </w:tr>
      <w:tr>
        <w:trPr>
          <w:trHeight w:val="499"/>
        </w:trPr>
        <w:tc>
          <w:tcPr>
            <w:tcW w:w="514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4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5"/>
          </w:tcPr>
          <w:p>
            <w:pPr>
              <w:jc w:val="right"/>
              <w:ind w:right="559"/>
              <w:spacing w:after="0"/>
              <w:rPr>
                <w:sz w:val="20"/>
                <w:szCs w:val="20"/>
                <w:color w:val="auto"/>
              </w:rPr>
            </w:pPr>
            <w:r>
              <w:rPr>
                <w:rFonts w:ascii="Times New Roman" w:cs="Times New Roman" w:eastAsia="Times New Roman" w:hAnsi="Times New Roman"/>
                <w:sz w:val="16"/>
                <w:szCs w:val="16"/>
                <w:color w:val="auto"/>
              </w:rPr>
              <w:t>Nine Months Ended</w:t>
            </w:r>
          </w:p>
        </w:tc>
        <w:tc>
          <w:tcPr>
            <w:tcW w:w="120" w:type="dxa"/>
            <w:vAlign w:val="bottom"/>
            <w:gridSpan w:val="2"/>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50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color w:val="auto"/>
              </w:rPr>
              <w:t>January 29,</w:t>
            </w:r>
          </w:p>
        </w:tc>
        <w:tc>
          <w:tcPr>
            <w:tcW w:w="14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color w:val="auto"/>
              </w:rPr>
              <w:t>January 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vMerge w:val="continue"/>
          </w:tcPr>
          <w:p>
            <w:pPr>
              <w:spacing w:after="0"/>
              <w:rPr>
                <w:sz w:val="19"/>
                <w:szCs w:val="19"/>
                <w:color w:val="auto"/>
              </w:rPr>
            </w:pPr>
          </w:p>
        </w:tc>
        <w:tc>
          <w:tcPr>
            <w:tcW w:w="3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16,230</w:t>
            </w:r>
          </w:p>
        </w:tc>
        <w:tc>
          <w:tcPr>
            <w:tcW w:w="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5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12.3 %</w:t>
            </w:r>
          </w:p>
        </w:tc>
        <w:tc>
          <w:tcPr>
            <w:tcW w:w="14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14.0 %</w:t>
            </w: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8"/>
              </w:rPr>
              <w:t>(170)bp</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11,053</w:t>
            </w:r>
          </w:p>
        </w:tc>
        <w:tc>
          <w:tcPr>
            <w:tcW w:w="2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10,491</w:t>
            </w:r>
          </w:p>
        </w:tc>
        <w:tc>
          <w:tcPr>
            <w:tcW w:w="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3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5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0.4 %</w:t>
            </w:r>
          </w:p>
        </w:tc>
        <w:tc>
          <w:tcPr>
            <w:tcW w:w="14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5.0 %</w:t>
            </w: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8"/>
              </w:rPr>
              <w:t>(460)bp</w:t>
            </w:r>
          </w:p>
        </w:tc>
        <w:tc>
          <w:tcPr>
            <w:tcW w:w="0" w:type="dxa"/>
            <w:vAlign w:val="bottom"/>
          </w:tcPr>
          <w:p>
            <w:pPr>
              <w:spacing w:after="0"/>
              <w:rPr>
                <w:sz w:val="1"/>
                <w:szCs w:val="1"/>
                <w:color w:val="auto"/>
              </w:rPr>
            </w:pPr>
          </w:p>
        </w:tc>
      </w:tr>
      <w:tr>
        <w:trPr>
          <w:trHeight w:val="23"/>
        </w:trPr>
        <w:tc>
          <w:tcPr>
            <w:tcW w:w="5140" w:type="dxa"/>
            <w:vAlign w:val="bottom"/>
            <w:shd w:val="clear" w:color="auto" w:fill="000000"/>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decrease in upholstery fabrics profitability for the third quarter of fiscal 2023, as compared to the prior-year period, primarily reflects lower residential sales, as well as operating inefficiencies in our cut and sew operation in Haiti due to reduced demand, and labor challenges and inflationary pressures affecting our Read business during the quarter. These pressures were partially offset by a significantly more favorable foreign exchange rate associated with our operations in China, as well as lower costs resulting from the restructuring of our cut and sew platform in China completed during the second quarter of fiscal 2023.</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Upholstery fabrics profitability for the first nine months of fiscal 2023 was affected by the same factors that affected the third quarter, as well as $2.3 million inventory markdowns due to our policy for aged inventory.</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Based on demand trends, we began a rationalization and consolidation of our cut and sew upholstery kit platform in Haiti near the end of the third quarter of fiscal 2023. This restructuring, which will be completed during the fourth quarter of fiscal 2023, better aligns our capacity and costs with current demand levels for upholstery kits. We believe this move, which includes terminating a lease and relocating into an existing facility for our mattress cover business, will allow us to reduce our operating costs without sacrificing our ability to support our customers.</w:t>
      </w:r>
    </w:p>
    <w:p>
      <w:pPr>
        <w:spacing w:after="0" w:line="19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Looking ahead, we expect lower sales volumes in our residential business will continue to pressure our profitability. We will continue our ongoing cost reduction efforts and will consider further adjustments to right-size and restructure our operations as necessary to align with current demand levels, while maintaining our ability to service our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Second Quarter of Fiscal 2023</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our response to adjust our operating costs to better align with the declining consumer demand for cut and sewn products. As a result of this strategic action, we recorded restructuring expense and restructuring related charges totaling $713,000. These charges represent employee termination benefits of $468,000, loss from the disposal and markdowns of inventory of $98,000, impairment loss associated with equipment of $80,000, lease termination costs of $47,000, and other associated costs of $20,000. Of the total $713,000, $615,000 and $98,000 were recorded to restructuring expense and cost of sales, respectively, in the Consolidated Statement of Net Loss for the three-month period ending October 30, 2022, and the nine-month period ending January 29, 2023.</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Third Quarter of Fiscal 2023</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third quarter of fiscal 2023, we entered into an agreement to terminate the lease ("the Termination Agreement") of a facility (the "Terminated Facility") located in Ouanaminthe, Haiti, that was used solely for the production of cut and sewn kits associated with our upholstery fabrics segment. As a result, we are relocating production of cut and sewn upholstery kits into another existing facility that is also located in Ouanaminthe, Haiti, and leased by an affiliate that produces mattress covers at this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20"/>
          <w:szCs w:val="20"/>
          <w:color w:val="auto"/>
        </w:rPr>
        <w:t>facility. As a result, we will produce both upholstery cut and sewn kits and mattress covers in this location. We believe this strategic action will realign our capacity and costs with current demand levels, while still allowing us to support our customers and scale for additional capacity if conditions improve.</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the terms of the Termination Agreement, once we vacate and return possession of the Terminated Facility to the lessor (which has now occurred), a third party lessee will take possession of the Terminated Facility and has agreed to pay us $2.4 million over a period commencing April 1, 2023, through December 31, 2029, for the right to use the building. The terms of the Termination Agreement fully and unconditionally release and discharge us from all of our obligations under the original lease for the Terminated Facility.</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a result of this strategic action, we recorded restructuring expense of $711,000 during the third quarter of fiscal 2023, which represents lease termination costs of $434,000 and an impairment loss regarding leasehold improvements totaling $277,000.</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that were associated with both our restructuring activities noted above for the nine-months ending January 29,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378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78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29"/>
        </w:trPr>
        <w:tc>
          <w:tcPr>
            <w:tcW w:w="74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2720" w:type="dxa"/>
            <w:vAlign w:val="bottom"/>
            <w:tcBorders>
              <w:top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FF0FC"/>
          </w:tcPr>
          <w:p>
            <w:pPr>
              <w:spacing w:after="0"/>
              <w:rPr>
                <w:sz w:val="19"/>
                <w:szCs w:val="19"/>
                <w:color w:val="auto"/>
              </w:rPr>
            </w:pP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9"/>
                <w:szCs w:val="19"/>
                <w:color w:val="auto"/>
              </w:rPr>
            </w:pPr>
          </w:p>
        </w:tc>
      </w:tr>
      <w:tr>
        <w:trPr>
          <w:trHeight w:val="239"/>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loss - leasehold improvements and equipment</w:t>
            </w:r>
          </w:p>
        </w:tc>
        <w:tc>
          <w:tcPr>
            <w:tcW w:w="27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20"/>
                <w:szCs w:val="20"/>
                <w:color w:val="auto"/>
              </w:rPr>
            </w:pP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2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3"/>
        </w:trPr>
        <w:tc>
          <w:tcPr>
            <w:tcW w:w="7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27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w:t>
            </w:r>
          </w:p>
        </w:tc>
        <w:tc>
          <w:tcPr>
            <w:tcW w:w="27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9"/>
                <w:szCs w:val="19"/>
                <w:color w:val="auto"/>
              </w:rPr>
            </w:pPr>
          </w:p>
        </w:tc>
      </w:tr>
      <w:tr>
        <w:trPr>
          <w:trHeight w:val="41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Of the total $1.4 million, $1.3 million and $98,000 were recorded to restructuring expense and cost of sales, respectively, in the</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Consolidated</w:t>
            </w:r>
          </w:p>
        </w:tc>
      </w:tr>
      <w:tr>
        <w:trPr>
          <w:trHeight w:val="234"/>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Statement of Net Loss for the nine-month period ending January 29, 2023.</w:t>
            </w:r>
          </w:p>
        </w:tc>
        <w:tc>
          <w:tcPr>
            <w:tcW w:w="2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73"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See Note 8 to the consolidated financial statements for further details regarding our restructuring activities associated with our upholstery fabrics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right of use assets and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138430</wp:posOffset>
            </wp:positionV>
            <wp:extent cx="195453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54530" cy="18859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29, 2023</w:t>
            </w:r>
          </w:p>
        </w:tc>
        <w:tc>
          <w:tcPr>
            <w:tcW w:w="120" w:type="dxa"/>
            <w:vAlign w:val="bottom"/>
          </w:tcPr>
          <w:p>
            <w:pPr>
              <w:spacing w:after="0"/>
              <w:rPr>
                <w:sz w:val="20"/>
                <w:szCs w:val="20"/>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January 30, 2022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May 1, 2022</w:t>
            </w:r>
          </w:p>
        </w:tc>
        <w:tc>
          <w:tcPr>
            <w:tcW w:w="100" w:type="dxa"/>
            <w:vAlign w:val="bottom"/>
          </w:tcPr>
          <w:p>
            <w:pPr>
              <w:spacing w:after="0"/>
              <w:rPr>
                <w:sz w:val="20"/>
                <w:szCs w:val="20"/>
                <w:color w:val="auto"/>
              </w:rPr>
            </w:pPr>
          </w:p>
        </w:tc>
      </w:tr>
      <w:tr>
        <w:trPr>
          <w:trHeight w:val="229"/>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12,927</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21,381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12,361</w:t>
            </w:r>
          </w:p>
        </w:tc>
        <w:tc>
          <w:tcPr>
            <w:tcW w:w="100" w:type="dxa"/>
            <w:vAlign w:val="bottom"/>
            <w:shd w:val="clear" w:color="auto" w:fill="CFF0FC"/>
          </w:tcPr>
          <w:p>
            <w:pPr>
              <w:spacing w:after="0"/>
              <w:rPr>
                <w:sz w:val="19"/>
                <w:szCs w:val="19"/>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27,529</w:t>
            </w:r>
          </w:p>
        </w:tc>
        <w:tc>
          <w:tcPr>
            <w:tcW w:w="100" w:type="dxa"/>
            <w:vAlign w:val="bottom"/>
          </w:tcPr>
          <w:p>
            <w:pPr>
              <w:spacing w:after="0"/>
              <w:rPr>
                <w:sz w:val="19"/>
                <w:szCs w:val="19"/>
                <w:color w:val="auto"/>
              </w:rPr>
            </w:pPr>
          </w:p>
        </w:tc>
      </w:tr>
      <w:tr>
        <w:trPr>
          <w:trHeight w:val="239"/>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FF0FC"/>
          </w:tcPr>
          <w:p>
            <w:pPr>
              <w:spacing w:after="0"/>
              <w:rPr>
                <w:sz w:val="20"/>
                <w:szCs w:val="20"/>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100" w:type="dxa"/>
            <w:vAlign w:val="bottom"/>
          </w:tcPr>
          <w:p>
            <w:pPr>
              <w:spacing w:after="0"/>
              <w:rPr>
                <w:sz w:val="19"/>
                <w:szCs w:val="19"/>
                <w:color w:val="auto"/>
              </w:rPr>
            </w:pPr>
          </w:p>
        </w:tc>
      </w:tr>
      <w:tr>
        <w:trPr>
          <w:trHeight w:val="233"/>
        </w:trPr>
        <w:tc>
          <w:tcPr>
            <w:tcW w:w="4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6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3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38,536</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50,044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-162560</wp:posOffset>
            </wp:positionV>
            <wp:extent cx="77470" cy="325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-162560</wp:posOffset>
            </wp:positionV>
            <wp:extent cx="68580"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3257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335"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12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Receivablec</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As of January 29, 2023, accounts receivable significantly decreased by $8.5 million, or 39.5%, compared with January 30, 2022. This trend reflects the decrease in net sales during the third quarter of fiscal 2023 compared with the third quarter of fiscal 2022, as described in the </w:t>
      </w:r>
      <w:r>
        <w:rPr>
          <w:rFonts w:ascii="Times New Roman" w:cs="Times New Roman" w:eastAsia="Times New Roman" w:hAnsi="Times New Roman"/>
          <w:sz w:val="20"/>
          <w:szCs w:val="20"/>
          <w:i w:val="1"/>
          <w:iCs w:val="1"/>
          <w:color w:val="auto"/>
        </w:rPr>
        <w:t>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Sales </w:t>
      </w:r>
      <w:r>
        <w:rPr>
          <w:rFonts w:ascii="Times New Roman" w:cs="Times New Roman" w:eastAsia="Times New Roman" w:hAnsi="Times New Roman"/>
          <w:sz w:val="20"/>
          <w:szCs w:val="20"/>
          <w:color w:val="auto"/>
        </w:rPr>
        <w:t>section above. In addition, we experienced faster cash collections as we had a favorble mix of higher sales volume with customers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shorter credit terms during the third quarter of fiscal 2023 compared with the third quarter of fiscal 2022. As a result, days’ sales outstanding for this segment declined to 38 days for the third quarter of fiscal 2023, down from 45 days for the third quarter of fiscal 2022.</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As of January 29, 2023, and May 1, 2022, accounts receivable were lower than normal, as we experienced a significant decline in net sales during the third quarter of fiscal 2023 and the fourth quarter of fiscal 2022. As described in the </w:t>
      </w:r>
      <w:r>
        <w:rPr>
          <w:rFonts w:ascii="Times New Roman" w:cs="Times New Roman" w:eastAsia="Times New Roman" w:hAnsi="Times New Roman"/>
          <w:sz w:val="20"/>
          <w:szCs w:val="20"/>
          <w:i w:val="1"/>
          <w:iCs w:val="1"/>
          <w:color w:val="auto"/>
        </w:rPr>
        <w:t>Net Sales</w:t>
      </w:r>
      <w:r>
        <w:rPr>
          <w:rFonts w:ascii="Times New Roman" w:cs="Times New Roman" w:eastAsia="Times New Roman" w:hAnsi="Times New Roman"/>
          <w:sz w:val="20"/>
          <w:szCs w:val="20"/>
          <w:color w:val="auto"/>
        </w:rPr>
        <w:t xml:space="preserve"> section above, net sales significantly declined during the third quarter of fiscal 2023 due primarily to reduced customer demand and higher than normal inventory levels held by our residential furniture customers. During the fourth quarter of fiscal 2022, net sales significantly declined due to the mandated COVID-19 related shutdowns associated with our upholstery fabrics operations located in China. Days’ sales outstanding were 38 days and 40 days during the third quarter of fiscal 2023 and the fourth quarter of fiscal 2022,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0"/>
          <w:szCs w:val="20"/>
          <w:color w:val="auto"/>
        </w:rPr>
        <w:t xml:space="preserve">As of January 29, 2023, inventory decreased by $14.7 million, or 43.8%, compared with January 30, 2022. This trend reflects (i) a decline in inventory purchases reflecting the decrease in net sales during the third quarter of fiscal 2023 compared with the third quarter of fiscal 2022, as described in the </w:t>
      </w:r>
      <w:r>
        <w:rPr>
          <w:rFonts w:ascii="Times New Roman" w:cs="Times New Roman" w:eastAsia="Times New Roman" w:hAnsi="Times New Roman"/>
          <w:sz w:val="20"/>
          <w:szCs w:val="20"/>
          <w:i w:val="1"/>
          <w:iCs w:val="1"/>
          <w:color w:val="auto"/>
        </w:rPr>
        <w:t>Net Sales</w:t>
      </w:r>
      <w:r>
        <w:rPr>
          <w:rFonts w:ascii="Times New Roman" w:cs="Times New Roman" w:eastAsia="Times New Roman" w:hAnsi="Times New Roman"/>
          <w:sz w:val="20"/>
          <w:szCs w:val="20"/>
          <w:color w:val="auto"/>
        </w:rPr>
        <w:t xml:space="preserve"> section above; (ii) a $2.4 million non-cash charge recorded during the first nine months of fiscal 2023, which includes $2.3 million of markdowns of inventory estimated based on our policy for aged inventory and $98,000 that was associated with the loss on disposal and markdowns of inventory related to the exit from our cut and sew upholstery fabrics operation located in Shanghai, China; and (iii) promotional programs to reduce aged raw materials and finished goods inventory; partially offset by (iv) higher raw material, labor, and overhead costs stemming from inflationary pressures.</w:t>
      </w:r>
    </w:p>
    <w:p>
      <w:pPr>
        <w:spacing w:after="0" w:line="145"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0"/>
          <w:szCs w:val="20"/>
          <w:color w:val="auto"/>
        </w:rPr>
        <w:t>As of January 29, 2023, inventory decreased by $8.7 million, or 31.5%, compared with May 1, 2022. This trend reflects (i) the reduction in inventory, despite the modest increase in net sales during the third quarter of fiscal 2023 compared with net sales during the fourth quarter of fiscal 2022, due to improved alignment of inventory purchases with current customer demand trends; (ii) a $2.4 million non-cash charge recorded during the first nine months fiscal 2023, which includes $2.3 million of markdowns of inventory estimated based on our policy for aged inventory and $98,000 that was associated with the loss on disposal and markdowns of inventory related to the exit from our cut and sew upholstery fabrics operation located in Shanghai, China, and (iii) promotional programs to reduce aged raw materials and finished goods inventory; partially offset by (iv) higher raw material, labor, and overhead costs stemming from inflationary pressures.</w:t>
      </w:r>
    </w:p>
    <w:p>
      <w:pPr>
        <w:spacing w:after="0" w:line="145"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Inventory turns were 3.8 for the third quarter of fiscal 2023, compared with 3.8 for the third quarter of fiscal 2022, and 3.0 for the fourth quarter of fiscal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20"/>
          <w:szCs w:val="20"/>
          <w:color w:val="auto"/>
        </w:rPr>
        <w:t>The $1.8 million as of January 29, 2023, represents property, plant, and equipment of $1.0 million, $630,000, and $121,000 located in the U.S., Haiti, and China, respectively. The $2.0 million as of January 30, 2022, represents property, plant, and equipment of $1.1 million, $585,000, and $344,000 located in the U.S., Haiti, and China, respectively. The $2.0 million as of May 1, 2022, represents property, plant, and equipment of $1.0 million, $756,000, and $255,000 located in the U.S., Haiti, and China, respectively.</w:t>
      </w:r>
    </w:p>
    <w:p>
      <w:pPr>
        <w:spacing w:after="0" w:line="139"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As of January 29, 2023, property, plant, and equipment decreased compared with January 30, 2022, and May 1, 2022, due to a reduction in capital spending as a result of current and expected macroeconomic conditions.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$3.0 million as of January 29, 2023, represents right of use assets of $1.7 million and $1.3 million located in China and the U.S., respectively. The $8.7 million as of January 30, 2022, represents right of use assets of $4.1 million, $2.7 million, and $1.9 million located in China, Haiti, and the U.S., respectively. The $8.1 million as of May 1, 2022, represents right of use assets of $3.7 million, $2.6 million, and $1.8 million located in China, Haiti, and the U.S., respectively.</w:t>
      </w:r>
    </w:p>
    <w:p>
      <w:pPr>
        <w:spacing w:after="0" w:line="139"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As of January 29, 2023, our right of use assets decreased by $5.7 million, or 65.7%, compared with January 30, 2022, and decreased by $5.1 million, or 63.1%, compared with May 1, 2022. These decreases mostly resulted from (i) a six-month forgiveness of rent payments associated with COVID relief permitted by the Chinese government for all building lease agreements located in Shanghai, China, (ii) the termination of a building lease agreement in connection with the exit from our cut and sew upholstery fabrics operation located in Shanghai, China, and (iii) the termination of a building lease agreement in connection with the rationalization of our cut and sew upholstery fabrics operation located in Ouananminthe, Haiti.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Assets Held for Sale</w:t>
      </w:r>
    </w:p>
    <w:p>
      <w:pPr>
        <w:spacing w:after="0" w:line="179"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As of January 29, 2023, we classified a right of use asset related to item (iii) in the above paragraph as held for sale. See Note 8 to the consolidated financial statements for further details.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Income Statement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2"/>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January 29, 2023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January 30, 2022</w:t>
            </w:r>
          </w:p>
        </w:tc>
        <w:tc>
          <w:tcPr>
            <w:tcW w:w="120" w:type="dxa"/>
            <w:vAlign w:val="bottom"/>
          </w:tcPr>
          <w:p>
            <w:pPr>
              <w:spacing w:after="0"/>
              <w:rPr>
                <w:sz w:val="21"/>
                <w:szCs w:val="21"/>
                <w:color w:val="auto"/>
              </w:rPr>
            </w:pPr>
          </w:p>
        </w:tc>
        <w:tc>
          <w:tcPr>
            <w:tcW w:w="16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 Change</w:t>
            </w:r>
          </w:p>
        </w:tc>
      </w:tr>
      <w:tr>
        <w:trPr>
          <w:trHeight w:val="210"/>
        </w:trPr>
        <w:tc>
          <w:tcPr>
            <w:tcW w:w="4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7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240.1 %</w:t>
            </w:r>
          </w:p>
        </w:tc>
      </w:tr>
      <w:tr>
        <w:trPr>
          <w:trHeight w:val="23"/>
        </w:trPr>
        <w:tc>
          <w:tcPr>
            <w:tcW w:w="406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16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ectPr>
          <w:pgSz w:w="11900" w:h="16838" w:orient="portrait"/>
          <w:cols w:equalWidth="0" w:num="1">
            <w:col w:w="11340"/>
          </w:cols>
          <w:pgMar w:left="32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88"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24"/>
        </w:trPr>
        <w:tc>
          <w:tcPr>
            <w:tcW w:w="408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Nine Months Ended</w:t>
            </w: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2"/>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8"/>
              </w:rPr>
              <w:t>January 29, 2023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January 30, 2022</w:t>
            </w:r>
          </w:p>
        </w:tc>
        <w:tc>
          <w:tcPr>
            <w:tcW w:w="120" w:type="dxa"/>
            <w:vAlign w:val="bottom"/>
          </w:tcPr>
          <w:p>
            <w:pPr>
              <w:spacing w:after="0"/>
              <w:rPr>
                <w:sz w:val="21"/>
                <w:szCs w:val="21"/>
                <w:color w:val="auto"/>
              </w:rPr>
            </w:pPr>
          </w:p>
        </w:tc>
        <w:tc>
          <w:tcPr>
            <w:tcW w:w="16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 Change</w:t>
            </w:r>
          </w:p>
        </w:tc>
      </w:tr>
      <w:tr>
        <w:trPr>
          <w:trHeight w:val="210"/>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26,275</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(15.9 )%</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(63.9 )%</w:t>
            </w:r>
          </w:p>
        </w:tc>
      </w:tr>
      <w:tr>
        <w:trPr>
          <w:trHeight w:val="23"/>
        </w:trPr>
        <w:tc>
          <w:tcPr>
            <w:tcW w:w="408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16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3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9"/>
          <w:szCs w:val="19"/>
          <w:color w:val="auto"/>
        </w:rPr>
        <w:t>The increase in selling, general, and administrative expenses during the third quarter and first nine months of fiscal 2023, compared with the third quarter and the first nine months of fiscal 2022, is due mostly to change in estimate adjustments that were recorded during the third quarter of fiscal 2022, which adjustments were not required during fiscal 2023. The change in estimate adjustments recorded during the third quarter of fiscal 2022 lowered incentive compensation expense, reflecting unfavorable financial results in relation to pre-established targets.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93"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decrease in interest income during the third quarter and first nine months of fiscal 2023, compared with the third quarter and first nine months of fiscal 2022, is mostly due to the liquidation of all of our remaining short-term investments classified as available-for-sale and corporate bond investments classified as held-to-maturity during the fourth quarter of fiscal 2022, partially offset by a significant increase in market interest rates during fiscal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w:t>
      </w:r>
    </w:p>
    <w:p>
      <w:pPr>
        <w:spacing w:after="0" w:line="179"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47"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increase in other expense during the third quarter of fiscal 2023 compared with the third quarter of fiscal 2022 is due mostly to significantly less favorable exchange rates applied against our balance sheet accounts denominated in Chinese Renminbi to determine the corresponding U.S. dollar financial reporting amounts. During the third quarter of fiscal 2023, we reported a foreign exchange loss associated with our operations located in China totaling $757,000, compared with $108,000 during the third quarter of fiscal 2022.</w:t>
      </w:r>
    </w:p>
    <w:p>
      <w:pPr>
        <w:spacing w:after="0" w:line="139"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The decrease in other expense for the first nine months of fiscal 2023 compared with the first nine months of fiscal 2022 is due mostly to significantly more favorable exchange rates applied against our balance sheet accounts denominated in Chinese Renminbi to determine the corresponding U.S. dollar financial reporting amounts. During the first nine months of fiscal 2023, we reported a foreign exchange gain associated with our operations located in China totaling $425,000, compared with a foreign exchange loss of $268,000 during the first nine months of fiscal 2022.</w:t>
      </w:r>
    </w:p>
    <w:p>
      <w:pPr>
        <w:spacing w:after="0" w:line="144"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The $425,000 foreign exchange rate gain reported during the first nine months of fiscal 2023, which is mostly non-cash, was mostly offset by $315,000 of income tax expense that increased our income tax payments. This $315,000 of income tax expense was associated with taxable foreign exchange rate gains relating to more favorable foreign exchange rates applied against balance sheet accounts denominated in U.S. dollars to determine the corresponding Chinese Renminbi local currency amounts. The foreign exchange rate gains associated with our U.S. dollar denominated balance sheet accounts related to our operations located in China is taxable income, as we incur income tax expense and pay income taxes in China's local currency.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 &amp; Income Tax Expense</w:t>
      </w:r>
    </w:p>
    <w:p>
      <w:pPr>
        <w:spacing w:after="0" w:line="179"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$2.3 million, or (9.5%) of loss before income taxes, for the nine-month period ending January 29, 2023, compared with income tax expense of $2.6 million, or 48.4% of income before income taxes, for the nine-month period ending January 30, 2022.</w:t>
      </w:r>
    </w:p>
    <w:p>
      <w:pPr>
        <w:spacing w:after="0" w:line="147"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0"/>
          <w:szCs w:val="20"/>
          <w:color w:val="auto"/>
        </w:rPr>
        <w:t>Our effective income tax rates for the nine-month periods ended January 29, 2023, and January 30, 2022, were based upon the estimated effective income tax rate applicable for the full year after giving effect to any significant items related specifically to interim periods. When calculating the annual estimated effective income tax rates for the nine-month periods ended January 29, 2023, and January 30, 2022,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9"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China, Canada, and Haiti versus annual projections, as well as changes in foreign currency exchange rates in relation to the U.S. dollar.</w:t>
      </w:r>
    </w:p>
    <w:p>
      <w:pPr>
        <w:spacing w:after="0" w:line="18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ending January 29, 2023, and January 30,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3660" w:type="dxa"/>
            <w:vAlign w:val="bottom"/>
            <w:gridSpan w:val="3"/>
          </w:tcPr>
          <w:p>
            <w:pPr>
              <w:ind w:left="2160"/>
              <w:spacing w:after="0"/>
              <w:rPr>
                <w:sz w:val="20"/>
                <w:szCs w:val="20"/>
                <w:color w:val="auto"/>
              </w:rPr>
            </w:pPr>
            <w:r>
              <w:rPr>
                <w:rFonts w:ascii="Times New Roman" w:cs="Times New Roman" w:eastAsia="Times New Roman" w:hAnsi="Times New Roman"/>
                <w:sz w:val="16"/>
                <w:szCs w:val="16"/>
                <w:color w:val="auto"/>
              </w:rPr>
              <w:t>January 29,</w:t>
            </w:r>
          </w:p>
        </w:tc>
        <w:tc>
          <w:tcPr>
            <w:tcW w:w="150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January 30,</w:t>
            </w:r>
          </w:p>
        </w:tc>
      </w:tr>
      <w:tr>
        <w:trPr>
          <w:trHeight w:val="242"/>
        </w:trPr>
        <w:tc>
          <w:tcPr>
            <w:tcW w:w="61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2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40" w:type="dxa"/>
            <w:vAlign w:val="bottom"/>
          </w:tcPr>
          <w:p>
            <w:pPr>
              <w:spacing w:after="0"/>
              <w:rPr>
                <w:sz w:val="20"/>
                <w:szCs w:val="20"/>
                <w:color w:val="auto"/>
              </w:rPr>
            </w:pPr>
          </w:p>
        </w:tc>
      </w:tr>
      <w:tr>
        <w:trPr>
          <w:trHeight w:val="23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 deduction - Quebec, Canada</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220" w:type="dxa"/>
            <w:vAlign w:val="bottom"/>
          </w:tcPr>
          <w:p>
            <w:pPr>
              <w:spacing w:after="0"/>
              <w:rPr>
                <w:sz w:val="19"/>
                <w:szCs w:val="19"/>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 (losses)</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40" w:type="dxa"/>
            <w:vAlign w:val="bottom"/>
          </w:tcPr>
          <w:p>
            <w:pPr>
              <w:spacing w:after="0"/>
              <w:rPr>
                <w:sz w:val="19"/>
                <w:szCs w:val="19"/>
                <w:color w:val="auto"/>
              </w:rPr>
            </w:pPr>
          </w:p>
        </w:tc>
      </w:tr>
      <w:tr>
        <w:trPr>
          <w:trHeight w:val="23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36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120" w:type="dxa"/>
            <w:vAlign w:val="bottom"/>
            <w:tcBorders>
              <w:top w:val="single" w:sz="8" w:color="auto"/>
              <w:bottom w:val="single" w:sz="8" w:color="auto"/>
            </w:tcBorders>
          </w:tcPr>
          <w:p>
            <w:pPr>
              <w:spacing w:after="0"/>
              <w:rPr>
                <w:sz w:val="19"/>
                <w:szCs w:val="19"/>
                <w:color w:val="auto"/>
              </w:rPr>
            </w:pPr>
          </w:p>
        </w:tc>
        <w:tc>
          <w:tcPr>
            <w:tcW w:w="3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3"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 during the first nine months of fiscal 2023 was much more negatively affected by the mix of earnings between our U.S. operations and our foreign subsidiaries, as compared to the first nine months of fiscal 2022. During the first nine months of fiscal 2023, we incurred a significantly higher pre-tax loss from our U.S. operations totaling $(28.8) million, compared with $(2.3) million during the first nine months of fiscal 2022. As a result, a significantly higher income tax benefit was not recognized due to a full valuation allowance being applied against our U.S. net deferred income tax assets during the first nine months of fiscal 2023, as compared with the first nine months of fiscal 2022. In addition, almost all of our taxable income in the first nine months of fiscal 2023 and fiscal 2022 was earned by our foreign operations located in China and Canada, which have higher income tax rates than the U.S.</w:t>
      </w:r>
    </w:p>
    <w:p>
      <w:pPr>
        <w:spacing w:after="0" w:line="19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During the first nine months of fiscal 2023, we incurred a significantly higher consolidated pre-tax loss totaling $(24.5) million, compared with a much lower pre-tax income totaling $5.4 million, during the first nine months of fiscal 2022. As a result, the principal differences between income tax expense at the U.S. federal income tax rate and the effective income tax rate reflected in the consolidated financial statements were more pronounced during the first nine months of fiscal 2022, compared with the first nine months of fiscal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As of January 29, 2023, we evaluated the realizability of our U.S. net deferred income tax assets to determine if a full valuation allowance was required. Based on our assessment, we determined that we still have a recent history of significant cumulative U.S. taxable losses, in that we experienced U.S. taxable losses during each of the last three fiscal years from 2020 through 2022, and we are currently expecting significant U.S. pre-tax losses to continue during fiscal 2023.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98"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Based on our assessments as of January 29, 2023, January 30, 2022, and May 1, 2022,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102870</wp:posOffset>
            </wp:positionV>
            <wp:extent cx="198818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88185" cy="18859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29, 2023</w:t>
            </w:r>
          </w:p>
        </w:tc>
        <w:tc>
          <w:tcPr>
            <w:tcW w:w="12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January 30, 2022</w:t>
            </w:r>
          </w:p>
        </w:tc>
        <w:tc>
          <w:tcPr>
            <w:tcW w:w="10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May 1, 2022</w:t>
            </w:r>
          </w:p>
        </w:tc>
        <w:tc>
          <w:tcPr>
            <w:tcW w:w="100" w:type="dxa"/>
            <w:vAlign w:val="bottom"/>
          </w:tcPr>
          <w:p>
            <w:pPr>
              <w:spacing w:after="0"/>
              <w:rPr>
                <w:sz w:val="20"/>
                <w:szCs w:val="20"/>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15,741</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7,802</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9,527</w:t>
            </w: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r>
      <w:tr>
        <w:trPr>
          <w:trHeight w:val="263"/>
        </w:trPr>
        <w:tc>
          <w:tcPr>
            <w:tcW w:w="5120" w:type="dxa"/>
            <w:vAlign w:val="bottom"/>
            <w:tcBorders>
              <w:top w:val="single" w:sz="8" w:color="auto"/>
              <w:bottom w:val="single" w:sz="8" w:color="auto"/>
            </w:tcBorders>
            <w:shd w:val="clear" w:color="auto" w:fill="CFF0FC"/>
          </w:tcPr>
          <w:p>
            <w:pPr>
              <w:spacing w:after="0"/>
              <w:rPr>
                <w:sz w:val="22"/>
                <w:szCs w:val="22"/>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18,071</w:t>
            </w:r>
          </w:p>
        </w:tc>
        <w:tc>
          <w:tcPr>
            <w:tcW w:w="12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10,132</w:t>
            </w:r>
          </w:p>
        </w:tc>
        <w:tc>
          <w:tcPr>
            <w:tcW w:w="10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Refer to Note 13 of the consolidated financial statements for disclosures regarding our assessments of our recorded deferred income tax liability balances associated with undistributed earnings from our foreign subsidiaries as of January 29, 2023, January 30, 2022, and May 1, 2022, respectively.</w:t>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92"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13 of the consolidated financial statements for disclosures regarding our assessments of our uncertain income tax positions as of January 29, 2023, January 30, 2022, and May 1,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Nine Months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Nine Months</w:t>
            </w:r>
          </w:p>
        </w:tc>
        <w:tc>
          <w:tcPr>
            <w:tcW w:w="100" w:type="dxa"/>
            <w:vAlign w:val="bottom"/>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14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7"/>
              </w:rPr>
              <w:t>Ended</w:t>
            </w:r>
          </w:p>
        </w:tc>
        <w:tc>
          <w:tcPr>
            <w:tcW w:w="100" w:type="dxa"/>
            <w:vAlign w:val="bottom"/>
          </w:tcPr>
          <w:p>
            <w:pPr>
              <w:spacing w:after="0"/>
              <w:rPr>
                <w:sz w:val="23"/>
                <w:szCs w:val="23"/>
                <w:color w:val="auto"/>
              </w:rPr>
            </w:pPr>
          </w:p>
        </w:tc>
      </w:tr>
      <w:tr>
        <w:trPr>
          <w:trHeight w:val="270"/>
        </w:trPr>
        <w:tc>
          <w:tcPr>
            <w:tcW w:w="6740" w:type="dxa"/>
            <w:vAlign w:val="bottom"/>
          </w:tcPr>
          <w:p>
            <w:pPr>
              <w:spacing w:after="0"/>
              <w:rPr>
                <w:sz w:val="23"/>
                <w:szCs w:val="23"/>
                <w:color w:val="auto"/>
              </w:rPr>
            </w:pPr>
          </w:p>
        </w:tc>
        <w:tc>
          <w:tcPr>
            <w:tcW w:w="14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January 29,</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January 30,</w:t>
            </w:r>
          </w:p>
        </w:tc>
        <w:tc>
          <w:tcPr>
            <w:tcW w:w="100" w:type="dxa"/>
            <w:vAlign w:val="bottom"/>
          </w:tcPr>
          <w:p>
            <w:pPr>
              <w:spacing w:after="0"/>
              <w:rPr>
                <w:sz w:val="23"/>
                <w:szCs w:val="23"/>
                <w:color w:val="auto"/>
              </w:rPr>
            </w:pPr>
          </w:p>
        </w:tc>
      </w:tr>
      <w:tr>
        <w:trPr>
          <w:trHeight w:val="24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6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2023</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21"/>
                <w:szCs w:val="21"/>
                <w:color w:val="auto"/>
              </w:rPr>
            </w:pPr>
          </w:p>
        </w:tc>
      </w:tr>
      <w:tr>
        <w:trPr>
          <w:trHeight w:val="22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146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FF0FC"/>
          </w:tcPr>
          <w:p>
            <w:pPr>
              <w:spacing w:after="0"/>
              <w:rPr>
                <w:sz w:val="19"/>
                <w:szCs w:val="19"/>
                <w:color w:val="auto"/>
              </w:rPr>
            </w:pP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1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Pr>
          <w:p>
            <w:pPr>
              <w:spacing w:after="0"/>
              <w:rPr>
                <w:sz w:val="19"/>
                <w:szCs w:val="19"/>
                <w:color w:val="auto"/>
              </w:rPr>
            </w:pPr>
          </w:p>
        </w:tc>
      </w:tr>
      <w:tr>
        <w:trPr>
          <w:trHeight w:val="212"/>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China - Withholding Taxes Associated With</w:t>
            </w:r>
          </w:p>
        </w:tc>
        <w:tc>
          <w:tcPr>
            <w:tcW w:w="1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and Profits Distributed to the U.S.</w:t>
            </w:r>
          </w:p>
        </w:tc>
        <w:tc>
          <w:tcPr>
            <w:tcW w:w="14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FF0FC"/>
          </w:tcPr>
          <w:p>
            <w:pPr>
              <w:spacing w:after="0"/>
              <w:rPr>
                <w:sz w:val="19"/>
                <w:szCs w:val="19"/>
                <w:color w:val="auto"/>
              </w:rPr>
            </w:pP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14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(9 )</w:t>
            </w: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9"/>
                <w:szCs w:val="19"/>
                <w:color w:val="auto"/>
              </w:rPr>
            </w:pPr>
          </w:p>
        </w:tc>
      </w:tr>
      <w:tr>
        <w:trPr>
          <w:trHeight w:val="260"/>
        </w:trPr>
        <w:tc>
          <w:tcPr>
            <w:tcW w:w="67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top w:val="single" w:sz="8" w:color="auto"/>
              <w:bottom w:val="single" w:sz="8" w:color="auto"/>
            </w:tcBorders>
            <w:shd w:val="clear" w:color="auto" w:fill="CFF0FC"/>
          </w:tcPr>
          <w:p>
            <w:pPr>
              <w:jc w:val="right"/>
              <w:ind w:right="12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currently projecting annual cash income tax payments of approximately $3.2 million for fiscal 2023, compared with $3.1 million for fiscal 2022. These estimated payments are management’s current projections only and can be affected over the year by actual earnings from our foreign subsidiaries located in China and Canada versus annual projections, changes in the foreign exchange rates associated with our China operations in relation to the U.S. dollar, and the timing of when significant capital projects will be placed into service, which determines the deductibility of accelerated depreciation.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we currently expect to pay minimal income taxes in the U.S. on a cash basis during fiscal 2023 due to the immediate expensing of U.S. capital expenditures and our existing U.S. federal net operating loss carryforwards that totaled $23.7 million as of May 1, 2022, which are projected to increase as a result of the significant U.S. loss carryforward we expect to generate during fiscal 2023.</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29, 2023, we will be required to pay annual U.S. federal transition tax payments, in accordance with the 2017 Tax Cuts and Jobs Act (“TCJA”), as follows: FY 2024 - $499,000; FY 2025 - $665,000; and FY 2026 - $831,000.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our sources of liquidity include cash and cash equivalents (collectively, "cash"), cash flow from operations, and amounts available under our revolving credit lines. As of January 29, 2023, we believe our cash of $16.7 million, cash flow from operations, and the current availability under our revolving credit lines totaling $28.9 million (Refer to Note 9 of the consolidated financial statements for further details) will be sufficient to fund our foreseeable business needs, commitments, and contractual obligations.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29, 2023, our cash totaled $16.7 million, an increase of $2.2 million, compared with $14.6 million as of May 1, 2022. This increase was primarily due to (i) net cash provided by operating activities totaling $4.6 million, partially offset by (ii) capital expenditures of $1.6 million, and (iii) contributions totaling $870,000 to our rabbi trust that funds our deferred compensation plan.</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net cash provided by operating activities was $4.6 million during the first nine months of fiscal 2023, an increase of $17.0 million compared with net cash used in operating activities of $12.4 million during the first nine months of fiscal 2022. This trend mostly reflects (i) a reduction of inventory related to the significant decline in net sales, improved alignment of inventory purchases with current customer demand trends, and promotional programs to reduce aged raw materials and finished goods inventory; (ii) annual incentive payments made during the first quarter of fiscal 2022 that did not recur during the first nine months of fiscal 2023, partially offset by (iii) a decrease in net cash earnings during the first nine months of fiscal 2023 as compared with the first nine months of fiscal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29, 2023, there were no outstanding borrowings under our lines of credit.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5" w:name="page46"/>
    <w:bookmarkEnd w:id="45"/>
    <w:p>
      <w:pPr>
        <w:spacing w:after="0" w:line="273" w:lineRule="auto"/>
        <w:rPr>
          <w:sz w:val="20"/>
          <w:szCs w:val="20"/>
          <w:color w:val="auto"/>
        </w:rPr>
      </w:pPr>
      <w:r>
        <w:rPr>
          <w:rFonts w:ascii="Times New Roman" w:cs="Times New Roman" w:eastAsia="Times New Roman" w:hAnsi="Times New Roman"/>
          <w:sz w:val="20"/>
          <w:szCs w:val="20"/>
          <w:color w:val="auto"/>
        </w:rPr>
        <w:t xml:space="preserve">The income taxes we pay also affect our liquidity. See the above section titled </w:t>
      </w:r>
      <w:r>
        <w:rPr>
          <w:rFonts w:ascii="Times New Roman" w:cs="Times New Roman" w:eastAsia="Times New Roman" w:hAnsi="Times New Roman"/>
          <w:sz w:val="20"/>
          <w:szCs w:val="20"/>
          <w:i w:val="1"/>
          <w:iCs w:val="1"/>
          <w:color w:val="auto"/>
        </w:rPr>
        <w:t>“Income Taxes Paid”</w:t>
      </w:r>
      <w:r>
        <w:rPr>
          <w:rFonts w:ascii="Times New Roman" w:cs="Times New Roman" w:eastAsia="Times New Roman" w:hAnsi="Times New Roman"/>
          <w:sz w:val="20"/>
          <w:szCs w:val="20"/>
          <w:color w:val="auto"/>
        </w:rPr>
        <w:t xml:space="preserve"> of this Item 2 – MANAGEMENT’S DISCUSSION AND ANALYSIS OF FINANCIAL CONDITION for further detail.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cash balance may be adversely affected by factors beyond our control, such as (i) customer demand trends, (ii) supply chain disruptions,</w:t>
      </w:r>
    </w:p>
    <w:p>
      <w:pPr>
        <w:spacing w:after="0" w:line="33" w:lineRule="exact"/>
        <w:rPr>
          <w:sz w:val="20"/>
          <w:szCs w:val="20"/>
          <w:color w:val="auto"/>
        </w:rPr>
      </w:pPr>
    </w:p>
    <w:p>
      <w:pPr>
        <w:jc w:val="both"/>
        <w:ind w:firstLine="8"/>
        <w:spacing w:after="0" w:line="242" w:lineRule="auto"/>
        <w:tabs>
          <w:tab w:leader="none" w:pos="36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rising interest rates and inflation, (iv) world events (including the Russia-Ukraine war), and (v) the continuing uncertainty associated with COVID-19. These factors could cause delays in receipt of payment on accounts receivable and could increase cash disbursements due to rising prices.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and investments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637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Janaury 29, 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30, 2022</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May 1, 2022</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12,351</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00" w:type="dxa"/>
            <w:vAlign w:val="bottom"/>
            <w:shd w:val="clear" w:color="auto" w:fill="CFF0FC"/>
          </w:tcPr>
          <w:p>
            <w:pPr>
              <w:spacing w:after="0"/>
              <w:rPr>
                <w:sz w:val="19"/>
                <w:szCs w:val="19"/>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9,502</w:t>
            </w:r>
          </w:p>
        </w:tc>
        <w:tc>
          <w:tcPr>
            <w:tcW w:w="100" w:type="dxa"/>
            <w:vAlign w:val="bottom"/>
          </w:tcPr>
          <w:p>
            <w:pPr>
              <w:spacing w:after="0"/>
              <w:rPr>
                <w:sz w:val="19"/>
                <w:szCs w:val="19"/>
                <w:color w:val="auto"/>
              </w:rPr>
            </w:pP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8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FF0FC"/>
          </w:tcPr>
          <w:p>
            <w:pPr>
              <w:spacing w:after="0"/>
              <w:rPr>
                <w:sz w:val="20"/>
                <w:szCs w:val="20"/>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Haiti</w:t>
            </w:r>
          </w:p>
        </w:tc>
        <w:tc>
          <w:tcPr>
            <w:tcW w:w="2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9"/>
                <w:szCs w:val="19"/>
                <w:color w:val="auto"/>
              </w:rPr>
            </w:pPr>
          </w:p>
        </w:tc>
      </w:tr>
      <w:tr>
        <w:trPr>
          <w:trHeight w:val="233"/>
        </w:trPr>
        <w:tc>
          <w:tcPr>
            <w:tcW w:w="4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c>
          <w:tcPr>
            <w:tcW w:w="28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-162560</wp:posOffset>
            </wp:positionV>
            <wp:extent cx="76835" cy="3257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-162560</wp:posOffset>
            </wp:positionV>
            <wp:extent cx="68580" cy="325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325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33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total balance as of January 30, 2022, includes short-term investments classified as available-for-sale and short-term and long-term investments classified as held-to-maturity that were liquidated in their entirety during the fourth quarter of fiscal 2022, and therefore, the total balances as of January 29, 2023, and May 1, 2022, solely represent cash.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our working capital requirements, market and general business conditions, and other factors, including alternative investment opportunities.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nine months of fiscal 2023, we did not purchase any shares of our common stock. As a result, as of January 29, 2023, $3.2 million is available for additional repurchases of our common stock. Despite the current share repurchase authorization, the company does not expect to repurchase any shares through at least the fourth quarter of fiscal 2023.</w:t>
      </w:r>
    </w:p>
    <w:p>
      <w:pPr>
        <w:spacing w:after="0" w:line="134" w:lineRule="exact"/>
        <w:rPr>
          <w:sz w:val="20"/>
          <w:szCs w:val="20"/>
          <w:color w:val="auto"/>
        </w:rPr>
      </w:pPr>
    </w:p>
    <w:p>
      <w:pPr>
        <w:ind w:right="1560"/>
        <w:spacing w:after="0" w:line="429" w:lineRule="auto"/>
        <w:rPr>
          <w:sz w:val="20"/>
          <w:szCs w:val="20"/>
          <w:color w:val="auto"/>
        </w:rPr>
      </w:pPr>
      <w:r>
        <w:rPr>
          <w:rFonts w:ascii="Times New Roman" w:cs="Times New Roman" w:eastAsia="Times New Roman" w:hAnsi="Times New Roman"/>
          <w:sz w:val="20"/>
          <w:szCs w:val="20"/>
          <w:color w:val="auto"/>
        </w:rPr>
        <w:t xml:space="preserve">During the first nine months of fiscal 2022, we repurchased 121,688 shares of our common stock at a cost of $1.8 million. </w:t>
      </w:r>
      <w:r>
        <w:rPr>
          <w:rFonts w:ascii="Times New Roman" w:cs="Times New Roman" w:eastAsia="Times New Roman" w:hAnsi="Times New Roman"/>
          <w:sz w:val="20"/>
          <w:szCs w:val="20"/>
          <w:i w:val="1"/>
          <w:iCs w:val="1"/>
          <w:color w:val="auto"/>
        </w:rPr>
        <w:t>Dividend Program</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did not make any dividend payments during first nine months of fiscal 2023.</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nine-month period ending January 30, 2022, dividend payments totaled $4.1 million, which represented quarterly dividend payments ranging from $0.11 per share to $0.115 per share.</w:t>
      </w:r>
    </w:p>
    <w:p>
      <w:pPr>
        <w:spacing w:after="0" w:line="173"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We will continue to reassess our dividend policy each quarter. Future dividend payments will depend on our earnings, capital requirements, financial condition, excess availability under our lines of credit, market and economic conditions, and other factors we consider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(accounts receivable and inventories, less accounts payable-trade, accounts payable-capital expenditures, and deferred revenue) was $44.9 million as of January 29, 2023, compared with $64.9 million as of January 30, 2022, and $67.7 million as of May 1, 2022. Operating working capital turnover was 4.1 during the third quarter of fiscal 2023, compared with 6.0 during the third quarter of fiscal 2022 and 5.2 during the fourth quarter of fiscal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Accounts receivable was $21.2 million as of January 29, 2023, a significant decrease of $17.8 million, or 45.5%, compared with $39.0 million as of January 30, 2022. This decrease reflects the significant decrease in net sales during the third quarter of fiscal 2023, as compared with the third quarter of fiscal 2022. Net sales were $52.5 million during the third quarter of fiscal 2023, a decrease of $27.8 million, or 34.6%, compared with net sales of $80.3 million during the third quarter of fiscal 2022. In addition, we experienced faster cash collections from certain significant customers that we had on shorter credit terms due to their financial condition and a more favorable mix of higher sales volume with customers who had shorter credit terms during the third quarter of fiscal 2023, as compared with the third quarter of fiscal 2022. As a result, we experienced a decline in days’ sales outstanding to 34 days for the third quarter of fiscal 2023, down from 44 days during the third quarter of fiscal 2022.</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Accounts receivable was $21.2 million as of January 29, 2023, a decrease of $985,000, or 4.4%, compared with $22.2 million as of May 1, 2022. These accounts receivable balances were lower than normal, as we experienced a significant decline in net sales during the third quarter of fiscal 2023 and the fourth quarter of fiscal 2022. During the third quarter of fiscal 2023, net sales significantly declined due primarily to reduced consumer demand and higher than normal inventory levels held by our customers related to both our mattress and upholstery fabrics segments. During the fourth quarter of fiscal 2022, net sales significantly declined due to the mandated COVID-19 related shutdowns associated with our upholstery fabrics operations located in China. Days’ sales outstanding were 34 days and 35 days during the third quarter of fiscal 2023 and the fourth quarter of fiscal 2022,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Inventory was $47.7 million as of January 29, 2023, a significant decrease of $25.5 million, or 34.9%, compared with $73.1 million as of January 30, 2022, and a significant decrease of $18.9 million, or 28.4% , compared with $66.6 million as of May 1, 2022. This trend reflects</w:t>
      </w:r>
    </w:p>
    <w:p>
      <w:pPr>
        <w:spacing w:after="0" w:line="2" w:lineRule="exact"/>
        <w:rPr>
          <w:sz w:val="20"/>
          <w:szCs w:val="20"/>
          <w:color w:val="auto"/>
        </w:rPr>
      </w:pPr>
    </w:p>
    <w:p>
      <w:pPr>
        <w:jc w:val="both"/>
        <w:ind w:firstLine="8"/>
        <w:spacing w:after="0" w:line="252" w:lineRule="auto"/>
        <w:tabs>
          <w:tab w:leader="none" w:pos="243"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decline in inventory purchases reflecting the 34.6% decrease in net sales during the third quarter of fiscal 2023 compared with the third quarter of fiscal 2022, and a 7.8% decrease in net sales during the third quarter of fiscal 2023 compared with the fourth quarter of fiscal 2022;</w:t>
      </w:r>
    </w:p>
    <w:p>
      <w:pPr>
        <w:jc w:val="both"/>
        <w:ind w:firstLine="8"/>
        <w:spacing w:after="0" w:line="239" w:lineRule="auto"/>
        <w:tabs>
          <w:tab w:leader="none" w:pos="30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$6.2 million non-cash charge recorded in the first nine months of fiscal 2023, which includes $2.9 million related to a write down of inventory to its net realizable value and $3.3 million related to markdowns of inventory estimated based on our policy for aged inventory;</w:t>
      </w:r>
    </w:p>
    <w:p>
      <w:pPr>
        <w:jc w:val="both"/>
        <w:ind w:firstLine="8"/>
        <w:spacing w:after="0" w:line="242" w:lineRule="auto"/>
        <w:tabs>
          <w:tab w:leader="none" w:pos="37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$98,000 for the loss on disposal and markdowns of inventory related to the exit from our cut and sew upholstery fabrics operation located in Shanghai, China; and (iv) promotional programs to reduce aged raw materials and finished goods inventory; partially offset by (v) higher raw material, labor, and overhead costs stemming from inflationary pressures.</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4.0 for the third quarter of fiscal 2023, as compared with 3.4 for the third quarter of fiscal 2022 and 3.1 for the fourth quarter of fiscal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payable - trade was $22.5 million as of January 29, 2023, a significant decrease of $24.2 million, or 51.7%, compared with $46.7 million as of January 30, 2022. This significant decrease primarily reflects the significant decline in net sales during the third quarter of fiscal 2023, as compared with the third quarter of fiscal 2022. Net sales were $52.5 million during the third quarter of fiscal 2023, a decrease of $27.8 million, or 34.6%, compared with net sales of $80.3 million during the third quarter of fiscal 2022.</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Accounts payable - trade was $22.5 million as of January 29, 2023, an increase of $2.4 million, or 12.1%, compared with $20.1 million as of May 1, 2022. These accounts payable balances were lower than normal, as we experienced a significant decline in net sales during the third quarter of fiscal 2023 and the fourth quarter of fiscal 2022. During the third quarter of fiscal 2023, net sales significantly declined due primarily to reduced consumer demand and higher than normal inventory levels held by our customers related to both our mattress and upholstery fabrics segments. During the fourth quarter of fiscal 2022, net sales significantly declined due to the mandated COVID-19 related shutdowns associated with our upholstery fabrics operations located in China.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29, 2023, we did not have any outstanding borrowings associated with our revolving credit agreements.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January 29, 2023, we were in compliance with these financial covenants.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Refer to Note 9 of the consolidated financial statements for further disclosure regarding our revolving credit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Capital expenditures on a cash basis were $1.6 million during the first nine months of fiscal 2023, compared with $5.3 million for the same period a year ago. Capital expenditures on a cash basis during the first nine months of fiscal 2023 reflected a reduction in our capital spending as a result of current and expected macroeconomic conditions. Capital expenditures on a cash basis during the first nine months of fiscal 2022 mostly related to our mattress fabrics segment, our innovation campus located in downtown High Point, NC, and IT equipment.</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Depreciation expense was $5.2 million during the first nine months of fisca1 2023 and fiscal 2022. Depreciation expense mostly related to our mattress fabrics segment for both periods.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29, 2023, we had total amounts due regarding capital expenditures totaling $25,000 that pertained to outstanding vendor invoices, none of which were financed. The total amount outstanding of $25,000 is required to be paid based on normal credit terms.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29, 2023, we had open purchase commitments to acquire equipment for our mattress fabrics segment totaling $738,000.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29, 2023, there were no changes in our significant accounting policies or the application of those policies from those reported in our annual report on Form 10-K for the year ended May 1, 2022.</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May 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since those reported in our annual report on Form 10-K for the year ended May 1, 2022, except for those disclosed in Note 9 of the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 During fiscal 2022 and continuing through the first nine months of fiscal 2023, higher freight costs, labor costs, and raw material prices have increased the prices we pay for shipping, labor, and raw materials. Inflationary pressures also began to affect consumer spending during the second half of fiscal 2022, and these pressures have continued through the first nine months of fiscal 2023. We are unable to predict how long these trends will last, or to what extent inflationary pressures may affect the economic and purchasing cycle for home furnishing products (and therefore affect demand for our products) over the short and long term.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January 19, 2023, we entered into a second amended and restated U.S. revolving credit agreement (the “Amended Agreement”) to establish an asset-based revolving credit facility that required interest to be charged at a rate (applicable interest rate of 5.81% as of January 29, 2023) calculated using an applicable margin over the Federal Reserve Bank of New York’s secured overnight fund rate (SOFR), as defined in the Amended Agreement. As of January 29, 2023, there were no outstanding borrowings under the Amended Agreement.</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revolving credit line associated with our operations located in China bears interest at a rate determined by the Chinese government at the time of borrowing. As of January 29, 2023, there were no borrowings outstanding under our revolving credit agreement associated with our operations located in China.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and China. We try to maintain a natural hedge by keeping a balance of our assets and liabilities denominated in the local currency of our subsidiaries domiciled in Canada and China. However,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January 29, 2023, would not have materially affected our results of operations or financial position.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CONTROLS AND PROCEDURES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January 29, 2023,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January 29, 2023, there were no changes in our internal control over financial reporting that have materially affected, or are reasonably likely to materially affect, our internal control over financial reporting.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January 29, 2023. Our legal proceedings are disclosed in the company’s annual report on Form 10-K filed with the Securities and Exchange Commission on July 15, 2022, for the fiscal year ended May 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January 29, 2023. Our risk factors are disclosed in Item 1A “Risk Factors” of the company’s annual report on Form 10-K filed with the Securities and Exchange Commission on July 15, 2022, for the fiscal year ended May 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680" w:type="dxa"/>
            <w:vAlign w:val="bottom"/>
            <w:tcBorders>
              <w:top w:val="single" w:sz="8" w:color="auto"/>
              <w:left w:val="single" w:sz="8" w:color="auto"/>
              <w:right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4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3"/>
                <w:szCs w:val="13"/>
                <w:color w:val="auto"/>
                <w:w w:val="96"/>
              </w:rPr>
              <w:t>(c)</w:t>
            </w:r>
          </w:p>
        </w:tc>
        <w:tc>
          <w:tcPr>
            <w:tcW w:w="140" w:type="dxa"/>
            <w:vAlign w:val="bottom"/>
            <w:tcBorders>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(d)</w:t>
            </w:r>
          </w:p>
        </w:tc>
        <w:tc>
          <w:tcPr>
            <w:tcW w:w="100" w:type="dxa"/>
            <w:vAlign w:val="bottom"/>
          </w:tcPr>
          <w:p>
            <w:pPr>
              <w:spacing w:after="0"/>
              <w:rPr>
                <w:sz w:val="19"/>
                <w:szCs w:val="19"/>
                <w:color w:val="auto"/>
              </w:rPr>
            </w:pPr>
          </w:p>
        </w:tc>
      </w:tr>
      <w:tr>
        <w:trPr>
          <w:trHeight w:val="229"/>
        </w:trPr>
        <w:tc>
          <w:tcPr>
            <w:tcW w:w="5680" w:type="dxa"/>
            <w:vAlign w:val="bottom"/>
            <w:tcBorders>
              <w:left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auto"/>
                <w:w w:val="96"/>
              </w:rPr>
              <w:t>Total Number of</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3"/>
                <w:szCs w:val="13"/>
                <w:color w:val="auto"/>
                <w:w w:val="96"/>
              </w:rPr>
              <w:t>Approximate</w:t>
            </w:r>
          </w:p>
        </w:tc>
        <w:tc>
          <w:tcPr>
            <w:tcW w:w="100" w:type="dxa"/>
            <w:vAlign w:val="bottom"/>
          </w:tcPr>
          <w:p>
            <w:pPr>
              <w:spacing w:after="0"/>
              <w:rPr>
                <w:sz w:val="19"/>
                <w:szCs w:val="19"/>
                <w:color w:val="auto"/>
              </w:rPr>
            </w:pPr>
          </w:p>
        </w:tc>
      </w:tr>
      <w:tr>
        <w:trPr>
          <w:trHeight w:val="229"/>
        </w:trPr>
        <w:tc>
          <w:tcPr>
            <w:tcW w:w="568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6"/>
              </w:rPr>
              <w:t>(a)</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8"/>
              </w:rPr>
              <w:t>Shares Purchased</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3"/>
                <w:szCs w:val="13"/>
                <w:color w:val="auto"/>
                <w:w w:val="95"/>
              </w:rPr>
              <w:t>Dollar Value of</w:t>
            </w:r>
          </w:p>
        </w:tc>
        <w:tc>
          <w:tcPr>
            <w:tcW w:w="100" w:type="dxa"/>
            <w:vAlign w:val="bottom"/>
          </w:tcPr>
          <w:p>
            <w:pPr>
              <w:spacing w:after="0"/>
              <w:rPr>
                <w:sz w:val="19"/>
                <w:szCs w:val="19"/>
                <w:color w:val="auto"/>
              </w:rPr>
            </w:pPr>
          </w:p>
        </w:tc>
      </w:tr>
      <w:tr>
        <w:trPr>
          <w:trHeight w:val="230"/>
        </w:trPr>
        <w:tc>
          <w:tcPr>
            <w:tcW w:w="568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87"/>
              </w:rPr>
              <w:t>Total</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28"/>
              <w:spacing w:after="0"/>
              <w:rPr>
                <w:sz w:val="20"/>
                <w:szCs w:val="20"/>
                <w:color w:val="auto"/>
              </w:rPr>
            </w:pPr>
            <w:r>
              <w:rPr>
                <w:rFonts w:ascii="Times New Roman" w:cs="Times New Roman" w:eastAsia="Times New Roman" w:hAnsi="Times New Roman"/>
                <w:sz w:val="13"/>
                <w:szCs w:val="13"/>
                <w:color w:val="auto"/>
              </w:rPr>
              <w:t>(b)</w:t>
            </w:r>
          </w:p>
        </w:tc>
        <w:tc>
          <w:tcPr>
            <w:tcW w:w="120" w:type="dxa"/>
            <w:vAlign w:val="bottom"/>
            <w:tcBorders>
              <w:right w:val="single" w:sz="8" w:color="auto"/>
            </w:tcBorders>
          </w:tcPr>
          <w:p>
            <w:pPr>
              <w:spacing w:after="0"/>
              <w:rPr>
                <w:sz w:val="19"/>
                <w:szCs w:val="19"/>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auto"/>
                <w:w w:val="97"/>
              </w:rPr>
              <w:t>as Part of</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3"/>
                <w:szCs w:val="13"/>
                <w:color w:val="auto"/>
                <w:w w:val="96"/>
              </w:rPr>
              <w:t>Shares that May</w:t>
            </w:r>
          </w:p>
        </w:tc>
        <w:tc>
          <w:tcPr>
            <w:tcW w:w="100" w:type="dxa"/>
            <w:vAlign w:val="bottom"/>
          </w:tcPr>
          <w:p>
            <w:pPr>
              <w:spacing w:after="0"/>
              <w:rPr>
                <w:sz w:val="19"/>
                <w:szCs w:val="19"/>
                <w:color w:val="auto"/>
              </w:rPr>
            </w:pPr>
          </w:p>
        </w:tc>
      </w:tr>
      <w:tr>
        <w:trPr>
          <w:trHeight w:val="229"/>
        </w:trPr>
        <w:tc>
          <w:tcPr>
            <w:tcW w:w="568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3"/>
              </w:rPr>
              <w:t>Number</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8"/>
              <w:spacing w:after="0"/>
              <w:rPr>
                <w:sz w:val="20"/>
                <w:szCs w:val="20"/>
                <w:color w:val="auto"/>
              </w:rPr>
            </w:pPr>
            <w:r>
              <w:rPr>
                <w:rFonts w:ascii="Times New Roman" w:cs="Times New Roman" w:eastAsia="Times New Roman" w:hAnsi="Times New Roman"/>
                <w:sz w:val="13"/>
                <w:szCs w:val="13"/>
                <w:color w:val="auto"/>
                <w:w w:val="95"/>
              </w:rPr>
              <w:t>Average</w:t>
            </w:r>
          </w:p>
        </w:tc>
        <w:tc>
          <w:tcPr>
            <w:tcW w:w="120" w:type="dxa"/>
            <w:vAlign w:val="bottom"/>
            <w:tcBorders>
              <w:right w:val="single" w:sz="8" w:color="auto"/>
            </w:tcBorders>
          </w:tcPr>
          <w:p>
            <w:pPr>
              <w:spacing w:after="0"/>
              <w:rPr>
                <w:sz w:val="19"/>
                <w:szCs w:val="19"/>
                <w:color w:val="auto"/>
              </w:rPr>
            </w:pP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Publicly</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auto"/>
                <w:w w:val="94"/>
              </w:rPr>
              <w:t>Yet Be Purchased</w:t>
            </w:r>
          </w:p>
        </w:tc>
        <w:tc>
          <w:tcPr>
            <w:tcW w:w="100" w:type="dxa"/>
            <w:vAlign w:val="bottom"/>
          </w:tcPr>
          <w:p>
            <w:pPr>
              <w:spacing w:after="0"/>
              <w:rPr>
                <w:sz w:val="19"/>
                <w:szCs w:val="19"/>
                <w:color w:val="auto"/>
              </w:rPr>
            </w:pPr>
          </w:p>
        </w:tc>
      </w:tr>
      <w:tr>
        <w:trPr>
          <w:trHeight w:val="229"/>
        </w:trPr>
        <w:tc>
          <w:tcPr>
            <w:tcW w:w="568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8"/>
              </w:rPr>
              <w:t>of Shares</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28"/>
              <w:spacing w:after="0"/>
              <w:rPr>
                <w:sz w:val="20"/>
                <w:szCs w:val="20"/>
                <w:color w:val="auto"/>
              </w:rPr>
            </w:pPr>
            <w:r>
              <w:rPr>
                <w:rFonts w:ascii="Times New Roman" w:cs="Times New Roman" w:eastAsia="Times New Roman" w:hAnsi="Times New Roman"/>
                <w:sz w:val="13"/>
                <w:szCs w:val="13"/>
                <w:color w:val="auto"/>
                <w:w w:val="97"/>
              </w:rPr>
              <w:t>Price Paid</w:t>
            </w:r>
          </w:p>
        </w:tc>
        <w:tc>
          <w:tcPr>
            <w:tcW w:w="120" w:type="dxa"/>
            <w:vAlign w:val="bottom"/>
            <w:tcBorders>
              <w:right w:val="single" w:sz="8" w:color="auto"/>
            </w:tcBorders>
          </w:tcPr>
          <w:p>
            <w:pPr>
              <w:spacing w:after="0"/>
              <w:rPr>
                <w:sz w:val="19"/>
                <w:szCs w:val="19"/>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auto"/>
                <w:w w:val="96"/>
              </w:rPr>
              <w:t>Announced Plans</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3"/>
                <w:szCs w:val="13"/>
                <w:color w:val="auto"/>
                <w:w w:val="96"/>
              </w:rPr>
              <w:t>Under the Plans or</w:t>
            </w:r>
          </w:p>
        </w:tc>
        <w:tc>
          <w:tcPr>
            <w:tcW w:w="100" w:type="dxa"/>
            <w:vAlign w:val="bottom"/>
          </w:tcPr>
          <w:p>
            <w:pPr>
              <w:spacing w:after="0"/>
              <w:rPr>
                <w:sz w:val="19"/>
                <w:szCs w:val="19"/>
                <w:color w:val="auto"/>
              </w:rPr>
            </w:pPr>
          </w:p>
        </w:tc>
      </w:tr>
      <w:tr>
        <w:trPr>
          <w:trHeight w:val="231"/>
        </w:trPr>
        <w:tc>
          <w:tcPr>
            <w:tcW w:w="5680" w:type="dxa"/>
            <w:vAlign w:val="bottom"/>
            <w:tcBorders>
              <w:left w:val="single" w:sz="8" w:color="auto"/>
              <w:bottom w:val="single" w:sz="8" w:color="auto"/>
              <w:right w:val="single" w:sz="8" w:color="auto"/>
            </w:tcBorders>
          </w:tcPr>
          <w:p>
            <w:pPr>
              <w:ind w:left="2640"/>
              <w:spacing w:after="0"/>
              <w:rPr>
                <w:sz w:val="20"/>
                <w:szCs w:val="20"/>
                <w:color w:val="auto"/>
              </w:rPr>
            </w:pPr>
            <w:r>
              <w:rPr>
                <w:rFonts w:ascii="Times New Roman" w:cs="Times New Roman" w:eastAsia="Times New Roman" w:hAnsi="Times New Roman"/>
                <w:sz w:val="16"/>
                <w:szCs w:val="16"/>
                <w:color w:val="auto"/>
              </w:rPr>
              <w:t>Period</w:t>
            </w:r>
          </w:p>
        </w:tc>
        <w:tc>
          <w:tcPr>
            <w:tcW w:w="104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7"/>
              </w:rPr>
              <w:t>Purchased</w:t>
            </w:r>
          </w:p>
        </w:tc>
        <w:tc>
          <w:tcPr>
            <w:tcW w:w="240" w:type="dxa"/>
            <w:vAlign w:val="bottom"/>
            <w:tcBorders>
              <w:bottom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3"/>
                <w:szCs w:val="13"/>
                <w:color w:val="auto"/>
                <w:w w:val="96"/>
              </w:rPr>
              <w:t>per Share</w:t>
            </w:r>
          </w:p>
        </w:tc>
        <w:tc>
          <w:tcPr>
            <w:tcW w:w="120" w:type="dxa"/>
            <w:vAlign w:val="bottom"/>
            <w:tcBorders>
              <w:right w:val="single" w:sz="8" w:color="auto"/>
            </w:tcBorders>
          </w:tcPr>
          <w:p>
            <w:pPr>
              <w:spacing w:after="0"/>
              <w:rPr>
                <w:sz w:val="20"/>
                <w:szCs w:val="20"/>
                <w:color w:val="auto"/>
              </w:rPr>
            </w:pPr>
          </w:p>
        </w:tc>
        <w:tc>
          <w:tcPr>
            <w:tcW w:w="12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3"/>
                <w:szCs w:val="13"/>
                <w:color w:val="auto"/>
                <w:w w:val="96"/>
              </w:rPr>
              <w:t>or Programs</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color w:val="auto"/>
                <w:w w:val="96"/>
              </w:rPr>
              <w:t>Programs (1)</w:t>
            </w:r>
          </w:p>
        </w:tc>
        <w:tc>
          <w:tcPr>
            <w:tcW w:w="100" w:type="dxa"/>
            <w:vAlign w:val="bottom"/>
          </w:tcPr>
          <w:p>
            <w:pPr>
              <w:spacing w:after="0"/>
              <w:rPr>
                <w:sz w:val="20"/>
                <w:szCs w:val="20"/>
                <w:color w:val="auto"/>
              </w:rPr>
            </w:pPr>
          </w:p>
        </w:tc>
      </w:tr>
      <w:tr>
        <w:trPr>
          <w:trHeight w:val="218"/>
        </w:trPr>
        <w:tc>
          <w:tcPr>
            <w:tcW w:w="568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October 31, 2022 to December 4, 2022</w:t>
            </w:r>
          </w:p>
        </w:tc>
        <w:tc>
          <w:tcPr>
            <w:tcW w:w="10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w w:val="99"/>
              </w:rPr>
              <w:t>3,248,094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5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December 5, 2022 to January 1, 2023</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9"/>
                <w:szCs w:val="19"/>
                <w:color w:val="auto"/>
              </w:rPr>
            </w:pPr>
          </w:p>
        </w:tc>
        <w:tc>
          <w:tcPr>
            <w:tcW w:w="12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right w:val="single" w:sz="8" w:color="auto"/>
            </w:tcBorders>
          </w:tcPr>
          <w:p>
            <w:pPr>
              <w:spacing w:after="0"/>
              <w:rPr>
                <w:sz w:val="19"/>
                <w:szCs w:val="19"/>
                <w:color w:val="auto"/>
              </w:rPr>
            </w:pPr>
          </w:p>
        </w:tc>
        <w:tc>
          <w:tcPr>
            <w:tcW w:w="12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w w:val="99"/>
              </w:rPr>
              <w:t>3,248,094</w:t>
            </w:r>
          </w:p>
        </w:tc>
        <w:tc>
          <w:tcPr>
            <w:tcW w:w="100" w:type="dxa"/>
            <w:vAlign w:val="bottom"/>
          </w:tcPr>
          <w:p>
            <w:pPr>
              <w:spacing w:after="0"/>
              <w:rPr>
                <w:sz w:val="19"/>
                <w:szCs w:val="19"/>
                <w:color w:val="auto"/>
              </w:rPr>
            </w:pPr>
          </w:p>
        </w:tc>
      </w:tr>
      <w:tr>
        <w:trPr>
          <w:trHeight w:val="223"/>
        </w:trPr>
        <w:tc>
          <w:tcPr>
            <w:tcW w:w="568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January 2, 2023 to January 29, 2023</w:t>
            </w:r>
          </w:p>
        </w:tc>
        <w:tc>
          <w:tcPr>
            <w:tcW w:w="10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w w:val="99"/>
              </w:rPr>
              <w:t>3,248,094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9"/>
                <w:szCs w:val="19"/>
                <w:color w:val="auto"/>
              </w:rPr>
            </w:pPr>
          </w:p>
        </w:tc>
        <w:tc>
          <w:tcPr>
            <w:tcW w:w="12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right w:val="single" w:sz="8" w:color="auto"/>
            </w:tcBorders>
          </w:tcPr>
          <w:p>
            <w:pPr>
              <w:spacing w:after="0"/>
              <w:rPr>
                <w:sz w:val="19"/>
                <w:szCs w:val="19"/>
                <w:color w:val="auto"/>
              </w:rPr>
            </w:pPr>
          </w:p>
        </w:tc>
        <w:tc>
          <w:tcPr>
            <w:tcW w:w="12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w w:val="99"/>
              </w:rPr>
              <w:t>3,248,094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-471170</wp:posOffset>
            </wp:positionV>
            <wp:extent cx="76835"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-471170</wp:posOffset>
            </wp:positionV>
            <wp:extent cx="6858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-471170</wp:posOffset>
            </wp:positionV>
            <wp:extent cx="6858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-162560</wp:posOffset>
            </wp:positionV>
            <wp:extent cx="76835"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-162560</wp:posOffset>
            </wp:positionV>
            <wp:extent cx="6858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82"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auto"/>
        </w:rPr>
        <w:t>Item 6.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w:t>
            </w:r>
          </w:p>
        </w:tc>
        <w:tc>
          <w:tcPr>
            <w:tcW w:w="62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First Amendment to Second Amended and Restated Credit Agreement</w:t>
            </w:r>
            <w:r>
              <w:rPr>
                <w:rFonts w:ascii="Times New Roman" w:cs="Times New Roman" w:eastAsia="Times New Roman" w:hAnsi="Times New Roman"/>
                <w:sz w:val="20"/>
                <w:szCs w:val="20"/>
                <w:color w:val="000000"/>
              </w:rPr>
              <w:t>.</w:t>
            </w:r>
          </w:p>
        </w:tc>
      </w:tr>
      <w:tr>
        <w:trPr>
          <w:trHeight w:val="20"/>
        </w:trPr>
        <w:tc>
          <w:tcPr>
            <w:tcW w:w="900" w:type="dxa"/>
            <w:vAlign w:val="bottom"/>
          </w:tcPr>
          <w:p>
            <w:pPr>
              <w:spacing w:after="0" w:line="20" w:lineRule="exact"/>
              <w:rPr>
                <w:sz w:val="1"/>
                <w:szCs w:val="1"/>
                <w:color w:val="auto"/>
              </w:rPr>
            </w:pPr>
          </w:p>
        </w:tc>
        <w:tc>
          <w:tcPr>
            <w:tcW w:w="56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31.1</w:t>
            </w:r>
          </w:p>
        </w:tc>
        <w:tc>
          <w:tcPr>
            <w:tcW w:w="6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Rule 13a-14(a)/15d-14(a).</w:t>
            </w:r>
          </w:p>
        </w:tc>
      </w:tr>
      <w:tr>
        <w:trPr>
          <w:trHeight w:val="291"/>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31.2</w:t>
            </w:r>
          </w:p>
        </w:tc>
        <w:tc>
          <w:tcPr>
            <w:tcW w:w="62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Certification of Chief Financial Officer Pursuant to Rule 13a-14(a)/15d-14(a)</w:t>
            </w:r>
            <w:r>
              <w:rPr>
                <w:rFonts w:ascii="Times New Roman" w:cs="Times New Roman" w:eastAsia="Times New Roman" w:hAnsi="Times New Roman"/>
                <w:sz w:val="16"/>
                <w:szCs w:val="16"/>
                <w:color w:val="0000FF"/>
                <w:w w:val="99"/>
              </w:rPr>
              <w:t>.</w:t>
            </w:r>
          </w:p>
        </w:tc>
      </w:tr>
      <w:tr>
        <w:trPr>
          <w:trHeight w:val="290"/>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32.1</w:t>
            </w:r>
          </w:p>
        </w:tc>
        <w:tc>
          <w:tcPr>
            <w:tcW w:w="60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18 U.S.C. Section 1350.</w:t>
            </w: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32.2</w:t>
            </w:r>
          </w:p>
        </w:tc>
        <w:tc>
          <w:tcPr>
            <w:tcW w:w="6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Certification of Chief Financial Officer Pursuant to 18 U.S.C. Section 1350.</w:t>
            </w:r>
          </w:p>
        </w:tc>
        <w:tc>
          <w:tcPr>
            <w:tcW w:w="220" w:type="dxa"/>
            <w:vAlign w:val="bottom"/>
            <w:gridSpan w:val="3"/>
          </w:tcPr>
          <w:p>
            <w:pPr>
              <w:spacing w:after="0"/>
              <w:rPr>
                <w:sz w:val="24"/>
                <w:szCs w:val="24"/>
                <w:color w:val="auto"/>
              </w:rPr>
            </w:pPr>
          </w:p>
        </w:tc>
      </w:tr>
      <w:tr>
        <w:trPr>
          <w:trHeight w:val="33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1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1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31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1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31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5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 with applicable taxonomy extension information contained in Exhibits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101).</w:t>
      </w:r>
    </w:p>
    <w:p>
      <w:pPr>
        <w:spacing w:after="0" w:line="1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(Registrant)</w:t>
      </w:r>
    </w:p>
    <w:p>
      <w:pPr>
        <w:spacing w:after="0" w:line="234"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20"/>
          <w:szCs w:val="20"/>
          <w:color w:val="auto"/>
        </w:rPr>
        <w:t>Date: March 9, 2023</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Kenneth R. Bowling</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(Authorized to sign on behalf of the registrant and also signing</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as principal financial officer)</w:t>
      </w:r>
    </w:p>
    <w:p>
      <w:pPr>
        <w:spacing w:after="0" w:line="200" w:lineRule="exact"/>
        <w:rPr>
          <w:sz w:val="20"/>
          <w:szCs w:val="20"/>
          <w:color w:val="auto"/>
        </w:rPr>
      </w:pPr>
    </w:p>
    <w:p>
      <w:pPr>
        <w:spacing w:after="0" w:line="264"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20"/>
          <w:szCs w:val="20"/>
          <w:color w:val="auto"/>
        </w:rPr>
        <w:t>By:</w:t>
        <w:tab/>
        <w:t>/s/ Thomas B.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Thomas B. Gallagher, Jr.</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Vice President of Finance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(Authorized to sign on behalf of the registrant and also signing</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as principal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2"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SECOND AMENDED AND RESTATED CREDIT AGREEMENT</w:t>
      </w:r>
    </w:p>
    <w:p>
      <w:pPr>
        <w:spacing w:after="0" w:line="233" w:lineRule="exact"/>
        <w:rPr>
          <w:sz w:val="20"/>
          <w:szCs w:val="20"/>
          <w:color w:val="auto"/>
        </w:rPr>
      </w:pPr>
    </w:p>
    <w:p>
      <w:pPr>
        <w:jc w:val="both"/>
        <w:ind w:firstLine="777"/>
        <w:spacing w:after="0" w:line="254" w:lineRule="auto"/>
        <w:rPr>
          <w:sz w:val="20"/>
          <w:szCs w:val="20"/>
          <w:color w:val="auto"/>
        </w:rPr>
      </w:pPr>
      <w:r>
        <w:rPr>
          <w:rFonts w:ascii="Times New Roman" w:cs="Times New Roman" w:eastAsia="Times New Roman" w:hAnsi="Times New Roman"/>
          <w:sz w:val="20"/>
          <w:szCs w:val="20"/>
          <w:color w:val="auto"/>
        </w:rPr>
        <w:t>This First Amendment to Second 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dated as of February 21, 2023, is made by and among </w:t>
      </w:r>
      <w:r>
        <w:rPr>
          <w:rFonts w:ascii="Times New Roman" w:cs="Times New Roman" w:eastAsia="Times New Roman" w:hAnsi="Times New Roman"/>
          <w:sz w:val="20"/>
          <w:szCs w:val="20"/>
          <w:b w:val="1"/>
          <w:bCs w:val="1"/>
          <w:color w:val="auto"/>
        </w:rPr>
        <w:t>CULP, INC.</w:t>
      </w:r>
      <w:r>
        <w:rPr>
          <w:rFonts w:ascii="Times New Roman" w:cs="Times New Roman" w:eastAsia="Times New Roman" w:hAnsi="Times New Roman"/>
          <w:sz w:val="20"/>
          <w:szCs w:val="20"/>
          <w:color w:val="auto"/>
        </w:rPr>
        <w:t>, a North Carolina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READ WINDOW PRODUCTS, LLC</w:t>
      </w:r>
      <w:r>
        <w:rPr>
          <w:rFonts w:ascii="Times New Roman" w:cs="Times New Roman" w:eastAsia="Times New Roman" w:hAnsi="Times New Roman"/>
          <w:sz w:val="20"/>
          <w:szCs w:val="20"/>
          <w:color w:val="auto"/>
        </w:rPr>
        <w:t>, a North Carolina limited liability company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29" w:lineRule="exact"/>
        <w:rPr>
          <w:sz w:val="20"/>
          <w:szCs w:val="20"/>
          <w:color w:val="auto"/>
        </w:rPr>
      </w:pPr>
    </w:p>
    <w:p>
      <w:pPr>
        <w:jc w:val="both"/>
        <w:ind w:firstLine="777"/>
        <w:spacing w:after="0" w:line="269" w:lineRule="auto"/>
        <w:rPr>
          <w:sz w:val="20"/>
          <w:szCs w:val="20"/>
          <w:color w:val="auto"/>
        </w:rPr>
      </w:pPr>
      <w:r>
        <w:rPr>
          <w:rFonts w:ascii="Times New Roman" w:cs="Times New Roman" w:eastAsia="Times New Roman" w:hAnsi="Times New Roman"/>
          <w:sz w:val="20"/>
          <w:szCs w:val="20"/>
          <w:color w:val="auto"/>
        </w:rPr>
        <w:t>WHEREAS, Borrower, Guarantor, and Lender are parties to that certain Second Amended and Restated Credit Agreement dated as of January 19, 2023 (as amended, restated, supplemented, or otherwise modified from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w:t>
      </w:r>
    </w:p>
    <w:p>
      <w:pPr>
        <w:spacing w:after="0" w:line="17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Loan Parties have requested that Lender amend the Credit Agreement as set forth herein, and Lender is willing to do so on the terms and conditions set forth herein.</w:t>
      </w:r>
    </w:p>
    <w:p>
      <w:pPr>
        <w:spacing w:after="0" w:line="1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NOW, THEREFORE, in consideration of the premises and of the mutual covenants and agreements herein contained, it is agreed as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07" w:lineRule="exact"/>
        <w:rPr>
          <w:sz w:val="20"/>
          <w:szCs w:val="20"/>
          <w:color w:val="auto"/>
        </w:rPr>
      </w:pPr>
    </w:p>
    <w:p>
      <w:pPr>
        <w:ind w:right="20" w:firstLine="757"/>
        <w:spacing w:after="0" w:line="269" w:lineRule="auto"/>
        <w:tabs>
          <w:tab w:leader="none" w:pos="130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in this Agreement, including in the recitals hereto, which are defined in the Credit Agreement shall have the same meanings as defined therein, unless otherwise defined herein.</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30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 Subject to the satisfaction of each of the conditions precedent set forth in this Agreement, the Credit Agreement is hereby amended as follows:</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5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Clause (n) of the definition of “</w:t>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in Section 1.1 of the Credit Agreement is amended so that it reads, in its entirety, as follows:</w:t>
      </w:r>
    </w:p>
    <w:p>
      <w:pPr>
        <w:spacing w:after="0" w:line="191" w:lineRule="exact"/>
        <w:rPr>
          <w:sz w:val="20"/>
          <w:szCs w:val="20"/>
          <w:color w:val="auto"/>
        </w:rPr>
      </w:pPr>
    </w:p>
    <w:p>
      <w:pPr>
        <w:jc w:val="both"/>
        <w:ind w:left="1500" w:right="1500" w:firstLine="5"/>
        <w:spacing w:after="0" w:line="256" w:lineRule="auto"/>
        <w:tabs>
          <w:tab w:leader="none" w:pos="1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(i) any Person providing property, casualty, liability, or other insurance to any Loan Party or any of its Subsidiaries or (ii) any Person providing financing for the premiums of property, casualty, liability, or other insurance provided to any Loan Party or any of its Subsidiaries, so long as, in each case, the amount of such Indebtedness is not in excess of the amount of the unpaid cost of, and shall be incurred only to defer the cost of, such insurance for the year in which such Indebtedness is incurred and such Indebtedness is outstanding only during such year; and</w:t>
      </w:r>
    </w:p>
    <w:p>
      <w:pPr>
        <w:spacing w:after="0" w:line="183" w:lineRule="exact"/>
        <w:rPr>
          <w:sz w:val="20"/>
          <w:szCs w:val="20"/>
          <w:color w:val="auto"/>
        </w:rPr>
      </w:pPr>
    </w:p>
    <w:p>
      <w:pPr>
        <w:ind w:left="2060" w:hanging="555"/>
        <w:spacing w:after="0"/>
        <w:tabs>
          <w:tab w:leader="none" w:pos="20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Clause (o) of the definition of “</w:t>
      </w:r>
      <w:r>
        <w:rPr>
          <w:rFonts w:ascii="Times New Roman" w:cs="Times New Roman" w:eastAsia="Times New Roman" w:hAnsi="Times New Roman"/>
          <w:sz w:val="19"/>
          <w:szCs w:val="19"/>
          <w:u w:val="single" w:color="auto"/>
          <w:color w:val="auto"/>
        </w:rPr>
        <w:t>Permitted Liens</w:t>
      </w:r>
      <w:r>
        <w:rPr>
          <w:rFonts w:ascii="Times New Roman" w:cs="Times New Roman" w:eastAsia="Times New Roman" w:hAnsi="Times New Roman"/>
          <w:sz w:val="19"/>
          <w:szCs w:val="19"/>
          <w:color w:val="auto"/>
        </w:rPr>
        <w:t>” in Section 1.1 of the Credit Agreement is amended so that it reads,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its entirety, as follows:</w:t>
      </w:r>
    </w:p>
    <w:p>
      <w:pPr>
        <w:spacing w:after="0" w:line="333" w:lineRule="exact"/>
        <w:rPr>
          <w:sz w:val="20"/>
          <w:szCs w:val="20"/>
          <w:color w:val="auto"/>
        </w:rPr>
      </w:pPr>
    </w:p>
    <w:p>
      <w:pPr>
        <w:ind w:left="1500" w:right="1500" w:firstLine="5"/>
        <w:spacing w:after="0" w:line="282" w:lineRule="auto"/>
        <w:tabs>
          <w:tab w:leader="none" w:pos="1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on the unearned portion of insurance premiums and policy dividends securing the financing of insurance premiums to the extent the financing is permitted under the definition of Permitted Indebtedness; and</w:t>
      </w:r>
    </w:p>
    <w:p>
      <w:pPr>
        <w:spacing w:after="0" w:line="157" w:lineRule="exact"/>
        <w:rPr>
          <w:rFonts w:ascii="Times New Roman" w:cs="Times New Roman" w:eastAsia="Times New Roman" w:hAnsi="Times New Roman"/>
          <w:sz w:val="18"/>
          <w:szCs w:val="18"/>
          <w:color w:val="auto"/>
        </w:rPr>
      </w:pPr>
    </w:p>
    <w:p>
      <w:pPr>
        <w:jc w:val="both"/>
        <w:ind w:firstLine="757"/>
        <w:spacing w:after="0" w:line="249" w:lineRule="auto"/>
        <w:tabs>
          <w:tab w:leader="none" w:pos="130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Amendment or Waiver</w:t>
      </w:r>
      <w:r>
        <w:rPr>
          <w:rFonts w:ascii="Times New Roman" w:cs="Times New Roman" w:eastAsia="Times New Roman" w:hAnsi="Times New Roman"/>
          <w:sz w:val="20"/>
          <w:szCs w:val="20"/>
          <w:color w:val="auto"/>
        </w:rPr>
        <w:t>. The execution, delivery and effectiveness of this Agreement shall not operate as a waiver of any right, power or remedy of Lender under the Credit Agreement or any of the other Loan Documents, nor constitute a waiver of any provision of the Credit Agreement or any of the other Loan Documents. Except for the amendments set forth in this Agreement, the text of the Credit Agreement and the other Loan Documents shall remain unchanged and in full force and effect and each</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ACTIVE 685401513v2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both"/>
        <w:spacing w:after="0" w:line="245" w:lineRule="auto"/>
        <w:rPr>
          <w:sz w:val="20"/>
          <w:szCs w:val="20"/>
          <w:color w:val="auto"/>
        </w:rPr>
      </w:pPr>
      <w:r>
        <w:rPr>
          <w:rFonts w:ascii="Times New Roman" w:cs="Times New Roman" w:eastAsia="Times New Roman" w:hAnsi="Times New Roman"/>
          <w:sz w:val="20"/>
          <w:szCs w:val="20"/>
          <w:color w:val="auto"/>
        </w:rPr>
        <w:t>Loan Party hereby ratifies and confirms its obligations thereunder. This Agreement shall not constitute a modification of the Credit Agreement or the other Loan Documents or a course of dealing with Lender of variance with the Credit Agreement or the other Loan Documents such as to require notice by Lender to require strict compliance with the terms of the Credit Agreement and other Loan Documents in the future, except as expressly set forth in this Agreement. Each Loan Party acknowledges and agrees that Lender reserves the right to, and does in fact, require strict compliance with all terms and provisions of the Credit Agreement and the other Loan Documents, as amended by this Agreement.</w:t>
      </w:r>
    </w:p>
    <w:p>
      <w:pPr>
        <w:spacing w:after="0" w:line="184" w:lineRule="exact"/>
        <w:rPr>
          <w:sz w:val="20"/>
          <w:szCs w:val="20"/>
          <w:color w:val="auto"/>
        </w:rPr>
      </w:pPr>
    </w:p>
    <w:p>
      <w:pPr>
        <w:ind w:left="1320" w:hanging="563"/>
        <w:spacing w:after="0"/>
        <w:tabs>
          <w:tab w:leader="none" w:pos="13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hereby represents and warrants to Lender as follows:</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57"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Loan Party has all requisite power and authority to execute this Agreement and to perform all of its obligations hereunder, and this Agreement has been duly executed and delivered by such Loan Party and constitutes the legal, valid and binding obligation of such Loan Party, enforceable in accordance with its terms.</w:t>
      </w:r>
    </w:p>
    <w:p>
      <w:pPr>
        <w:spacing w:after="0" w:line="174"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57"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such Loan Party of this Agreement have been duly authorized by all necessary corporate or limited liability company action and do not (i) require any authorization, consent or approval by any governmental department, commission, board, bureau, agency or instrumentality, domestic or foreign, (ii) violate any provision of any law, rule or regulation or of any order, writ, injunction or decree presently in effect, having applicability to such Loan Party, or the articles or certificate of incorporation or formation or bylaws or operating agreement of such Loan Party, or (iii) result in a breach of or constitute a default under any indenture or loan or credit agreement or any other agreement, lease or instrument to which such Loan Party is a party or by which it or its properties may be bound or affected.</w:t>
      </w:r>
    </w:p>
    <w:p>
      <w:pPr>
        <w:spacing w:after="0" w:line="18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57"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representations and warranties of the Loan Parties contained in the Credit Agreement are correct in all material respects (except that such materiality qualifier shall not be applicable to any representations and warranties that already are qualified or modified by materiality in the text thereof) on and as of the date hereof as though made on and as of such date (except to the extent that such representations and warranties relate solely to an earlier date, in which case such representations and warranties shall be true and correct in all material respects as of such earlier date (except that such materiality qualifier shall not be applicable to any representations and warranties that already are qualified or modified by materiality in the text thereof)).</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30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All references in the Credit Agreement to “this Agreement” shall be deemed to refer to the Credit Agreement as amended hereby; and any and all references in the other Loan Documents to the Credit Agreement shall be deemed to refer to the Credit Agreement as amended hereby.</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30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xml:space="preserve">. The amendments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Agreement shall become effective only upon Lender’s receipt of this Agreement, duly executed and delivered by the Loan Parties.</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30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Waiver</w:t>
      </w:r>
      <w:r>
        <w:rPr>
          <w:rFonts w:ascii="Times New Roman" w:cs="Times New Roman" w:eastAsia="Times New Roman" w:hAnsi="Times New Roman"/>
          <w:sz w:val="20"/>
          <w:szCs w:val="20"/>
          <w:color w:val="auto"/>
        </w:rPr>
        <w:t>. Except as expressly set forth herein, the execution of this Agreement and acceptance of any documents related hereto or thereto shall not be deemed to be a waiver of any Event of Default, or event or condition which with notice, or passage of time, or both, would constitute an Event of Default, under the Credit Agreement or breach, default or event of default under any Loan Document or other document held by Lender, whether or not known to Lender and whether or not existing on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685401513v2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jc w:val="both"/>
        <w:ind w:firstLine="757"/>
        <w:spacing w:after="0" w:line="243" w:lineRule="auto"/>
        <w:tabs>
          <w:tab w:leader="none" w:pos="130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Each Loan Party hereby absolutely and unconditionally releases and forever discharges Lender, and any and all of Lender’s Affiliates, participants, parent corporations, subsidiary corporations, insurers, indemnitors, and successors and assigns of any of the foregoing, together with all of the present and former directors, officers, agents, attorneys, attorneys-in-fact, representatives, and employees of any of the foregoing, from any and all claims, demands or causes of action of any kind, nature or description, whether arising in law or equity or upon contract or tort or under any state or federal law or otherwise, which such Loan Party has had, now has or has made claim to have against any such Person for or by reason of any act, omission, matter, cause or thing whatsoever arising from the beginning of time to and including the date of this Agreement, whether such claims, demands and causes of action are matured or unmatured or known or unknown.</w:t>
      </w:r>
    </w:p>
    <w:p>
      <w:pPr>
        <w:spacing w:after="0" w:line="189" w:lineRule="exact"/>
        <w:rPr>
          <w:rFonts w:ascii="Times New Roman" w:cs="Times New Roman" w:eastAsia="Times New Roman" w:hAnsi="Times New Roman"/>
          <w:sz w:val="20"/>
          <w:szCs w:val="20"/>
          <w:color w:val="auto"/>
        </w:rPr>
      </w:pPr>
    </w:p>
    <w:p>
      <w:pPr>
        <w:jc w:val="both"/>
        <w:ind w:firstLine="757"/>
        <w:spacing w:after="0" w:line="244" w:lineRule="auto"/>
        <w:tabs>
          <w:tab w:leader="none" w:pos="130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Each Loan Party hereby reaffirms its agreement under the Credit Agreement to pay or reimburse Lender on demand for all costs and expenses incurred by Lender in connection with the Loan Documents, including without limitation all reasonable fees and disbursements of legal counsel. Without limiting the generality of the foregoing, Borrower specifically agrees to pay all fees and disbursements of counsel to Lender for the services performed by such counsel in connection with the preparation of this Agreement and the documents and instruments incidental hereto. Borrower hereby agrees that Lender may, at any time or from time to time in its sole discretion and without further authorization by Borrower, make a loan to Borrower under the Credit Agreement, or apply the proceeds of any loan, for the purpose of paying any such fees, disbursements, costs and expenses contemplated hereby.</w:t>
      </w:r>
    </w:p>
    <w:p>
      <w:pPr>
        <w:spacing w:after="0" w:line="185" w:lineRule="exact"/>
        <w:rPr>
          <w:rFonts w:ascii="Times New Roman" w:cs="Times New Roman" w:eastAsia="Times New Roman" w:hAnsi="Times New Roman"/>
          <w:sz w:val="20"/>
          <w:szCs w:val="20"/>
          <w:color w:val="auto"/>
        </w:rPr>
      </w:pPr>
    </w:p>
    <w:p>
      <w:pPr>
        <w:jc w:val="both"/>
        <w:ind w:firstLine="757"/>
        <w:spacing w:after="0" w:line="242" w:lineRule="auto"/>
        <w:tabs>
          <w:tab w:leader="none" w:pos="130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notices delivered under this Agreement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Lender reserves the right, in its sole discretion, to accept, deny, or condition acceptance of any electronic signature on this Agreement or on any notice delivered to Lender under this Agreement. This Agreement and any notices delivered under this Agreement may be executed in any number of counterparts, each of which shall be deemed to be an original, but such counterparts shall, together, constitute only one instrument. Delivery of an executed counterpart of a signature page of this Agreement and any notices as set forth herein will be as effective as delivery of a manually executed counterpart of the Agreement or notice.</w:t>
      </w:r>
    </w:p>
    <w:p>
      <w:pPr>
        <w:spacing w:after="0" w:line="192" w:lineRule="exact"/>
        <w:rPr>
          <w:rFonts w:ascii="Times New Roman" w:cs="Times New Roman" w:eastAsia="Times New Roman" w:hAnsi="Times New Roman"/>
          <w:sz w:val="20"/>
          <w:szCs w:val="20"/>
          <w:color w:val="auto"/>
        </w:rPr>
      </w:pPr>
    </w:p>
    <w:p>
      <w:pPr>
        <w:ind w:left="1320" w:hanging="563"/>
        <w:spacing w:after="0"/>
        <w:tabs>
          <w:tab w:leader="none" w:pos="13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Agreement shall be deemed a Loan Document for all purposes.</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30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JURY TRIAL WAIVER</w:t>
      </w:r>
      <w:r>
        <w:rPr>
          <w:rFonts w:ascii="Times New Roman" w:cs="Times New Roman" w:eastAsia="Times New Roman" w:hAnsi="Times New Roman"/>
          <w:sz w:val="20"/>
          <w:szCs w:val="20"/>
          <w:color w:val="auto"/>
        </w:rPr>
        <w:t xml:space="preserve">. THIS AGREEMENT SHALL BE SUBJECT TO THE PROVISIONS REGARDING GOVERNING LAW, VENUE, AND JURY TRIAL WAIVER SET FORTH IN SECTIONS 10.1, 10.2, 10.3, AND 10.4 OF THE CREDIT AGREEMENT, AND SUCH PROVISIONS ARE INCORPORATED HEREIN BY THIS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685401513v2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First Amendment to Credit Agreement to be duly executed as of the date first written above.</w:t>
      </w:r>
    </w:p>
    <w:p>
      <w:pPr>
        <w:spacing w:after="0" w:line="16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Kenneth R. Bowling</w:t>
      </w:r>
    </w:p>
    <w:p>
      <w:pPr>
        <w:ind w:left="4500"/>
        <w:spacing w:after="0"/>
        <w:rPr>
          <w:sz w:val="20"/>
          <w:szCs w:val="20"/>
          <w:color w:val="auto"/>
        </w:rPr>
      </w:pPr>
      <w:r>
        <w:rPr>
          <w:rFonts w:ascii="Times New Roman" w:cs="Times New Roman" w:eastAsia="Times New Roman" w:hAnsi="Times New Roman"/>
          <w:sz w:val="20"/>
          <w:szCs w:val="20"/>
          <w:color w:val="auto"/>
        </w:rPr>
        <w:t>Title: EVP, CFO, and Treasurer</w:t>
      </w:r>
    </w:p>
    <w:p>
      <w:pPr>
        <w:spacing w:after="0" w:line="3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READ WINDOW PRODUCTS, LLC</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CULP, INC., its sole member and manager</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Kenneth R. Bowling</w:t>
      </w:r>
    </w:p>
    <w:p>
      <w:pPr>
        <w:ind w:left="4500"/>
        <w:spacing w:after="0"/>
        <w:rPr>
          <w:sz w:val="20"/>
          <w:szCs w:val="20"/>
          <w:color w:val="auto"/>
        </w:rPr>
      </w:pPr>
      <w:r>
        <w:rPr>
          <w:rFonts w:ascii="Times New Roman" w:cs="Times New Roman" w:eastAsia="Times New Roman" w:hAnsi="Times New Roman"/>
          <w:sz w:val="20"/>
          <w:szCs w:val="20"/>
          <w:color w:val="auto"/>
        </w:rPr>
        <w:t>Title: EVP, CFO,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[CULP—FIRST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ind w:left="3200"/>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p>
    <w:p>
      <w:pPr>
        <w:spacing w:after="0" w:line="200" w:lineRule="exact"/>
        <w:rPr>
          <w:sz w:val="20"/>
          <w:szCs w:val="20"/>
          <w:color w:val="auto"/>
        </w:rPr>
      </w:pPr>
    </w:p>
    <w:p>
      <w:pPr>
        <w:spacing w:after="0" w:line="26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-10795</wp:posOffset>
            </wp:positionV>
            <wp:extent cx="10750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Name: Susan Carr</w:t>
      </w:r>
    </w:p>
    <w:p>
      <w:pPr>
        <w:ind w:left="32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[CULP—FIRST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January 29, 2023,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January 29, 2023,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Roman"/>
      <w:start w:val="3"/>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o"/>
      <w:numFmt w:val="bullet"/>
      <w:start w:val="1"/>
    </w:lvl>
    <w:lvl w:ilvl="1">
      <w:lvlJc w:val="left"/>
      <w:lvlText w:val="▪"/>
      <w:numFmt w:val="bullet"/>
      <w:start w:val="1"/>
    </w:lvl>
  </w:abstractNum>
  <w:abstractNum w:abstractNumId="5">
    <w:nsid w:val="7C83E458"/>
    <w:multiLevelType w:val="hybridMultilevel"/>
    <w:lvl w:ilvl="0">
      <w:lvlJc w:val="left"/>
      <w:lvlText w:val="o"/>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3"/>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3"/>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lowerRoman"/>
      <w:start w:val="3"/>
    </w:lvl>
  </w:abstractNum>
  <w:abstractNum w:abstractNumId="18">
    <w:nsid w:val="4353D0CD"/>
    <w:multiLevelType w:val="hybridMultilevel"/>
    <w:lvl w:ilvl="0">
      <w:lvlJc w:val="left"/>
      <w:lvlText w:val="(%1)"/>
      <w:numFmt w:val="lowerRoman"/>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04"/>
    </w:lvl>
  </w:abstractNum>
  <w:abstractNum w:abstractNumId="21">
    <w:nsid w:val="54E49EB4"/>
    <w:multiLevelType w:val="hybridMultilevel"/>
    <w:lvl w:ilvl="0">
      <w:lvlJc w:val="left"/>
      <w:lvlText w:val="%1."/>
      <w:numFmt w:val="decimal"/>
      <w:start w:val="1"/>
    </w:lvl>
    <w:lvl w:ilvl="1">
      <w:lvlJc w:val="left"/>
      <w:lvlText w:val="(%2)"/>
      <w:numFmt w:val="lowerLetter"/>
      <w:start w:val="1"/>
    </w:lvl>
  </w:abstractNum>
  <w:abstractNum w:abstractNumId="22">
    <w:nsid w:val="71F32454"/>
    <w:multiLevelType w:val="hybridMultilevel"/>
    <w:lvl w:ilvl="0">
      <w:lvlJc w:val="left"/>
      <w:lvlText w:val="(%1)"/>
      <w:numFmt w:val="lowerLetter"/>
      <w:start w:val="14"/>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decimal"/>
      <w:start w:val="1"/>
    </w:lvl>
    <w:lvl w:ilvl="1">
      <w:lvlJc w:val="left"/>
      <w:lvlText w:val="(%2)"/>
      <w:numFmt w:val="lowerLetter"/>
      <w:start w:val="15"/>
    </w:lvl>
  </w:abstractNum>
  <w:abstractNum w:abstractNumId="25">
    <w:nsid w:val="2901D82"/>
    <w:multiLevelType w:val="hybridMultilevel"/>
    <w:lvl w:ilvl="0">
      <w:lvlJc w:val="left"/>
      <w:lvlText w:val="%1."/>
      <w:numFmt w:val="decimal"/>
      <w:start w:val="3"/>
    </w:lvl>
    <w:lvl w:ilvl="1">
      <w:lvlJc w:val="left"/>
      <w:lvlText w:val="%2"/>
      <w:numFmt w:val="lowerLetter"/>
      <w:start w:val="1"/>
    </w:lvl>
  </w:abstractNum>
  <w:abstractNum w:abstractNumId="26">
    <w:nsid w:val="3A95F874"/>
    <w:multiLevelType w:val="hybridMultilevel"/>
    <w:lvl w:ilvl="0">
      <w:lvlJc w:val="left"/>
      <w:lvlText w:val="%1."/>
      <w:numFmt w:val="decimal"/>
      <w:start w:val="4"/>
    </w:lvl>
    <w:lvl w:ilvl="1">
      <w:lvlJc w:val="left"/>
      <w:lvlText w:val="(%2)"/>
      <w:numFmt w:val="lowerLetter"/>
      <w:start w:val="1"/>
    </w:lvl>
  </w:abstractNum>
  <w:abstractNum w:abstractNumId="27">
    <w:nsid w:val="8138641"/>
    <w:multiLevelType w:val="hybridMultilevel"/>
    <w:lvl w:ilvl="0">
      <w:lvlJc w:val="left"/>
      <w:lvlText w:val="%1."/>
      <w:numFmt w:val="decimal"/>
      <w:start w:val="8"/>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2023-03-09T09:18:59Z</dcterms:created>
  <dcterms:modified xsi:type="dcterms:W3CDTF">2023-03-09T09:18:59Z</dcterms:modified>
</cp:coreProperties>
</file>